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jpeg" ContentType="image/jpeg"/>
  <Default Extension="JPG" ContentType="image/.jpg"/>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themeColor="background1"/>
  <w:body>
    <w:p w14:paraId="0EED468E">
      <w:pPr>
        <w:adjustRightInd w:val="0"/>
        <w:snapToGrid w:val="0"/>
        <w:ind w:firstLine="1440"/>
        <w:jc w:val="center"/>
        <w:rPr>
          <w:rFonts w:eastAsia="方正小标宋_GBK" w:cs="Times New Roman"/>
          <w:bCs/>
          <w:sz w:val="72"/>
          <w:szCs w:val="72"/>
        </w:rPr>
      </w:pPr>
      <w:bookmarkStart w:id="0" w:name="_Toc24640"/>
      <w:bookmarkStart w:id="1" w:name="OLE_LINK69"/>
      <w:bookmarkStart w:id="2" w:name="OLE_LINK70"/>
      <w:bookmarkStart w:id="3" w:name="OLE_LINK38"/>
    </w:p>
    <w:p w14:paraId="3FB867A3">
      <w:pPr>
        <w:adjustRightInd w:val="0"/>
        <w:snapToGrid w:val="0"/>
        <w:ind w:firstLine="1440"/>
        <w:jc w:val="center"/>
        <w:rPr>
          <w:rFonts w:eastAsia="方正小标宋_GBK" w:cs="Times New Roman"/>
          <w:bCs/>
          <w:sz w:val="72"/>
          <w:szCs w:val="72"/>
        </w:rPr>
      </w:pPr>
    </w:p>
    <w:p w14:paraId="206CBEF2">
      <w:pPr>
        <w:adjustRightInd w:val="0"/>
        <w:snapToGrid w:val="0"/>
        <w:ind w:firstLine="0" w:firstLineChars="0"/>
        <w:jc w:val="center"/>
        <w:outlineLvl w:val="0"/>
        <w:rPr>
          <w:rFonts w:eastAsia="方正小标宋_GBK" w:cs="Times New Roman"/>
          <w:bCs/>
          <w:sz w:val="72"/>
          <w:szCs w:val="72"/>
        </w:rPr>
      </w:pPr>
      <w:bookmarkStart w:id="4" w:name="_Toc9726"/>
      <w:r>
        <w:rPr>
          <w:rFonts w:eastAsia="方正小标宋_GBK" w:cs="Times New Roman"/>
          <w:bCs/>
          <w:sz w:val="72"/>
          <w:szCs w:val="72"/>
        </w:rPr>
        <w:t>建设项目环境影响报告表</w:t>
      </w:r>
      <w:bookmarkEnd w:id="4"/>
    </w:p>
    <w:p w14:paraId="06E5FE84">
      <w:pPr>
        <w:adjustRightInd w:val="0"/>
        <w:snapToGrid w:val="0"/>
        <w:spacing w:before="260" w:beforeLines="80" w:line="240" w:lineRule="auto"/>
        <w:ind w:firstLine="0" w:firstLineChars="0"/>
        <w:jc w:val="center"/>
        <w:rPr>
          <w:rFonts w:eastAsia="楷体_GB2312" w:cs="Times New Roman"/>
          <w:bCs/>
          <w:sz w:val="48"/>
          <w:szCs w:val="48"/>
        </w:rPr>
      </w:pPr>
      <w:r>
        <w:rPr>
          <w:rFonts w:eastAsia="楷体_GB2312" w:cs="Times New Roman"/>
          <w:bCs/>
          <w:sz w:val="48"/>
          <w:szCs w:val="48"/>
        </w:rPr>
        <w:t>（污染影响类）</w:t>
      </w:r>
    </w:p>
    <w:p w14:paraId="4061D50F">
      <w:pPr>
        <w:adjustRightInd w:val="0"/>
        <w:snapToGrid w:val="0"/>
        <w:spacing w:before="260" w:beforeLines="80" w:line="240" w:lineRule="auto"/>
        <w:ind w:firstLine="0" w:firstLineChars="0"/>
        <w:jc w:val="center"/>
        <w:rPr>
          <w:rFonts w:eastAsia="楷体_GB2312" w:cs="Times New Roman"/>
          <w:bCs/>
          <w:sz w:val="40"/>
          <w:szCs w:val="40"/>
        </w:rPr>
      </w:pPr>
      <w:r>
        <w:rPr>
          <w:rFonts w:eastAsia="楷体_GB2312" w:cs="Times New Roman"/>
          <w:bCs/>
          <w:sz w:val="40"/>
          <w:szCs w:val="40"/>
        </w:rPr>
        <w:t>（</w:t>
      </w:r>
      <w:r>
        <w:rPr>
          <w:rFonts w:hint="eastAsia" w:eastAsia="楷体_GB2312" w:cs="Times New Roman"/>
          <w:bCs/>
          <w:sz w:val="40"/>
          <w:szCs w:val="40"/>
          <w:lang w:val="en-US" w:eastAsia="zh-CN"/>
        </w:rPr>
        <w:t>公示</w:t>
      </w:r>
      <w:r>
        <w:rPr>
          <w:rFonts w:eastAsia="楷体_GB2312" w:cs="Times New Roman"/>
          <w:bCs/>
          <w:sz w:val="40"/>
          <w:szCs w:val="40"/>
        </w:rPr>
        <w:t>本）</w:t>
      </w:r>
    </w:p>
    <w:p w14:paraId="0964B976">
      <w:pPr>
        <w:adjustRightInd w:val="0"/>
        <w:snapToGrid w:val="0"/>
        <w:spacing w:line="288" w:lineRule="auto"/>
        <w:ind w:firstLine="0" w:firstLineChars="0"/>
        <w:rPr>
          <w:rFonts w:eastAsia="仿宋" w:cs="Times New Roman"/>
          <w:sz w:val="44"/>
          <w:szCs w:val="44"/>
        </w:rPr>
      </w:pPr>
    </w:p>
    <w:p w14:paraId="6BB5E91D">
      <w:pPr>
        <w:adjustRightInd w:val="0"/>
        <w:snapToGrid w:val="0"/>
        <w:spacing w:line="288" w:lineRule="auto"/>
        <w:ind w:firstLine="0" w:firstLineChars="0"/>
        <w:rPr>
          <w:rFonts w:eastAsia="仿宋" w:cs="Times New Roman"/>
          <w:sz w:val="44"/>
          <w:szCs w:val="44"/>
        </w:rPr>
      </w:pPr>
    </w:p>
    <w:p w14:paraId="617D369F">
      <w:pPr>
        <w:adjustRightInd w:val="0"/>
        <w:snapToGrid w:val="0"/>
        <w:spacing w:line="288" w:lineRule="auto"/>
        <w:ind w:firstLine="0" w:firstLineChars="0"/>
        <w:rPr>
          <w:rFonts w:eastAsia="仿宋" w:cs="Times New Roman"/>
          <w:sz w:val="40"/>
          <w:szCs w:val="40"/>
        </w:rPr>
      </w:pPr>
    </w:p>
    <w:p w14:paraId="74E4B410">
      <w:pPr>
        <w:adjustRightInd w:val="0"/>
        <w:snapToGrid w:val="0"/>
        <w:spacing w:line="288" w:lineRule="auto"/>
        <w:ind w:firstLine="960" w:firstLineChars="300"/>
        <w:rPr>
          <w:rFonts w:hint="default" w:eastAsia="仿宋_GB2312" w:cs="Times New Roman"/>
          <w:sz w:val="32"/>
          <w:szCs w:val="32"/>
          <w:u w:val="single"/>
          <w:lang w:val="en-US" w:eastAsia="zh-CN"/>
        </w:rPr>
      </w:pPr>
      <w:r>
        <w:rPr>
          <w:rFonts w:eastAsia="仿宋_GB2312" w:cs="Times New Roman"/>
          <w:sz w:val="32"/>
          <w:szCs w:val="32"/>
        </w:rPr>
        <w:t>项目名称：</w:t>
      </w:r>
      <w:r>
        <w:rPr>
          <w:rFonts w:eastAsia="仿宋_GB2312" w:cs="Times New Roman"/>
          <w:sz w:val="32"/>
          <w:szCs w:val="32"/>
          <w:u w:val="single"/>
        </w:rPr>
        <w:t xml:space="preserve">   </w:t>
      </w:r>
      <w:r>
        <w:rPr>
          <w:rFonts w:hint="eastAsia" w:eastAsia="仿宋_GB2312" w:cs="Times New Roman"/>
          <w:sz w:val="32"/>
          <w:szCs w:val="32"/>
          <w:u w:val="single"/>
          <w:lang w:eastAsia="zh-CN"/>
        </w:rPr>
        <w:t>巴中瑞成环保科技有限公司水基岩屑综合</w:t>
      </w:r>
      <w:r>
        <w:rPr>
          <w:rFonts w:hint="eastAsia" w:eastAsia="仿宋_GB2312" w:cs="Times New Roman"/>
          <w:sz w:val="32"/>
          <w:szCs w:val="32"/>
          <w:u w:val="single"/>
          <w:lang w:val="en-US" w:eastAsia="zh-CN"/>
        </w:rPr>
        <w:t xml:space="preserve">    </w:t>
      </w:r>
    </w:p>
    <w:p w14:paraId="0252E62F">
      <w:pPr>
        <w:adjustRightInd w:val="0"/>
        <w:snapToGrid w:val="0"/>
        <w:spacing w:line="288" w:lineRule="auto"/>
        <w:ind w:firstLine="960" w:firstLineChars="300"/>
        <w:jc w:val="center"/>
        <w:rPr>
          <w:rFonts w:hint="default" w:eastAsia="仿宋_GB2312" w:cs="Times New Roman"/>
          <w:sz w:val="32"/>
          <w:szCs w:val="32"/>
          <w:u w:val="single"/>
          <w:lang w:val="en-US"/>
        </w:rPr>
      </w:pPr>
      <w:r>
        <w:rPr>
          <w:rFonts w:hint="eastAsia" w:eastAsia="仿宋_GB2312" w:cs="Times New Roman"/>
          <w:sz w:val="32"/>
          <w:szCs w:val="32"/>
          <w:u w:val="single"/>
          <w:lang w:val="en-US" w:eastAsia="zh-CN"/>
        </w:rPr>
        <w:t xml:space="preserve">         </w:t>
      </w:r>
      <w:r>
        <w:rPr>
          <w:rFonts w:hint="eastAsia" w:eastAsia="仿宋_GB2312" w:cs="Times New Roman"/>
          <w:sz w:val="32"/>
          <w:szCs w:val="32"/>
          <w:u w:val="single"/>
          <w:lang w:eastAsia="zh-CN"/>
        </w:rPr>
        <w:t>利用及处理项目（</w:t>
      </w:r>
      <w:r>
        <w:rPr>
          <w:rFonts w:hint="eastAsia" w:eastAsia="仿宋_GB2312" w:cs="Times New Roman"/>
          <w:sz w:val="32"/>
          <w:szCs w:val="32"/>
          <w:u w:val="single"/>
          <w:lang w:val="en-US" w:eastAsia="zh-CN"/>
        </w:rPr>
        <w:t>重新报批</w:t>
      </w:r>
      <w:r>
        <w:rPr>
          <w:rFonts w:hint="eastAsia" w:eastAsia="仿宋_GB2312" w:cs="Times New Roman"/>
          <w:sz w:val="32"/>
          <w:szCs w:val="32"/>
          <w:u w:val="single"/>
          <w:lang w:eastAsia="zh-CN"/>
        </w:rPr>
        <w:t>）</w:t>
      </w:r>
      <w:r>
        <w:rPr>
          <w:rFonts w:hint="eastAsia" w:eastAsia="仿宋_GB2312" w:cs="Times New Roman"/>
          <w:sz w:val="32"/>
          <w:szCs w:val="32"/>
          <w:u w:val="single"/>
          <w:lang w:val="en-US" w:eastAsia="zh-CN"/>
        </w:rPr>
        <w:t xml:space="preserve">        </w:t>
      </w:r>
    </w:p>
    <w:p w14:paraId="41554967">
      <w:pPr>
        <w:adjustRightInd w:val="0"/>
        <w:snapToGrid w:val="0"/>
        <w:spacing w:line="288" w:lineRule="auto"/>
        <w:ind w:firstLine="960" w:firstLineChars="300"/>
        <w:rPr>
          <w:rFonts w:eastAsia="仿宋_GB2312" w:cs="Times New Roman"/>
          <w:sz w:val="32"/>
          <w:szCs w:val="32"/>
          <w:u w:val="single"/>
        </w:rPr>
      </w:pPr>
      <w:r>
        <w:rPr>
          <w:rFonts w:eastAsia="仿宋_GB2312" w:cs="Times New Roman"/>
          <w:sz w:val="32"/>
          <w:szCs w:val="32"/>
        </w:rPr>
        <w:t>建设单位（盖章）：</w:t>
      </w:r>
      <w:r>
        <w:rPr>
          <w:rFonts w:hint="eastAsia" w:eastAsia="仿宋_GB2312" w:cs="Times New Roman"/>
          <w:sz w:val="32"/>
          <w:szCs w:val="32"/>
          <w:u w:val="single"/>
        </w:rPr>
        <w:t xml:space="preserve"> 巴中瑞成环保科技有限公司</w:t>
      </w:r>
      <w:r>
        <w:rPr>
          <w:rFonts w:hint="eastAsia" w:eastAsia="仿宋_GB2312" w:cs="Times New Roman"/>
          <w:sz w:val="32"/>
          <w:szCs w:val="32"/>
          <w:u w:val="single"/>
          <w:lang w:val="en-US" w:eastAsia="zh-CN"/>
        </w:rPr>
        <w:t xml:space="preserve">   </w:t>
      </w:r>
      <w:r>
        <w:rPr>
          <w:rFonts w:eastAsia="仿宋_GB2312" w:cs="Times New Roman"/>
          <w:sz w:val="32"/>
          <w:szCs w:val="32"/>
          <w:u w:val="single"/>
        </w:rPr>
        <w:t xml:space="preserve"> </w:t>
      </w:r>
      <w:r>
        <w:rPr>
          <w:rFonts w:hint="eastAsia" w:eastAsia="仿宋_GB2312" w:cs="Times New Roman"/>
          <w:sz w:val="32"/>
          <w:szCs w:val="32"/>
          <w:u w:val="single"/>
          <w:lang w:val="en-US" w:eastAsia="zh-CN"/>
        </w:rPr>
        <w:t xml:space="preserve">     </w:t>
      </w:r>
      <w:r>
        <w:rPr>
          <w:rFonts w:eastAsia="仿宋_GB2312" w:cs="Times New Roman"/>
          <w:sz w:val="32"/>
          <w:szCs w:val="32"/>
          <w:u w:val="single"/>
        </w:rPr>
        <w:t xml:space="preserve"> </w:t>
      </w:r>
    </w:p>
    <w:p w14:paraId="7FEDD453">
      <w:pPr>
        <w:adjustRightInd w:val="0"/>
        <w:snapToGrid w:val="0"/>
        <w:spacing w:line="288" w:lineRule="auto"/>
        <w:ind w:firstLine="960" w:firstLineChars="300"/>
        <w:rPr>
          <w:rFonts w:eastAsia="仿宋_GB2312" w:cs="Times New Roman"/>
          <w:sz w:val="32"/>
          <w:szCs w:val="32"/>
          <w:u w:val="single"/>
        </w:rPr>
      </w:pPr>
      <w:r>
        <w:rPr>
          <w:rFonts w:eastAsia="仿宋_GB2312" w:cs="Times New Roman"/>
          <w:sz w:val="32"/>
          <w:szCs w:val="32"/>
        </w:rPr>
        <w:t>编制日期：</w:t>
      </w:r>
      <w:r>
        <w:rPr>
          <w:rFonts w:eastAsia="仿宋_GB2312" w:cs="Times New Roman"/>
          <w:sz w:val="32"/>
          <w:szCs w:val="32"/>
          <w:u w:val="single"/>
        </w:rPr>
        <w:t xml:space="preserve">        </w:t>
      </w:r>
      <w:r>
        <w:rPr>
          <w:rFonts w:hint="eastAsia" w:eastAsia="仿宋_GB2312" w:cs="Times New Roman"/>
          <w:sz w:val="32"/>
          <w:szCs w:val="32"/>
          <w:u w:val="single"/>
          <w:lang w:val="en-US" w:eastAsia="zh-CN"/>
        </w:rPr>
        <w:t xml:space="preserve">    </w:t>
      </w:r>
      <w:r>
        <w:rPr>
          <w:rFonts w:eastAsia="仿宋_GB2312" w:cs="Times New Roman"/>
          <w:sz w:val="32"/>
          <w:szCs w:val="32"/>
          <w:u w:val="single"/>
        </w:rPr>
        <w:t xml:space="preserve"> </w:t>
      </w:r>
      <w:r>
        <w:rPr>
          <w:rFonts w:hint="eastAsia" w:eastAsia="仿宋_GB2312" w:cs="Times New Roman"/>
          <w:sz w:val="32"/>
          <w:szCs w:val="32"/>
          <w:u w:val="single"/>
          <w:lang w:eastAsia="zh-CN"/>
        </w:rPr>
        <w:t>二〇二六</w:t>
      </w:r>
      <w:r>
        <w:rPr>
          <w:rFonts w:eastAsia="仿宋_GB2312" w:cs="Times New Roman"/>
          <w:sz w:val="32"/>
          <w:szCs w:val="32"/>
          <w:u w:val="single"/>
        </w:rPr>
        <w:t>年</w:t>
      </w:r>
      <w:r>
        <w:rPr>
          <w:rFonts w:hint="eastAsia" w:eastAsia="仿宋_GB2312" w:cs="Times New Roman"/>
          <w:sz w:val="32"/>
          <w:szCs w:val="32"/>
          <w:u w:val="single"/>
          <w:lang w:val="en-US" w:eastAsia="zh-CN"/>
        </w:rPr>
        <w:t>六</w:t>
      </w:r>
      <w:r>
        <w:rPr>
          <w:rFonts w:eastAsia="仿宋_GB2312" w:cs="Times New Roman"/>
          <w:sz w:val="32"/>
          <w:szCs w:val="32"/>
          <w:u w:val="single"/>
        </w:rPr>
        <w:t xml:space="preserve">月             </w:t>
      </w:r>
      <w:r>
        <w:rPr>
          <w:rFonts w:hint="eastAsia" w:eastAsia="仿宋_GB2312" w:cs="Times New Roman"/>
          <w:sz w:val="32"/>
          <w:szCs w:val="32"/>
          <w:u w:val="single"/>
          <w:lang w:val="en-US" w:eastAsia="zh-CN"/>
        </w:rPr>
        <w:t xml:space="preserve">  </w:t>
      </w:r>
      <w:r>
        <w:rPr>
          <w:rFonts w:eastAsia="仿宋_GB2312" w:cs="Times New Roman"/>
          <w:sz w:val="32"/>
          <w:szCs w:val="32"/>
          <w:u w:val="single"/>
        </w:rPr>
        <w:t xml:space="preserve"> </w:t>
      </w:r>
    </w:p>
    <w:p w14:paraId="61F7782D">
      <w:pPr>
        <w:adjustRightInd w:val="0"/>
        <w:snapToGrid w:val="0"/>
        <w:spacing w:line="288" w:lineRule="auto"/>
        <w:ind w:firstLine="720"/>
        <w:rPr>
          <w:rFonts w:eastAsia="仿宋_GB2312" w:cs="Times New Roman"/>
          <w:sz w:val="36"/>
          <w:szCs w:val="36"/>
          <w:u w:val="single"/>
        </w:rPr>
      </w:pPr>
      <w:bookmarkStart w:id="5" w:name="_Hlk57884087"/>
    </w:p>
    <w:p w14:paraId="610D8F71">
      <w:pPr>
        <w:adjustRightInd w:val="0"/>
        <w:snapToGrid w:val="0"/>
        <w:spacing w:line="288" w:lineRule="auto"/>
        <w:ind w:firstLine="720"/>
        <w:rPr>
          <w:rFonts w:eastAsia="仿宋_GB2312" w:cs="Times New Roman"/>
          <w:sz w:val="36"/>
          <w:szCs w:val="36"/>
        </w:rPr>
      </w:pPr>
    </w:p>
    <w:p w14:paraId="6044B944">
      <w:pPr>
        <w:adjustRightInd w:val="0"/>
        <w:snapToGrid w:val="0"/>
        <w:spacing w:line="288" w:lineRule="auto"/>
        <w:ind w:firstLine="720"/>
        <w:rPr>
          <w:rFonts w:eastAsia="仿宋_GB2312" w:cs="Times New Roman"/>
          <w:sz w:val="36"/>
          <w:szCs w:val="36"/>
        </w:rPr>
      </w:pPr>
    </w:p>
    <w:p w14:paraId="2939E444">
      <w:pPr>
        <w:pStyle w:val="15"/>
      </w:pPr>
    </w:p>
    <w:p w14:paraId="68C527D9">
      <w:pPr>
        <w:adjustRightInd w:val="0"/>
        <w:snapToGrid w:val="0"/>
        <w:spacing w:line="288" w:lineRule="auto"/>
        <w:ind w:firstLine="720"/>
        <w:rPr>
          <w:rFonts w:hint="eastAsia" w:eastAsia="仿宋_GB2312" w:cs="Times New Roman"/>
          <w:sz w:val="36"/>
          <w:szCs w:val="36"/>
        </w:rPr>
      </w:pPr>
    </w:p>
    <w:p w14:paraId="47845007">
      <w:pPr>
        <w:adjustRightInd w:val="0"/>
        <w:snapToGrid w:val="0"/>
        <w:spacing w:line="288" w:lineRule="auto"/>
        <w:ind w:firstLine="720"/>
        <w:rPr>
          <w:rFonts w:eastAsia="仿宋_GB2312" w:cs="Times New Roman"/>
          <w:sz w:val="36"/>
          <w:szCs w:val="36"/>
        </w:rPr>
      </w:pPr>
    </w:p>
    <w:bookmarkEnd w:id="5"/>
    <w:p w14:paraId="39FEECB8">
      <w:pPr>
        <w:adjustRightInd w:val="0"/>
        <w:snapToGrid w:val="0"/>
        <w:spacing w:line="288" w:lineRule="auto"/>
        <w:ind w:firstLine="720"/>
        <w:jc w:val="center"/>
        <w:rPr>
          <w:rFonts w:eastAsia="楷体_GB2312" w:cs="Times New Roman"/>
          <w:sz w:val="32"/>
          <w:szCs w:val="32"/>
        </w:rPr>
      </w:pPr>
      <w:r>
        <w:rPr>
          <w:rFonts w:eastAsia="楷体_GB2312" w:cs="Times New Roman"/>
          <w:sz w:val="32"/>
          <w:szCs w:val="32"/>
        </w:rPr>
        <w:t>中华人民共和国生态环境部制</w:t>
      </w:r>
    </w:p>
    <w:p w14:paraId="1973F2B6">
      <w:pPr>
        <w:pStyle w:val="2"/>
        <w:rPr>
          <w:rFonts w:ascii="Times New Roman" w:hAnsi="Times New Roman"/>
        </w:rPr>
        <w:sectPr>
          <w:headerReference r:id="rId7" w:type="first"/>
          <w:footerReference r:id="rId10" w:type="first"/>
          <w:headerReference r:id="rId5" w:type="default"/>
          <w:footerReference r:id="rId8" w:type="default"/>
          <w:headerReference r:id="rId6" w:type="even"/>
          <w:footerReference r:id="rId9" w:type="even"/>
          <w:pgSz w:w="11906" w:h="16838"/>
          <w:pgMar w:top="1440" w:right="1080" w:bottom="1440" w:left="1080" w:header="851" w:footer="567" w:gutter="0"/>
          <w:cols w:space="425" w:num="1"/>
          <w:docGrid w:type="lines" w:linePitch="326" w:charSpace="0"/>
        </w:sectPr>
      </w:pPr>
    </w:p>
    <w:p w14:paraId="22CEF82E">
      <w:pPr>
        <w:spacing w:line="360" w:lineRule="auto"/>
        <w:jc w:val="center"/>
        <w:rPr>
          <w:rFonts w:hint="eastAsia"/>
          <w:b/>
          <w:bCs/>
          <w:sz w:val="40"/>
          <w:szCs w:val="36"/>
          <w:lang w:val="en-US" w:eastAsia="zh-CN"/>
        </w:rPr>
      </w:pPr>
      <w:r>
        <w:rPr>
          <w:rFonts w:hint="eastAsia"/>
          <w:b/>
          <w:bCs/>
          <w:sz w:val="40"/>
          <w:szCs w:val="36"/>
          <w:lang w:val="en-US" w:eastAsia="zh-CN"/>
        </w:rPr>
        <w:t>目 录</w:t>
      </w:r>
    </w:p>
    <w:p w14:paraId="13EE4459">
      <w:pPr>
        <w:pStyle w:val="19"/>
        <w:tabs>
          <w:tab w:val="right" w:leader="dot" w:pos="9746"/>
        </w:tabs>
        <w:spacing w:line="360" w:lineRule="auto"/>
      </w:pPr>
      <w:r>
        <w:rPr>
          <w:rFonts w:hint="eastAsia"/>
          <w:lang w:val="en-US" w:eastAsia="zh-CN"/>
        </w:rPr>
        <w:fldChar w:fldCharType="begin"/>
      </w:r>
      <w:r>
        <w:rPr>
          <w:rFonts w:hint="eastAsia"/>
          <w:lang w:val="en-US" w:eastAsia="zh-CN"/>
        </w:rPr>
        <w:instrText xml:space="preserve">TOC \o "1-1" \u </w:instrText>
      </w:r>
      <w:r>
        <w:rPr>
          <w:rFonts w:hint="eastAsia"/>
          <w:lang w:val="en-US" w:eastAsia="zh-CN"/>
        </w:rPr>
        <w:fldChar w:fldCharType="separate"/>
      </w:r>
      <w:r>
        <w:rPr>
          <w:rFonts w:hint="eastAsia" w:ascii="Times New Roman" w:hAnsi="Times New Roman"/>
        </w:rPr>
        <w:t xml:space="preserve">一、 </w:t>
      </w:r>
      <w:r>
        <w:rPr>
          <w:rFonts w:ascii="Times New Roman" w:hAnsi="Times New Roman"/>
        </w:rPr>
        <w:t>建设项目基本情况</w:t>
      </w:r>
      <w:r>
        <w:tab/>
      </w:r>
      <w:r>
        <w:fldChar w:fldCharType="begin"/>
      </w:r>
      <w:r>
        <w:instrText xml:space="preserve"> PAGEREF _Toc29053 \h </w:instrText>
      </w:r>
      <w:r>
        <w:fldChar w:fldCharType="separate"/>
      </w:r>
      <w:r>
        <w:t>1</w:t>
      </w:r>
      <w:r>
        <w:fldChar w:fldCharType="end"/>
      </w:r>
    </w:p>
    <w:p w14:paraId="53865B8F">
      <w:pPr>
        <w:pStyle w:val="19"/>
        <w:tabs>
          <w:tab w:val="right" w:leader="dot" w:pos="9746"/>
        </w:tabs>
        <w:spacing w:line="360" w:lineRule="auto"/>
      </w:pPr>
      <w:r>
        <w:rPr>
          <w:rFonts w:hint="eastAsia" w:ascii="Times New Roman" w:hAnsi="Times New Roman"/>
        </w:rPr>
        <w:t xml:space="preserve">二、 </w:t>
      </w:r>
      <w:r>
        <w:rPr>
          <w:rFonts w:ascii="Times New Roman" w:hAnsi="Times New Roman"/>
        </w:rPr>
        <w:t>建设项目工程分析</w:t>
      </w:r>
      <w:r>
        <w:tab/>
      </w:r>
      <w:r>
        <w:fldChar w:fldCharType="begin"/>
      </w:r>
      <w:r>
        <w:instrText xml:space="preserve"> PAGEREF _Toc6038 \h </w:instrText>
      </w:r>
      <w:r>
        <w:fldChar w:fldCharType="separate"/>
      </w:r>
      <w:r>
        <w:t>42</w:t>
      </w:r>
      <w:r>
        <w:fldChar w:fldCharType="end"/>
      </w:r>
    </w:p>
    <w:p w14:paraId="3D19F101">
      <w:pPr>
        <w:pStyle w:val="19"/>
        <w:tabs>
          <w:tab w:val="right" w:leader="dot" w:pos="9746"/>
        </w:tabs>
        <w:spacing w:line="360" w:lineRule="auto"/>
      </w:pPr>
      <w:r>
        <w:rPr>
          <w:rFonts w:hint="eastAsia" w:ascii="Times New Roman" w:hAnsi="Times New Roman"/>
        </w:rPr>
        <w:t xml:space="preserve">三、 </w:t>
      </w:r>
      <w:r>
        <w:rPr>
          <w:rFonts w:ascii="Times New Roman" w:hAnsi="Times New Roman"/>
        </w:rPr>
        <w:t>区域环境质量现状、环境保护目标及评价标准</w:t>
      </w:r>
      <w:r>
        <w:tab/>
      </w:r>
      <w:r>
        <w:fldChar w:fldCharType="begin"/>
      </w:r>
      <w:r>
        <w:instrText xml:space="preserve"> PAGEREF _Toc2641 \h </w:instrText>
      </w:r>
      <w:r>
        <w:fldChar w:fldCharType="separate"/>
      </w:r>
      <w:r>
        <w:t>94</w:t>
      </w:r>
      <w:r>
        <w:fldChar w:fldCharType="end"/>
      </w:r>
    </w:p>
    <w:p w14:paraId="13E22C77">
      <w:pPr>
        <w:pStyle w:val="19"/>
        <w:tabs>
          <w:tab w:val="right" w:leader="dot" w:pos="9746"/>
        </w:tabs>
        <w:spacing w:line="360" w:lineRule="auto"/>
      </w:pPr>
      <w:r>
        <w:rPr>
          <w:rFonts w:hint="eastAsia" w:ascii="Times New Roman" w:hAnsi="Times New Roman"/>
        </w:rPr>
        <w:t xml:space="preserve">四、 </w:t>
      </w:r>
      <w:r>
        <w:rPr>
          <w:rFonts w:ascii="Times New Roman" w:hAnsi="Times New Roman"/>
        </w:rPr>
        <w:t>主要环境影响和保护措施</w:t>
      </w:r>
      <w:r>
        <w:tab/>
      </w:r>
      <w:r>
        <w:fldChar w:fldCharType="begin"/>
      </w:r>
      <w:r>
        <w:instrText xml:space="preserve"> PAGEREF _Toc21631 \h </w:instrText>
      </w:r>
      <w:r>
        <w:fldChar w:fldCharType="separate"/>
      </w:r>
      <w:r>
        <w:t>104</w:t>
      </w:r>
      <w:r>
        <w:fldChar w:fldCharType="end"/>
      </w:r>
    </w:p>
    <w:p w14:paraId="3C385911">
      <w:pPr>
        <w:pStyle w:val="19"/>
        <w:tabs>
          <w:tab w:val="right" w:leader="dot" w:pos="9746"/>
        </w:tabs>
        <w:spacing w:line="360" w:lineRule="auto"/>
      </w:pPr>
      <w:r>
        <w:rPr>
          <w:rFonts w:hint="eastAsia" w:ascii="Times New Roman" w:hAnsi="Times New Roman"/>
        </w:rPr>
        <w:t xml:space="preserve">五、 </w:t>
      </w:r>
      <w:r>
        <w:rPr>
          <w:rFonts w:ascii="Times New Roman" w:hAnsi="Times New Roman"/>
        </w:rPr>
        <w:t>环境保护措施监督检查清单</w:t>
      </w:r>
      <w:r>
        <w:tab/>
      </w:r>
      <w:r>
        <w:fldChar w:fldCharType="begin"/>
      </w:r>
      <w:r>
        <w:instrText xml:space="preserve"> PAGEREF _Toc30635 \h </w:instrText>
      </w:r>
      <w:r>
        <w:fldChar w:fldCharType="separate"/>
      </w:r>
      <w:r>
        <w:t>146</w:t>
      </w:r>
      <w:r>
        <w:fldChar w:fldCharType="end"/>
      </w:r>
    </w:p>
    <w:p w14:paraId="5541F3EB">
      <w:pPr>
        <w:pStyle w:val="19"/>
        <w:tabs>
          <w:tab w:val="right" w:leader="dot" w:pos="9746"/>
        </w:tabs>
        <w:spacing w:line="360" w:lineRule="auto"/>
      </w:pPr>
      <w:r>
        <w:rPr>
          <w:rFonts w:hint="eastAsia" w:ascii="Times New Roman" w:hAnsi="Times New Roman"/>
        </w:rPr>
        <w:t xml:space="preserve">六、 </w:t>
      </w:r>
      <w:r>
        <w:rPr>
          <w:rFonts w:ascii="Times New Roman" w:hAnsi="Times New Roman"/>
        </w:rPr>
        <w:t>结论</w:t>
      </w:r>
      <w:r>
        <w:tab/>
      </w:r>
      <w:r>
        <w:fldChar w:fldCharType="begin"/>
      </w:r>
      <w:r>
        <w:instrText xml:space="preserve"> PAGEREF _Toc15298 \h </w:instrText>
      </w:r>
      <w:r>
        <w:fldChar w:fldCharType="separate"/>
      </w:r>
      <w:r>
        <w:t>148</w:t>
      </w:r>
      <w:r>
        <w:fldChar w:fldCharType="end"/>
      </w:r>
    </w:p>
    <w:p w14:paraId="162CD9F6">
      <w:pPr>
        <w:pStyle w:val="19"/>
        <w:tabs>
          <w:tab w:val="right" w:leader="dot" w:pos="9746"/>
        </w:tabs>
        <w:spacing w:line="360" w:lineRule="auto"/>
      </w:pPr>
      <w:r>
        <w:rPr>
          <w:rFonts w:eastAsia="黑体" w:cs="Times New Roman"/>
          <w:snapToGrid w:val="0"/>
          <w:szCs w:val="32"/>
        </w:rPr>
        <w:t>附表</w:t>
      </w:r>
      <w:r>
        <w:tab/>
      </w:r>
      <w:r>
        <w:fldChar w:fldCharType="begin"/>
      </w:r>
      <w:r>
        <w:instrText xml:space="preserve"> PAGEREF _Toc24922 \h </w:instrText>
      </w:r>
      <w:r>
        <w:fldChar w:fldCharType="separate"/>
      </w:r>
      <w:r>
        <w:t>149</w:t>
      </w:r>
      <w:r>
        <w:fldChar w:fldCharType="end"/>
      </w:r>
    </w:p>
    <w:p w14:paraId="2ECE2E1A">
      <w:pPr>
        <w:spacing w:line="360" w:lineRule="auto"/>
        <w:rPr>
          <w:rFonts w:hint="eastAsia"/>
          <w:lang w:val="en-US" w:eastAsia="zh-CN"/>
        </w:rPr>
        <w:sectPr>
          <w:pgSz w:w="11906" w:h="16838"/>
          <w:pgMar w:top="1440" w:right="1080" w:bottom="1440" w:left="1080" w:header="851" w:footer="567" w:gutter="0"/>
          <w:cols w:space="425" w:num="1"/>
          <w:docGrid w:type="lines" w:linePitch="326" w:charSpace="0"/>
        </w:sectPr>
      </w:pPr>
      <w:r>
        <w:rPr>
          <w:rFonts w:hint="eastAsia"/>
          <w:lang w:val="en-US" w:eastAsia="zh-CN"/>
        </w:rPr>
        <w:fldChar w:fldCharType="end"/>
      </w:r>
    </w:p>
    <w:p w14:paraId="5506D765">
      <w:pPr>
        <w:keepNext w:val="0"/>
        <w:keepLines w:val="0"/>
        <w:pageBreakBefore w:val="0"/>
        <w:widowControl w:val="0"/>
        <w:kinsoku/>
        <w:wordWrap/>
        <w:overflowPunct/>
        <w:topLinePunct w:val="0"/>
        <w:autoSpaceDE/>
        <w:autoSpaceDN/>
        <w:bidi w:val="0"/>
        <w:adjustRightInd/>
        <w:snapToGrid/>
        <w:spacing w:line="288" w:lineRule="auto"/>
        <w:ind w:left="0" w:leftChars="0" w:firstLine="0" w:firstLineChars="0"/>
        <w:textAlignment w:val="auto"/>
        <w:rPr>
          <w:rFonts w:hint="eastAsia"/>
          <w:b/>
          <w:bCs/>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附图：</w:t>
      </w:r>
    </w:p>
    <w:p w14:paraId="74CDF833">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附图1 地理位置图</w:t>
      </w:r>
    </w:p>
    <w:p w14:paraId="1028D94D">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附图2 项目500m范围内外环境关系图</w:t>
      </w:r>
    </w:p>
    <w:p w14:paraId="7D9679DD">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附图3 平面布置图</w:t>
      </w:r>
    </w:p>
    <w:p w14:paraId="0B91FF47">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附图3-1 一号厂房平面布置图</w:t>
      </w:r>
    </w:p>
    <w:p w14:paraId="050588E0">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附图3-2 二号厂房平面布置图</w:t>
      </w:r>
    </w:p>
    <w:p w14:paraId="147CE7DD">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附图3-3 三号厂房平面布置图</w:t>
      </w:r>
    </w:p>
    <w:p w14:paraId="5B8913CF">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附图3-4 一号厂房分区防渗示意图</w:t>
      </w:r>
    </w:p>
    <w:p w14:paraId="11A03484">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附图3-5 二号厂房分区防渗示意图</w:t>
      </w:r>
    </w:p>
    <w:p w14:paraId="0727C53B">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附图3-6 三号厂房分区防渗示意图</w:t>
      </w:r>
    </w:p>
    <w:p w14:paraId="24729D5B">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附图3-7 厂房外污水管线示意图</w:t>
      </w:r>
    </w:p>
    <w:p w14:paraId="1135E724">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附图4 监测点位示意图</w:t>
      </w:r>
    </w:p>
    <w:p w14:paraId="0FA037F8">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附图5 土地利用规划图</w:t>
      </w:r>
    </w:p>
    <w:p w14:paraId="5D90AAB6">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附图6 与排水规划位置关系图</w:t>
      </w:r>
    </w:p>
    <w:p w14:paraId="4A164834">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附图7 与保护区位置关系图</w:t>
      </w:r>
    </w:p>
    <w:p w14:paraId="591C4EE9">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附图8 项目大气评价范围图</w:t>
      </w:r>
    </w:p>
    <w:p w14:paraId="190D0B6D">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附图9 项目卫生防护距离图</w:t>
      </w:r>
    </w:p>
    <w:p w14:paraId="15D0E83A">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color w:val="000000" w:themeColor="text1"/>
          <w:lang w:val="en-US" w:eastAsia="zh-CN"/>
          <w14:textFill>
            <w14:solidFill>
              <w14:schemeClr w14:val="tx1"/>
            </w14:solidFill>
          </w14:textFill>
        </w:rPr>
      </w:pPr>
    </w:p>
    <w:p w14:paraId="53465F85">
      <w:pPr>
        <w:keepNext w:val="0"/>
        <w:keepLines w:val="0"/>
        <w:pageBreakBefore w:val="0"/>
        <w:widowControl w:val="0"/>
        <w:kinsoku/>
        <w:wordWrap/>
        <w:overflowPunct/>
        <w:topLinePunct w:val="0"/>
        <w:autoSpaceDE/>
        <w:autoSpaceDN/>
        <w:bidi w:val="0"/>
        <w:adjustRightInd/>
        <w:snapToGrid/>
        <w:spacing w:line="288" w:lineRule="auto"/>
        <w:ind w:left="0" w:leftChars="0" w:firstLine="0" w:firstLineChars="0"/>
        <w:textAlignment w:val="auto"/>
        <w:rPr>
          <w:rFonts w:hint="eastAsia"/>
          <w:b/>
          <w:bCs/>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附件：</w:t>
      </w:r>
    </w:p>
    <w:p w14:paraId="173F35FB">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附件1 项目委托书</w:t>
      </w:r>
    </w:p>
    <w:p w14:paraId="1BEE8286">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附件2 备案证明</w:t>
      </w:r>
    </w:p>
    <w:p w14:paraId="452EC5AB">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附件3 营业执照及法人身份证</w:t>
      </w:r>
    </w:p>
    <w:p w14:paraId="5CFC17AA">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附件4 厂房租赁合同及土地证</w:t>
      </w:r>
    </w:p>
    <w:p w14:paraId="3B8BDD11">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附件5 入园许可</w:t>
      </w:r>
    </w:p>
    <w:p w14:paraId="71ABF779">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附件6 园区环评批复</w:t>
      </w:r>
    </w:p>
    <w:p w14:paraId="78F85347">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附件7 租赁厂房原有环评批复</w:t>
      </w:r>
    </w:p>
    <w:p w14:paraId="4F549193">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附件8 原有环评批复</w:t>
      </w:r>
    </w:p>
    <w:p w14:paraId="758E809D">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附件9 水基岩屑成分检测报告</w:t>
      </w:r>
    </w:p>
    <w:p w14:paraId="76559FFD">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附件10 热脱附干渣成分检测报告</w:t>
      </w:r>
    </w:p>
    <w:p w14:paraId="1CFDC678">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附件11 热脱附干渣危险特性鉴别报告（摘录结论）及专家意见</w:t>
      </w:r>
    </w:p>
    <w:p w14:paraId="71945851">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附件12 固化剂成分检测报告</w:t>
      </w:r>
    </w:p>
    <w:p w14:paraId="1AC25186">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附件13 补充监测报告</w:t>
      </w:r>
    </w:p>
    <w:p w14:paraId="2B215B8D">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附件14 压滤废水处置意向协议及委托处置公司环保手续</w:t>
      </w:r>
    </w:p>
    <w:p w14:paraId="60E58C4E">
      <w:pPr>
        <w:rPr>
          <w:rFonts w:hint="eastAsia"/>
          <w:color w:val="000000" w:themeColor="text1"/>
          <w:lang w:val="en-US" w:eastAsia="zh-CN"/>
          <w14:textFill>
            <w14:solidFill>
              <w14:schemeClr w14:val="tx1"/>
            </w14:solidFill>
          </w14:textFill>
        </w:rPr>
      </w:pPr>
    </w:p>
    <w:p w14:paraId="626E9DE3">
      <w:pPr>
        <w:ind w:firstLine="420" w:firstLineChars="0"/>
        <w:rPr>
          <w:rFonts w:hint="default"/>
          <w:lang w:val="en-US" w:eastAsia="zh-CN"/>
        </w:rPr>
      </w:pPr>
    </w:p>
    <w:p w14:paraId="3494463C">
      <w:pPr>
        <w:sectPr>
          <w:pgSz w:w="11906" w:h="16838"/>
          <w:pgMar w:top="1440" w:right="1080" w:bottom="1440" w:left="1080" w:header="851" w:footer="567" w:gutter="0"/>
          <w:cols w:space="425" w:num="1"/>
          <w:docGrid w:type="lines" w:linePitch="326" w:charSpace="0"/>
        </w:sectPr>
      </w:pPr>
    </w:p>
    <w:p w14:paraId="772FC0C8">
      <w:pPr>
        <w:pStyle w:val="2"/>
        <w:rPr>
          <w:rFonts w:ascii="Times New Roman" w:hAnsi="Times New Roman"/>
        </w:rPr>
      </w:pPr>
      <w:bookmarkStart w:id="6" w:name="_Toc29053"/>
      <w:r>
        <w:rPr>
          <w:rFonts w:ascii="Times New Roman" w:hAnsi="Times New Roman"/>
        </w:rPr>
        <w:fldChar w:fldCharType="begin"/>
      </w:r>
      <w:r>
        <w:rPr>
          <w:rFonts w:ascii="Times New Roman" w:hAnsi="Times New Roman"/>
        </w:rPr>
        <w:instrText xml:space="preserve"> SEQ seq \h </w:instrText>
      </w:r>
      <w:r>
        <w:rPr>
          <w:rFonts w:ascii="Times New Roman" w:hAnsi="Times New Roman"/>
        </w:rPr>
        <w:fldChar w:fldCharType="separate"/>
      </w:r>
      <w:r>
        <w:rPr>
          <w:rFonts w:ascii="Times New Roman" w:hAnsi="Times New Roman"/>
        </w:rPr>
        <w:fldChar w:fldCharType="end"/>
      </w:r>
      <w:r>
        <w:rPr>
          <w:rFonts w:ascii="Times New Roman" w:hAnsi="Times New Roman"/>
        </w:rPr>
        <w:t>建设项目基本情况</w:t>
      </w:r>
      <w:bookmarkEnd w:id="0"/>
      <w:bookmarkEnd w:id="6"/>
    </w:p>
    <w:bookmarkEnd w:id="1"/>
    <w:bookmarkEnd w:id="2"/>
    <w:tbl>
      <w:tblPr>
        <w:tblStyle w:val="26"/>
        <w:tblW w:w="5123"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57" w:type="dxa"/>
          <w:bottom w:w="0" w:type="dxa"/>
          <w:right w:w="57" w:type="dxa"/>
        </w:tblCellMar>
      </w:tblPr>
      <w:tblGrid>
        <w:gridCol w:w="1684"/>
        <w:gridCol w:w="2743"/>
        <w:gridCol w:w="1309"/>
        <w:gridCol w:w="4324"/>
      </w:tblGrid>
      <w:tr w14:paraId="47B13B7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836" w:type="pct"/>
            <w:tcMar>
              <w:top w:w="16" w:type="dxa"/>
              <w:left w:w="16" w:type="dxa"/>
              <w:right w:w="16" w:type="dxa"/>
            </w:tcMar>
            <w:vAlign w:val="center"/>
          </w:tcPr>
          <w:p w14:paraId="5228D65E">
            <w:pPr>
              <w:pStyle w:val="24"/>
              <w:spacing w:line="240" w:lineRule="auto"/>
              <w:rPr>
                <w:rFonts w:cs="Times New Roman"/>
                <w:sz w:val="24"/>
                <w:szCs w:val="24"/>
              </w:rPr>
            </w:pPr>
            <w:r>
              <w:rPr>
                <w:rFonts w:cs="Times New Roman"/>
                <w:sz w:val="24"/>
                <w:szCs w:val="24"/>
              </w:rPr>
              <w:t>建设项目名称</w:t>
            </w:r>
          </w:p>
        </w:tc>
        <w:tc>
          <w:tcPr>
            <w:tcW w:w="4163" w:type="pct"/>
            <w:gridSpan w:val="3"/>
            <w:vAlign w:val="center"/>
          </w:tcPr>
          <w:p w14:paraId="03B4BC87">
            <w:pPr>
              <w:pStyle w:val="20"/>
              <w:spacing w:line="240" w:lineRule="auto"/>
              <w:rPr>
                <w:rFonts w:hint="eastAsia" w:eastAsia="宋体" w:cs="Times New Roman"/>
                <w:sz w:val="24"/>
                <w:szCs w:val="24"/>
                <w:lang w:eastAsia="zh-CN"/>
              </w:rPr>
            </w:pPr>
            <w:r>
              <w:rPr>
                <w:rFonts w:hint="eastAsia" w:ascii="宋体" w:cs="宋体"/>
                <w:kern w:val="0"/>
                <w:sz w:val="24"/>
                <w:szCs w:val="24"/>
                <w:lang w:eastAsia="zh-CN"/>
              </w:rPr>
              <w:t>巴中瑞成环保科技有限公司水基岩屑综合利用及处理项目（</w:t>
            </w:r>
            <w:r>
              <w:rPr>
                <w:rFonts w:hint="eastAsia" w:ascii="宋体" w:cs="宋体"/>
                <w:kern w:val="0"/>
                <w:sz w:val="24"/>
                <w:szCs w:val="24"/>
                <w:lang w:val="en-US" w:eastAsia="zh-CN"/>
              </w:rPr>
              <w:t>重新报批</w:t>
            </w:r>
            <w:r>
              <w:rPr>
                <w:rFonts w:hint="eastAsia" w:ascii="宋体" w:cs="宋体"/>
                <w:kern w:val="0"/>
                <w:sz w:val="24"/>
                <w:szCs w:val="24"/>
                <w:lang w:eastAsia="zh-CN"/>
              </w:rPr>
              <w:t>）</w:t>
            </w:r>
          </w:p>
        </w:tc>
      </w:tr>
      <w:bookmarkEnd w:id="3"/>
      <w:tr w14:paraId="54DA5AF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836" w:type="pct"/>
            <w:tcMar>
              <w:top w:w="16" w:type="dxa"/>
              <w:left w:w="16" w:type="dxa"/>
              <w:right w:w="16" w:type="dxa"/>
            </w:tcMar>
            <w:vAlign w:val="center"/>
          </w:tcPr>
          <w:p w14:paraId="7544304E">
            <w:pPr>
              <w:pStyle w:val="24"/>
              <w:spacing w:line="240" w:lineRule="auto"/>
              <w:rPr>
                <w:rFonts w:cs="Times New Roman"/>
                <w:sz w:val="24"/>
                <w:szCs w:val="24"/>
              </w:rPr>
            </w:pPr>
            <w:r>
              <w:rPr>
                <w:rFonts w:cs="Times New Roman"/>
                <w:sz w:val="24"/>
                <w:szCs w:val="24"/>
              </w:rPr>
              <w:t>项目代码</w:t>
            </w:r>
          </w:p>
        </w:tc>
        <w:tc>
          <w:tcPr>
            <w:tcW w:w="4163" w:type="pct"/>
            <w:gridSpan w:val="3"/>
            <w:vAlign w:val="center"/>
          </w:tcPr>
          <w:p w14:paraId="53FE10E1">
            <w:pPr>
              <w:pStyle w:val="20"/>
              <w:spacing w:line="240" w:lineRule="auto"/>
              <w:rPr>
                <w:rFonts w:hint="default" w:eastAsia="宋体" w:cs="Times New Roman"/>
                <w:sz w:val="24"/>
                <w:szCs w:val="24"/>
                <w:lang w:val="en-US" w:eastAsia="zh-CN"/>
              </w:rPr>
            </w:pPr>
            <w:r>
              <w:rPr>
                <w:rFonts w:hint="eastAsia"/>
                <w:sz w:val="24"/>
                <w:szCs w:val="24"/>
                <w:lang w:val="en-US" w:eastAsia="zh-CN"/>
              </w:rPr>
              <w:t>2407-511923-04-01-943048</w:t>
            </w:r>
          </w:p>
        </w:tc>
      </w:tr>
      <w:tr w14:paraId="4EA1FB4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836" w:type="pct"/>
            <w:tcMar>
              <w:top w:w="16" w:type="dxa"/>
              <w:left w:w="16" w:type="dxa"/>
              <w:right w:w="16" w:type="dxa"/>
            </w:tcMar>
            <w:vAlign w:val="center"/>
          </w:tcPr>
          <w:p w14:paraId="57E147D1">
            <w:pPr>
              <w:pStyle w:val="24"/>
              <w:spacing w:line="240" w:lineRule="auto"/>
              <w:rPr>
                <w:rFonts w:cs="Times New Roman"/>
                <w:sz w:val="24"/>
                <w:szCs w:val="24"/>
              </w:rPr>
            </w:pPr>
            <w:r>
              <w:rPr>
                <w:rFonts w:cs="Times New Roman"/>
                <w:sz w:val="24"/>
                <w:szCs w:val="24"/>
              </w:rPr>
              <w:t>建设单位联系人</w:t>
            </w:r>
          </w:p>
        </w:tc>
        <w:tc>
          <w:tcPr>
            <w:tcW w:w="1363" w:type="pct"/>
            <w:vAlign w:val="center"/>
          </w:tcPr>
          <w:p w14:paraId="788D07B2">
            <w:pPr>
              <w:pStyle w:val="20"/>
              <w:spacing w:line="240" w:lineRule="auto"/>
              <w:rPr>
                <w:rFonts w:cs="Times New Roman"/>
                <w:sz w:val="24"/>
                <w:szCs w:val="24"/>
              </w:rPr>
            </w:pPr>
            <w:r>
              <w:rPr>
                <w:rFonts w:hint="eastAsia" w:cs="Times New Roman"/>
                <w:sz w:val="24"/>
                <w:szCs w:val="24"/>
              </w:rPr>
              <w:t>杨桃</w:t>
            </w:r>
          </w:p>
        </w:tc>
        <w:tc>
          <w:tcPr>
            <w:tcW w:w="650" w:type="pct"/>
            <w:vAlign w:val="center"/>
          </w:tcPr>
          <w:p w14:paraId="556D31A5">
            <w:pPr>
              <w:pStyle w:val="24"/>
              <w:spacing w:line="240" w:lineRule="auto"/>
              <w:rPr>
                <w:rFonts w:cs="Times New Roman"/>
                <w:sz w:val="24"/>
                <w:szCs w:val="24"/>
              </w:rPr>
            </w:pPr>
            <w:r>
              <w:rPr>
                <w:rFonts w:cs="Times New Roman"/>
                <w:sz w:val="24"/>
                <w:szCs w:val="24"/>
              </w:rPr>
              <w:t>联系方式</w:t>
            </w:r>
          </w:p>
        </w:tc>
        <w:tc>
          <w:tcPr>
            <w:tcW w:w="2148" w:type="pct"/>
            <w:vAlign w:val="center"/>
          </w:tcPr>
          <w:p w14:paraId="59167C0E">
            <w:pPr>
              <w:pStyle w:val="20"/>
              <w:spacing w:line="240" w:lineRule="auto"/>
              <w:rPr>
                <w:rFonts w:cs="Times New Roman"/>
                <w:sz w:val="24"/>
                <w:szCs w:val="24"/>
              </w:rPr>
            </w:pPr>
            <w:r>
              <w:rPr>
                <w:rFonts w:cs="Times New Roman"/>
                <w:sz w:val="24"/>
                <w:szCs w:val="24"/>
              </w:rPr>
              <w:t>18116793168</w:t>
            </w:r>
          </w:p>
        </w:tc>
      </w:tr>
      <w:tr w14:paraId="063C044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836" w:type="pct"/>
            <w:tcMar>
              <w:top w:w="16" w:type="dxa"/>
              <w:left w:w="16" w:type="dxa"/>
              <w:right w:w="16" w:type="dxa"/>
            </w:tcMar>
            <w:vAlign w:val="center"/>
          </w:tcPr>
          <w:p w14:paraId="3730C21B">
            <w:pPr>
              <w:pStyle w:val="24"/>
              <w:spacing w:line="240" w:lineRule="auto"/>
              <w:rPr>
                <w:rFonts w:cs="Times New Roman"/>
                <w:sz w:val="24"/>
                <w:szCs w:val="24"/>
              </w:rPr>
            </w:pPr>
            <w:r>
              <w:rPr>
                <w:rFonts w:cs="Times New Roman"/>
                <w:sz w:val="24"/>
                <w:szCs w:val="24"/>
              </w:rPr>
              <w:t>建设地点</w:t>
            </w:r>
          </w:p>
        </w:tc>
        <w:tc>
          <w:tcPr>
            <w:tcW w:w="4163" w:type="pct"/>
            <w:gridSpan w:val="3"/>
            <w:vAlign w:val="center"/>
          </w:tcPr>
          <w:p w14:paraId="6241CC50">
            <w:pPr>
              <w:pStyle w:val="20"/>
              <w:spacing w:line="240" w:lineRule="auto"/>
              <w:rPr>
                <w:rFonts w:hint="eastAsia"/>
                <w:sz w:val="24"/>
                <w:szCs w:val="24"/>
              </w:rPr>
            </w:pPr>
            <w:r>
              <w:rPr>
                <w:rFonts w:hint="eastAsia"/>
                <w:sz w:val="24"/>
                <w:szCs w:val="24"/>
              </w:rPr>
              <w:t>四川省平昌县星光工业园施迈路</w:t>
            </w:r>
            <w:r>
              <w:rPr>
                <w:sz w:val="24"/>
                <w:szCs w:val="24"/>
              </w:rPr>
              <w:t>1</w:t>
            </w:r>
            <w:r>
              <w:rPr>
                <w:rFonts w:hint="eastAsia"/>
                <w:sz w:val="24"/>
                <w:szCs w:val="24"/>
              </w:rPr>
              <w:t>号</w:t>
            </w:r>
          </w:p>
          <w:p w14:paraId="64936950">
            <w:pPr>
              <w:pStyle w:val="20"/>
              <w:spacing w:line="240" w:lineRule="auto"/>
              <w:rPr>
                <w:rFonts w:hint="eastAsia" w:eastAsia="宋体" w:cs="Times New Roman"/>
                <w:sz w:val="24"/>
                <w:szCs w:val="24"/>
                <w:lang w:eastAsia="zh-CN"/>
              </w:rPr>
            </w:pPr>
            <w:r>
              <w:rPr>
                <w:rFonts w:hint="eastAsia"/>
                <w:sz w:val="24"/>
                <w:szCs w:val="24"/>
                <w:lang w:eastAsia="zh-CN"/>
              </w:rPr>
              <w:t>（</w:t>
            </w:r>
            <w:r>
              <w:rPr>
                <w:rFonts w:hint="eastAsia"/>
                <w:sz w:val="24"/>
                <w:szCs w:val="24"/>
                <w:lang w:val="en-US" w:eastAsia="zh-CN"/>
              </w:rPr>
              <w:t>1号厂房、2号厂房、3号厂房</w:t>
            </w:r>
            <w:r>
              <w:rPr>
                <w:rFonts w:hint="eastAsia"/>
                <w:sz w:val="24"/>
                <w:szCs w:val="24"/>
                <w:lang w:eastAsia="zh-CN"/>
              </w:rPr>
              <w:t>）</w:t>
            </w:r>
          </w:p>
        </w:tc>
      </w:tr>
      <w:tr w14:paraId="36EDB5D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836" w:type="pct"/>
            <w:tcMar>
              <w:top w:w="16" w:type="dxa"/>
              <w:left w:w="16" w:type="dxa"/>
              <w:right w:w="16" w:type="dxa"/>
            </w:tcMar>
            <w:vAlign w:val="center"/>
          </w:tcPr>
          <w:p w14:paraId="477D901B">
            <w:pPr>
              <w:pStyle w:val="24"/>
              <w:spacing w:line="240" w:lineRule="auto"/>
              <w:rPr>
                <w:rFonts w:cs="Times New Roman"/>
                <w:sz w:val="24"/>
                <w:szCs w:val="24"/>
              </w:rPr>
            </w:pPr>
            <w:r>
              <w:rPr>
                <w:rFonts w:cs="Times New Roman"/>
                <w:sz w:val="24"/>
                <w:szCs w:val="24"/>
              </w:rPr>
              <w:t>地理坐标</w:t>
            </w:r>
          </w:p>
        </w:tc>
        <w:tc>
          <w:tcPr>
            <w:tcW w:w="4163" w:type="pct"/>
            <w:gridSpan w:val="3"/>
            <w:vAlign w:val="center"/>
          </w:tcPr>
          <w:p w14:paraId="370E3400">
            <w:pPr>
              <w:pStyle w:val="20"/>
              <w:spacing w:line="240" w:lineRule="auto"/>
              <w:rPr>
                <w:rFonts w:cs="Times New Roman"/>
                <w:sz w:val="24"/>
                <w:szCs w:val="24"/>
              </w:rPr>
            </w:pPr>
            <w:r>
              <w:rPr>
                <w:rFonts w:cs="Times New Roman"/>
                <w:sz w:val="24"/>
                <w:szCs w:val="24"/>
              </w:rPr>
              <w:t>（ 东经107 度 8 分 17.472 秒， 北纬</w:t>
            </w:r>
            <w:r>
              <w:rPr>
                <w:rFonts w:hint="eastAsia" w:cs="Times New Roman"/>
                <w:sz w:val="24"/>
                <w:szCs w:val="24"/>
              </w:rPr>
              <w:t xml:space="preserve"> </w:t>
            </w:r>
            <w:r>
              <w:rPr>
                <w:rFonts w:cs="Times New Roman"/>
                <w:sz w:val="24"/>
                <w:szCs w:val="24"/>
              </w:rPr>
              <w:t>31 度 31 分 55.248 秒）</w:t>
            </w:r>
          </w:p>
        </w:tc>
      </w:tr>
      <w:tr w14:paraId="2B42A20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836" w:type="pct"/>
            <w:tcMar>
              <w:top w:w="16" w:type="dxa"/>
              <w:left w:w="16" w:type="dxa"/>
              <w:right w:w="16" w:type="dxa"/>
            </w:tcMar>
            <w:vAlign w:val="center"/>
          </w:tcPr>
          <w:p w14:paraId="5865209D">
            <w:pPr>
              <w:pStyle w:val="24"/>
              <w:spacing w:line="240" w:lineRule="auto"/>
              <w:rPr>
                <w:rFonts w:cs="Times New Roman"/>
                <w:sz w:val="24"/>
                <w:szCs w:val="24"/>
              </w:rPr>
            </w:pPr>
            <w:r>
              <w:rPr>
                <w:rFonts w:cs="Times New Roman"/>
                <w:sz w:val="24"/>
                <w:szCs w:val="24"/>
              </w:rPr>
              <w:t>国民经济行业类别</w:t>
            </w:r>
          </w:p>
        </w:tc>
        <w:tc>
          <w:tcPr>
            <w:tcW w:w="1363" w:type="pct"/>
            <w:vAlign w:val="center"/>
          </w:tcPr>
          <w:p w14:paraId="0AE820ED">
            <w:pPr>
              <w:spacing w:line="240" w:lineRule="auto"/>
              <w:ind w:firstLine="0" w:firstLineChars="0"/>
              <w:rPr>
                <w:sz w:val="24"/>
                <w:szCs w:val="24"/>
              </w:rPr>
            </w:pPr>
            <w:bookmarkStart w:id="7" w:name="OLE_LINK4"/>
            <w:bookmarkStart w:id="8" w:name="OLE_LINK10"/>
            <w:r>
              <w:rPr>
                <w:rFonts w:hint="eastAsia"/>
                <w:sz w:val="24"/>
                <w:szCs w:val="24"/>
              </w:rPr>
              <w:t>C</w:t>
            </w:r>
            <w:r>
              <w:rPr>
                <w:sz w:val="24"/>
                <w:szCs w:val="24"/>
              </w:rPr>
              <w:t xml:space="preserve">3031 </w:t>
            </w:r>
            <w:r>
              <w:rPr>
                <w:rFonts w:hint="eastAsia"/>
                <w:sz w:val="24"/>
                <w:szCs w:val="24"/>
              </w:rPr>
              <w:t>黏土砖瓦及建筑砌块制造；</w:t>
            </w:r>
          </w:p>
          <w:p w14:paraId="7395355D">
            <w:pPr>
              <w:spacing w:line="240" w:lineRule="auto"/>
              <w:ind w:firstLine="0" w:firstLineChars="0"/>
              <w:rPr>
                <w:sz w:val="24"/>
                <w:szCs w:val="24"/>
              </w:rPr>
            </w:pPr>
            <w:r>
              <w:rPr>
                <w:rFonts w:hint="eastAsia"/>
                <w:sz w:val="24"/>
                <w:szCs w:val="24"/>
              </w:rPr>
              <w:t>C</w:t>
            </w:r>
            <w:r>
              <w:rPr>
                <w:sz w:val="24"/>
                <w:szCs w:val="24"/>
              </w:rPr>
              <w:t xml:space="preserve">3039 </w:t>
            </w:r>
            <w:r>
              <w:rPr>
                <w:rFonts w:hint="eastAsia"/>
                <w:sz w:val="24"/>
                <w:szCs w:val="24"/>
              </w:rPr>
              <w:t>其他建筑材料制造；</w:t>
            </w:r>
          </w:p>
          <w:p w14:paraId="3AA11362">
            <w:pPr>
              <w:spacing w:line="240" w:lineRule="auto"/>
              <w:ind w:firstLine="0" w:firstLineChars="0"/>
              <w:rPr>
                <w:sz w:val="24"/>
                <w:szCs w:val="24"/>
              </w:rPr>
            </w:pPr>
            <w:r>
              <w:rPr>
                <w:rFonts w:hint="eastAsia"/>
                <w:sz w:val="24"/>
                <w:szCs w:val="24"/>
              </w:rPr>
              <w:t>N</w:t>
            </w:r>
            <w:r>
              <w:rPr>
                <w:sz w:val="24"/>
                <w:szCs w:val="24"/>
              </w:rPr>
              <w:t xml:space="preserve">7723 </w:t>
            </w:r>
            <w:r>
              <w:rPr>
                <w:rFonts w:hint="eastAsia"/>
                <w:sz w:val="24"/>
                <w:szCs w:val="24"/>
              </w:rPr>
              <w:t>固体废物治理</w:t>
            </w:r>
            <w:bookmarkEnd w:id="7"/>
            <w:bookmarkEnd w:id="8"/>
          </w:p>
        </w:tc>
        <w:tc>
          <w:tcPr>
            <w:tcW w:w="650" w:type="pct"/>
            <w:vAlign w:val="center"/>
          </w:tcPr>
          <w:p w14:paraId="0759E1E2">
            <w:pPr>
              <w:pStyle w:val="24"/>
              <w:spacing w:line="240" w:lineRule="auto"/>
              <w:rPr>
                <w:rFonts w:cs="Times New Roman"/>
                <w:sz w:val="24"/>
                <w:szCs w:val="24"/>
              </w:rPr>
            </w:pPr>
            <w:bookmarkStart w:id="9" w:name="_Hlk49843745"/>
            <w:r>
              <w:rPr>
                <w:rFonts w:cs="Times New Roman"/>
                <w:sz w:val="24"/>
                <w:szCs w:val="24"/>
              </w:rPr>
              <w:t>建设项目</w:t>
            </w:r>
          </w:p>
          <w:p w14:paraId="5071631A">
            <w:pPr>
              <w:pStyle w:val="24"/>
              <w:spacing w:line="240" w:lineRule="auto"/>
              <w:rPr>
                <w:rFonts w:cs="Times New Roman"/>
                <w:sz w:val="24"/>
                <w:szCs w:val="24"/>
              </w:rPr>
            </w:pPr>
            <w:r>
              <w:rPr>
                <w:rFonts w:cs="Times New Roman"/>
                <w:sz w:val="24"/>
                <w:szCs w:val="24"/>
              </w:rPr>
              <w:t>行业类别</w:t>
            </w:r>
            <w:bookmarkEnd w:id="9"/>
          </w:p>
        </w:tc>
        <w:tc>
          <w:tcPr>
            <w:tcW w:w="2148" w:type="pct"/>
            <w:vAlign w:val="center"/>
          </w:tcPr>
          <w:p w14:paraId="45E4B4AC">
            <w:pPr>
              <w:spacing w:line="240" w:lineRule="auto"/>
              <w:ind w:firstLine="0" w:firstLineChars="0"/>
              <w:rPr>
                <w:sz w:val="24"/>
                <w:szCs w:val="24"/>
              </w:rPr>
            </w:pPr>
            <w:r>
              <w:rPr>
                <w:rFonts w:hint="eastAsia"/>
                <w:sz w:val="24"/>
                <w:szCs w:val="24"/>
              </w:rPr>
              <w:t>二十七、非金属矿物制品业</w:t>
            </w:r>
            <w:r>
              <w:rPr>
                <w:sz w:val="24"/>
                <w:szCs w:val="24"/>
              </w:rPr>
              <w:t xml:space="preserve">56 </w:t>
            </w:r>
            <w:r>
              <w:rPr>
                <w:rFonts w:hint="eastAsia"/>
                <w:sz w:val="24"/>
                <w:szCs w:val="24"/>
              </w:rPr>
              <w:t>砖瓦、石材等建筑材料制造</w:t>
            </w:r>
            <w:r>
              <w:rPr>
                <w:sz w:val="24"/>
                <w:szCs w:val="24"/>
              </w:rPr>
              <w:t xml:space="preserve">303 </w:t>
            </w:r>
            <w:r>
              <w:rPr>
                <w:rFonts w:hint="eastAsia"/>
                <w:sz w:val="24"/>
                <w:szCs w:val="24"/>
              </w:rPr>
              <w:t>中的粘土砖瓦及建筑砌块制造及其他建筑材料制造；</w:t>
            </w:r>
          </w:p>
          <w:p w14:paraId="28F3C7BF">
            <w:pPr>
              <w:spacing w:line="240" w:lineRule="auto"/>
              <w:ind w:firstLine="0" w:firstLineChars="0"/>
              <w:rPr>
                <w:rFonts w:cs="Times New Roman"/>
                <w:sz w:val="24"/>
                <w:szCs w:val="24"/>
              </w:rPr>
            </w:pPr>
            <w:r>
              <w:rPr>
                <w:rFonts w:hint="eastAsia"/>
                <w:sz w:val="24"/>
                <w:szCs w:val="24"/>
              </w:rPr>
              <w:t>四十七、生态保护和环境治理业</w:t>
            </w:r>
            <w:r>
              <w:rPr>
                <w:sz w:val="24"/>
                <w:szCs w:val="24"/>
              </w:rPr>
              <w:t xml:space="preserve">103 </w:t>
            </w:r>
            <w:r>
              <w:rPr>
                <w:rFonts w:hint="eastAsia"/>
                <w:sz w:val="24"/>
                <w:szCs w:val="24"/>
              </w:rPr>
              <w:t>一般工业固体废物（含污水处理污泥）、建筑施工废弃物处置及综合利用中的其他</w:t>
            </w:r>
          </w:p>
        </w:tc>
      </w:tr>
      <w:tr w14:paraId="158B097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836" w:type="pct"/>
            <w:tcMar>
              <w:top w:w="16" w:type="dxa"/>
              <w:left w:w="16" w:type="dxa"/>
              <w:right w:w="16" w:type="dxa"/>
            </w:tcMar>
            <w:vAlign w:val="center"/>
          </w:tcPr>
          <w:p w14:paraId="364FF1B7">
            <w:pPr>
              <w:pStyle w:val="24"/>
              <w:spacing w:line="240" w:lineRule="auto"/>
              <w:rPr>
                <w:rFonts w:cs="Times New Roman"/>
                <w:sz w:val="24"/>
                <w:szCs w:val="24"/>
              </w:rPr>
            </w:pPr>
            <w:r>
              <w:rPr>
                <w:rFonts w:cs="Times New Roman"/>
                <w:sz w:val="24"/>
                <w:szCs w:val="24"/>
              </w:rPr>
              <w:t>建设性质</w:t>
            </w:r>
          </w:p>
        </w:tc>
        <w:tc>
          <w:tcPr>
            <w:tcW w:w="1363" w:type="pct"/>
            <w:vAlign w:val="center"/>
          </w:tcPr>
          <w:p w14:paraId="139E9EB7">
            <w:pPr>
              <w:pStyle w:val="23"/>
              <w:spacing w:line="240" w:lineRule="auto"/>
              <w:rPr>
                <w:rFonts w:cs="Times New Roman"/>
                <w:sz w:val="24"/>
                <w:szCs w:val="24"/>
              </w:rPr>
            </w:pPr>
            <w:r>
              <w:rPr>
                <w:rFonts w:cs="Times New Roman"/>
                <w:sz w:val="24"/>
                <w:szCs w:val="24"/>
              </w:rPr>
              <w:sym w:font="Wingdings 2" w:char="0052"/>
            </w:r>
            <w:r>
              <w:rPr>
                <w:rFonts w:cs="Times New Roman"/>
                <w:sz w:val="24"/>
                <w:szCs w:val="24"/>
              </w:rPr>
              <w:t xml:space="preserve"> 新建（迁建）</w:t>
            </w:r>
          </w:p>
          <w:p w14:paraId="473B9DDC">
            <w:pPr>
              <w:pStyle w:val="23"/>
              <w:spacing w:line="240" w:lineRule="auto"/>
              <w:rPr>
                <w:rFonts w:cs="Times New Roman"/>
                <w:sz w:val="24"/>
                <w:szCs w:val="24"/>
              </w:rPr>
            </w:pPr>
            <w:r>
              <w:rPr>
                <w:rFonts w:cs="Times New Roman"/>
                <w:sz w:val="24"/>
                <w:szCs w:val="24"/>
              </w:rPr>
              <w:sym w:font="Wingdings 2" w:char="00A3"/>
            </w:r>
            <w:r>
              <w:rPr>
                <w:rFonts w:cs="Times New Roman"/>
                <w:sz w:val="24"/>
                <w:szCs w:val="24"/>
              </w:rPr>
              <w:t xml:space="preserve"> 改建</w:t>
            </w:r>
          </w:p>
          <w:p w14:paraId="5523D06B">
            <w:pPr>
              <w:pStyle w:val="23"/>
              <w:spacing w:line="240" w:lineRule="auto"/>
              <w:rPr>
                <w:rFonts w:cs="Times New Roman"/>
                <w:sz w:val="24"/>
                <w:szCs w:val="24"/>
              </w:rPr>
            </w:pPr>
            <w:r>
              <w:rPr>
                <w:rFonts w:cs="Times New Roman"/>
                <w:sz w:val="24"/>
                <w:szCs w:val="24"/>
              </w:rPr>
              <w:sym w:font="Wingdings 2" w:char="00A3"/>
            </w:r>
            <w:r>
              <w:rPr>
                <w:rFonts w:cs="Times New Roman"/>
                <w:sz w:val="24"/>
                <w:szCs w:val="24"/>
              </w:rPr>
              <w:t xml:space="preserve"> 扩建</w:t>
            </w:r>
          </w:p>
          <w:p w14:paraId="33F8D246">
            <w:pPr>
              <w:pStyle w:val="23"/>
              <w:spacing w:line="240" w:lineRule="auto"/>
              <w:rPr>
                <w:rFonts w:cs="Times New Roman"/>
                <w:sz w:val="24"/>
                <w:szCs w:val="24"/>
              </w:rPr>
            </w:pPr>
            <w:r>
              <w:rPr>
                <w:rFonts w:cs="Times New Roman"/>
                <w:sz w:val="24"/>
                <w:szCs w:val="24"/>
              </w:rPr>
              <w:sym w:font="Wingdings 2" w:char="00A3"/>
            </w:r>
            <w:r>
              <w:rPr>
                <w:rFonts w:cs="Times New Roman"/>
                <w:sz w:val="24"/>
                <w:szCs w:val="24"/>
              </w:rPr>
              <w:t xml:space="preserve"> 技术改造</w:t>
            </w:r>
          </w:p>
        </w:tc>
        <w:tc>
          <w:tcPr>
            <w:tcW w:w="650" w:type="pct"/>
            <w:vAlign w:val="center"/>
          </w:tcPr>
          <w:p w14:paraId="3C053211">
            <w:pPr>
              <w:pStyle w:val="24"/>
              <w:spacing w:line="240" w:lineRule="auto"/>
              <w:rPr>
                <w:rFonts w:cs="Times New Roman"/>
                <w:sz w:val="24"/>
                <w:szCs w:val="24"/>
              </w:rPr>
            </w:pPr>
            <w:r>
              <w:rPr>
                <w:rFonts w:cs="Times New Roman"/>
                <w:sz w:val="24"/>
                <w:szCs w:val="24"/>
              </w:rPr>
              <w:t>建设项目</w:t>
            </w:r>
          </w:p>
          <w:p w14:paraId="6BA78445">
            <w:pPr>
              <w:pStyle w:val="24"/>
              <w:spacing w:line="240" w:lineRule="auto"/>
              <w:rPr>
                <w:rFonts w:cs="Times New Roman"/>
                <w:sz w:val="24"/>
                <w:szCs w:val="24"/>
              </w:rPr>
            </w:pPr>
            <w:r>
              <w:rPr>
                <w:rFonts w:cs="Times New Roman"/>
                <w:sz w:val="24"/>
                <w:szCs w:val="24"/>
              </w:rPr>
              <w:t>申报情形</w:t>
            </w:r>
          </w:p>
        </w:tc>
        <w:tc>
          <w:tcPr>
            <w:tcW w:w="2148" w:type="pct"/>
            <w:vAlign w:val="center"/>
          </w:tcPr>
          <w:p w14:paraId="7ECA43F9">
            <w:pPr>
              <w:pStyle w:val="23"/>
              <w:spacing w:line="240" w:lineRule="auto"/>
              <w:rPr>
                <w:rFonts w:cs="Times New Roman"/>
                <w:sz w:val="24"/>
                <w:szCs w:val="24"/>
              </w:rPr>
            </w:pPr>
            <w:r>
              <w:rPr>
                <w:rFonts w:cs="Times New Roman"/>
                <w:sz w:val="24"/>
                <w:szCs w:val="24"/>
              </w:rPr>
              <w:sym w:font="Wingdings 2" w:char="00A3"/>
            </w:r>
            <w:r>
              <w:rPr>
                <w:rFonts w:cs="Times New Roman"/>
                <w:sz w:val="24"/>
                <w:szCs w:val="24"/>
              </w:rPr>
              <w:t xml:space="preserve">  首次申报项目</w:t>
            </w:r>
          </w:p>
          <w:p w14:paraId="309E9E72">
            <w:pPr>
              <w:pStyle w:val="23"/>
              <w:spacing w:line="240" w:lineRule="auto"/>
              <w:rPr>
                <w:rFonts w:cs="Times New Roman"/>
                <w:sz w:val="24"/>
                <w:szCs w:val="24"/>
              </w:rPr>
            </w:pPr>
            <w:r>
              <w:rPr>
                <w:rFonts w:cs="Times New Roman"/>
                <w:sz w:val="24"/>
                <w:szCs w:val="24"/>
              </w:rPr>
              <w:sym w:font="Wingdings 2" w:char="00A3"/>
            </w:r>
            <w:r>
              <w:rPr>
                <w:rFonts w:cs="Times New Roman"/>
                <w:sz w:val="24"/>
                <w:szCs w:val="24"/>
              </w:rPr>
              <w:t xml:space="preserve"> 不予批准后再次申报项目</w:t>
            </w:r>
          </w:p>
          <w:p w14:paraId="50313FF9">
            <w:pPr>
              <w:pStyle w:val="23"/>
              <w:spacing w:line="240" w:lineRule="auto"/>
              <w:rPr>
                <w:rFonts w:cs="Times New Roman"/>
                <w:sz w:val="24"/>
                <w:szCs w:val="24"/>
              </w:rPr>
            </w:pPr>
            <w:r>
              <w:rPr>
                <w:rFonts w:cs="Times New Roman"/>
                <w:sz w:val="24"/>
                <w:szCs w:val="24"/>
              </w:rPr>
              <w:sym w:font="Wingdings 2" w:char="00A3"/>
            </w:r>
            <w:r>
              <w:rPr>
                <w:rFonts w:cs="Times New Roman"/>
                <w:sz w:val="24"/>
                <w:szCs w:val="24"/>
              </w:rPr>
              <w:t xml:space="preserve"> 超五年重新审核项目</w:t>
            </w:r>
          </w:p>
          <w:p w14:paraId="148A37CA">
            <w:pPr>
              <w:pStyle w:val="23"/>
              <w:spacing w:line="240" w:lineRule="auto"/>
              <w:rPr>
                <w:rFonts w:cs="Times New Roman"/>
                <w:sz w:val="24"/>
                <w:szCs w:val="24"/>
              </w:rPr>
            </w:pPr>
            <w:r>
              <w:rPr>
                <w:rFonts w:cs="Times New Roman"/>
                <w:sz w:val="24"/>
                <w:szCs w:val="24"/>
              </w:rPr>
              <w:sym w:font="Wingdings 2" w:char="0052"/>
            </w:r>
            <w:r>
              <w:rPr>
                <w:rFonts w:hint="eastAsia" w:cs="Times New Roman"/>
                <w:sz w:val="24"/>
                <w:szCs w:val="24"/>
                <w:lang w:val="en-US" w:eastAsia="zh-CN"/>
              </w:rPr>
              <w:t xml:space="preserve"> </w:t>
            </w:r>
            <w:r>
              <w:rPr>
                <w:rFonts w:cs="Times New Roman"/>
                <w:sz w:val="24"/>
                <w:szCs w:val="24"/>
              </w:rPr>
              <w:t>重大变动重新报批项目</w:t>
            </w:r>
          </w:p>
        </w:tc>
      </w:tr>
      <w:tr w14:paraId="68A88CB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836" w:type="pct"/>
            <w:tcMar>
              <w:top w:w="16" w:type="dxa"/>
              <w:left w:w="16" w:type="dxa"/>
              <w:right w:w="16" w:type="dxa"/>
            </w:tcMar>
            <w:vAlign w:val="center"/>
          </w:tcPr>
          <w:p w14:paraId="11F5EB5A">
            <w:pPr>
              <w:pStyle w:val="24"/>
              <w:spacing w:line="240" w:lineRule="auto"/>
              <w:rPr>
                <w:rFonts w:cs="Times New Roman"/>
                <w:sz w:val="24"/>
                <w:szCs w:val="24"/>
              </w:rPr>
            </w:pPr>
            <w:r>
              <w:rPr>
                <w:rFonts w:cs="Times New Roman"/>
                <w:sz w:val="24"/>
                <w:szCs w:val="24"/>
              </w:rPr>
              <w:t>项目审批（核准/备案）部门（选填）</w:t>
            </w:r>
          </w:p>
        </w:tc>
        <w:tc>
          <w:tcPr>
            <w:tcW w:w="1363" w:type="pct"/>
            <w:vAlign w:val="center"/>
          </w:tcPr>
          <w:p w14:paraId="2252911F">
            <w:pPr>
              <w:pStyle w:val="20"/>
              <w:spacing w:line="240" w:lineRule="auto"/>
              <w:rPr>
                <w:rFonts w:cs="Times New Roman"/>
                <w:sz w:val="24"/>
                <w:szCs w:val="24"/>
              </w:rPr>
            </w:pPr>
            <w:r>
              <w:rPr>
                <w:rFonts w:hint="eastAsia" w:cs="Times New Roman"/>
                <w:sz w:val="24"/>
                <w:szCs w:val="24"/>
              </w:rPr>
              <w:t>平昌县发展和改革局</w:t>
            </w:r>
          </w:p>
        </w:tc>
        <w:tc>
          <w:tcPr>
            <w:tcW w:w="650" w:type="pct"/>
            <w:vAlign w:val="center"/>
          </w:tcPr>
          <w:p w14:paraId="5496194B">
            <w:pPr>
              <w:pStyle w:val="24"/>
              <w:spacing w:line="240" w:lineRule="auto"/>
              <w:rPr>
                <w:rFonts w:cs="Times New Roman"/>
                <w:sz w:val="24"/>
                <w:szCs w:val="24"/>
              </w:rPr>
            </w:pPr>
            <w:r>
              <w:rPr>
                <w:rFonts w:cs="Times New Roman"/>
                <w:sz w:val="24"/>
                <w:szCs w:val="24"/>
              </w:rPr>
              <w:t>项目审批（核准/备案）文号（选填）</w:t>
            </w:r>
          </w:p>
        </w:tc>
        <w:tc>
          <w:tcPr>
            <w:tcW w:w="2148" w:type="pct"/>
            <w:vAlign w:val="center"/>
          </w:tcPr>
          <w:p w14:paraId="1D553395">
            <w:pPr>
              <w:pStyle w:val="23"/>
              <w:spacing w:line="240" w:lineRule="auto"/>
              <w:jc w:val="center"/>
              <w:rPr>
                <w:rFonts w:cs="Times New Roman"/>
                <w:sz w:val="24"/>
                <w:szCs w:val="24"/>
              </w:rPr>
            </w:pPr>
            <w:r>
              <w:rPr>
                <w:rFonts w:hint="eastAsia" w:cs="Times New Roman"/>
                <w:sz w:val="24"/>
                <w:szCs w:val="24"/>
              </w:rPr>
              <w:t>川投资备【</w:t>
            </w:r>
            <w:r>
              <w:rPr>
                <w:rFonts w:cs="Times New Roman"/>
                <w:sz w:val="24"/>
                <w:szCs w:val="24"/>
              </w:rPr>
              <w:t>2407-511923-04-01-943048</w:t>
            </w:r>
            <w:r>
              <w:rPr>
                <w:rFonts w:hint="eastAsia" w:cs="Times New Roman"/>
                <w:sz w:val="24"/>
                <w:szCs w:val="24"/>
              </w:rPr>
              <w:t>】</w:t>
            </w:r>
            <w:r>
              <w:rPr>
                <w:rFonts w:cs="Times New Roman"/>
                <w:sz w:val="24"/>
                <w:szCs w:val="24"/>
              </w:rPr>
              <w:t>FGQB-0548</w:t>
            </w:r>
            <w:r>
              <w:rPr>
                <w:rFonts w:hint="eastAsia" w:cs="Times New Roman"/>
                <w:sz w:val="24"/>
                <w:szCs w:val="24"/>
              </w:rPr>
              <w:t>号</w:t>
            </w:r>
          </w:p>
        </w:tc>
      </w:tr>
      <w:tr w14:paraId="407F45D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836" w:type="pct"/>
            <w:tcMar>
              <w:top w:w="16" w:type="dxa"/>
              <w:left w:w="16" w:type="dxa"/>
              <w:right w:w="16" w:type="dxa"/>
            </w:tcMar>
            <w:vAlign w:val="center"/>
          </w:tcPr>
          <w:p w14:paraId="252BC537">
            <w:pPr>
              <w:pStyle w:val="24"/>
              <w:spacing w:line="240" w:lineRule="auto"/>
              <w:rPr>
                <w:rFonts w:cs="Times New Roman"/>
                <w:sz w:val="24"/>
                <w:szCs w:val="24"/>
              </w:rPr>
            </w:pPr>
            <w:r>
              <w:rPr>
                <w:rFonts w:cs="Times New Roman"/>
                <w:sz w:val="24"/>
                <w:szCs w:val="24"/>
              </w:rPr>
              <w:t>总投资（万元）</w:t>
            </w:r>
          </w:p>
        </w:tc>
        <w:tc>
          <w:tcPr>
            <w:tcW w:w="1363" w:type="pct"/>
            <w:vAlign w:val="center"/>
          </w:tcPr>
          <w:p w14:paraId="1B399C4F">
            <w:pPr>
              <w:pStyle w:val="20"/>
              <w:spacing w:line="240" w:lineRule="auto"/>
              <w:rPr>
                <w:rFonts w:hint="default" w:eastAsia="宋体" w:cs="Times New Roman"/>
                <w:sz w:val="24"/>
                <w:szCs w:val="24"/>
                <w:lang w:val="en-US" w:eastAsia="zh-CN"/>
              </w:rPr>
            </w:pPr>
            <w:r>
              <w:rPr>
                <w:rFonts w:hint="eastAsia" w:cs="Times New Roman"/>
                <w:sz w:val="24"/>
                <w:szCs w:val="24"/>
                <w:lang w:val="en-US" w:eastAsia="zh-CN"/>
              </w:rPr>
              <w:t>3000</w:t>
            </w:r>
          </w:p>
        </w:tc>
        <w:tc>
          <w:tcPr>
            <w:tcW w:w="650" w:type="pct"/>
            <w:tcMar>
              <w:top w:w="16" w:type="dxa"/>
              <w:left w:w="16" w:type="dxa"/>
              <w:right w:w="16" w:type="dxa"/>
            </w:tcMar>
            <w:vAlign w:val="center"/>
          </w:tcPr>
          <w:p w14:paraId="179C33F4">
            <w:pPr>
              <w:pStyle w:val="24"/>
              <w:spacing w:line="240" w:lineRule="auto"/>
              <w:rPr>
                <w:rFonts w:cs="Times New Roman"/>
                <w:sz w:val="24"/>
                <w:szCs w:val="24"/>
              </w:rPr>
            </w:pPr>
            <w:r>
              <w:rPr>
                <w:rFonts w:cs="Times New Roman"/>
                <w:sz w:val="24"/>
                <w:szCs w:val="24"/>
              </w:rPr>
              <w:t>环保投资</w:t>
            </w:r>
          </w:p>
          <w:p w14:paraId="0C2E4790">
            <w:pPr>
              <w:pStyle w:val="24"/>
              <w:spacing w:line="240" w:lineRule="auto"/>
              <w:rPr>
                <w:rFonts w:cs="Times New Roman"/>
                <w:sz w:val="24"/>
                <w:szCs w:val="24"/>
              </w:rPr>
            </w:pPr>
            <w:r>
              <w:rPr>
                <w:rFonts w:cs="Times New Roman"/>
                <w:sz w:val="24"/>
                <w:szCs w:val="24"/>
              </w:rPr>
              <w:t>（万元）</w:t>
            </w:r>
          </w:p>
        </w:tc>
        <w:tc>
          <w:tcPr>
            <w:tcW w:w="2148" w:type="pct"/>
            <w:vAlign w:val="center"/>
          </w:tcPr>
          <w:p w14:paraId="667C1004">
            <w:pPr>
              <w:pStyle w:val="20"/>
              <w:spacing w:line="240" w:lineRule="auto"/>
              <w:rPr>
                <w:rFonts w:hint="default" w:eastAsia="宋体" w:cs="Times New Roman"/>
                <w:sz w:val="24"/>
                <w:szCs w:val="24"/>
                <w:lang w:val="en-US" w:eastAsia="zh-CN"/>
              </w:rPr>
            </w:pPr>
            <w:r>
              <w:rPr>
                <w:rFonts w:hint="eastAsia" w:cs="Times New Roman"/>
                <w:sz w:val="24"/>
                <w:szCs w:val="24"/>
                <w:lang w:val="en-US" w:eastAsia="zh-CN"/>
              </w:rPr>
              <w:t>141</w:t>
            </w:r>
          </w:p>
        </w:tc>
      </w:tr>
      <w:tr w14:paraId="5C6DA24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836" w:type="pct"/>
            <w:tcMar>
              <w:top w:w="16" w:type="dxa"/>
              <w:left w:w="16" w:type="dxa"/>
              <w:right w:w="16" w:type="dxa"/>
            </w:tcMar>
            <w:vAlign w:val="center"/>
          </w:tcPr>
          <w:p w14:paraId="6DA72185">
            <w:pPr>
              <w:pStyle w:val="24"/>
              <w:spacing w:line="240" w:lineRule="auto"/>
              <w:rPr>
                <w:rFonts w:cs="Times New Roman"/>
                <w:sz w:val="24"/>
                <w:szCs w:val="24"/>
              </w:rPr>
            </w:pPr>
            <w:r>
              <w:rPr>
                <w:rFonts w:cs="Times New Roman"/>
                <w:sz w:val="24"/>
                <w:szCs w:val="24"/>
              </w:rPr>
              <w:t>环保投资占比（%）</w:t>
            </w:r>
          </w:p>
        </w:tc>
        <w:tc>
          <w:tcPr>
            <w:tcW w:w="1363" w:type="pct"/>
            <w:vAlign w:val="center"/>
          </w:tcPr>
          <w:p w14:paraId="3FBDD20B">
            <w:pPr>
              <w:pStyle w:val="20"/>
              <w:spacing w:line="240" w:lineRule="auto"/>
              <w:rPr>
                <w:rFonts w:cs="Times New Roman"/>
                <w:sz w:val="24"/>
                <w:szCs w:val="24"/>
              </w:rPr>
            </w:pPr>
            <w:r>
              <w:rPr>
                <w:rFonts w:hint="eastAsia" w:cs="Times New Roman"/>
                <w:sz w:val="24"/>
                <w:szCs w:val="24"/>
                <w:lang w:val="en-US" w:eastAsia="zh-CN"/>
              </w:rPr>
              <w:t>4.7</w:t>
            </w:r>
            <w:r>
              <w:rPr>
                <w:rFonts w:cs="Times New Roman"/>
                <w:sz w:val="24"/>
                <w:szCs w:val="24"/>
              </w:rPr>
              <w:t>%</w:t>
            </w:r>
          </w:p>
        </w:tc>
        <w:tc>
          <w:tcPr>
            <w:tcW w:w="650" w:type="pct"/>
            <w:tcMar>
              <w:top w:w="16" w:type="dxa"/>
              <w:left w:w="16" w:type="dxa"/>
              <w:right w:w="16" w:type="dxa"/>
            </w:tcMar>
            <w:vAlign w:val="center"/>
          </w:tcPr>
          <w:p w14:paraId="702FCB08">
            <w:pPr>
              <w:pStyle w:val="24"/>
              <w:spacing w:line="240" w:lineRule="auto"/>
              <w:rPr>
                <w:rFonts w:cs="Times New Roman"/>
                <w:sz w:val="24"/>
                <w:szCs w:val="24"/>
              </w:rPr>
            </w:pPr>
            <w:r>
              <w:rPr>
                <w:rFonts w:cs="Times New Roman"/>
                <w:sz w:val="24"/>
                <w:szCs w:val="24"/>
              </w:rPr>
              <w:t>施工工期</w:t>
            </w:r>
          </w:p>
        </w:tc>
        <w:tc>
          <w:tcPr>
            <w:tcW w:w="2148" w:type="pct"/>
            <w:vAlign w:val="center"/>
          </w:tcPr>
          <w:p w14:paraId="748CE658">
            <w:pPr>
              <w:pStyle w:val="20"/>
              <w:spacing w:line="240" w:lineRule="auto"/>
              <w:rPr>
                <w:rFonts w:cs="Times New Roman"/>
                <w:sz w:val="24"/>
                <w:szCs w:val="24"/>
              </w:rPr>
            </w:pPr>
            <w:r>
              <w:rPr>
                <w:rFonts w:hint="eastAsia" w:cs="Times New Roman"/>
                <w:sz w:val="24"/>
                <w:szCs w:val="24"/>
                <w:lang w:val="en-US" w:eastAsia="zh-CN"/>
              </w:rPr>
              <w:t>3</w:t>
            </w:r>
            <w:r>
              <w:rPr>
                <w:rFonts w:cs="Times New Roman"/>
                <w:sz w:val="24"/>
                <w:szCs w:val="24"/>
              </w:rPr>
              <w:t>个月</w:t>
            </w:r>
          </w:p>
        </w:tc>
      </w:tr>
      <w:tr w14:paraId="231CA59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836" w:type="pct"/>
            <w:tcMar>
              <w:top w:w="16" w:type="dxa"/>
              <w:left w:w="16" w:type="dxa"/>
              <w:right w:w="16" w:type="dxa"/>
            </w:tcMar>
            <w:vAlign w:val="center"/>
          </w:tcPr>
          <w:p w14:paraId="74F81FD6">
            <w:pPr>
              <w:pStyle w:val="24"/>
              <w:spacing w:line="240" w:lineRule="auto"/>
              <w:rPr>
                <w:rFonts w:cs="Times New Roman"/>
                <w:sz w:val="24"/>
                <w:szCs w:val="24"/>
              </w:rPr>
            </w:pPr>
            <w:r>
              <w:rPr>
                <w:rFonts w:cs="Times New Roman"/>
                <w:sz w:val="24"/>
                <w:szCs w:val="24"/>
              </w:rPr>
              <w:t>是否开工建设</w:t>
            </w:r>
          </w:p>
        </w:tc>
        <w:tc>
          <w:tcPr>
            <w:tcW w:w="1363" w:type="pct"/>
            <w:vAlign w:val="center"/>
          </w:tcPr>
          <w:p w14:paraId="1A802F5A">
            <w:pPr>
              <w:pStyle w:val="23"/>
              <w:spacing w:line="240" w:lineRule="auto"/>
              <w:rPr>
                <w:rFonts w:cs="Times New Roman"/>
                <w:sz w:val="24"/>
                <w:szCs w:val="24"/>
              </w:rPr>
            </w:pPr>
            <w:r>
              <w:rPr>
                <w:rFonts w:cs="Times New Roman"/>
                <w:sz w:val="24"/>
                <w:szCs w:val="24"/>
              </w:rPr>
              <w:sym w:font="Wingdings 2" w:char="0052"/>
            </w:r>
            <w:r>
              <w:rPr>
                <w:rFonts w:cs="Times New Roman"/>
                <w:sz w:val="24"/>
                <w:szCs w:val="24"/>
              </w:rPr>
              <w:t>否</w:t>
            </w:r>
          </w:p>
          <w:p w14:paraId="6DEA59F6">
            <w:pPr>
              <w:pStyle w:val="23"/>
              <w:spacing w:line="240" w:lineRule="auto"/>
              <w:rPr>
                <w:rFonts w:cs="Times New Roman"/>
                <w:sz w:val="24"/>
                <w:szCs w:val="24"/>
              </w:rPr>
            </w:pPr>
            <w:r>
              <w:rPr>
                <w:rFonts w:cs="Times New Roman"/>
                <w:sz w:val="24"/>
                <w:szCs w:val="24"/>
              </w:rPr>
              <w:sym w:font="Wingdings 2" w:char="00A3"/>
            </w:r>
            <w:r>
              <w:rPr>
                <w:rFonts w:cs="Times New Roman"/>
                <w:sz w:val="24"/>
                <w:szCs w:val="24"/>
              </w:rPr>
              <w:t xml:space="preserve"> 是：             </w:t>
            </w:r>
          </w:p>
        </w:tc>
        <w:tc>
          <w:tcPr>
            <w:tcW w:w="650" w:type="pct"/>
            <w:tcMar>
              <w:top w:w="16" w:type="dxa"/>
              <w:left w:w="16" w:type="dxa"/>
              <w:right w:w="16" w:type="dxa"/>
            </w:tcMar>
            <w:vAlign w:val="center"/>
          </w:tcPr>
          <w:p w14:paraId="528A3112">
            <w:pPr>
              <w:pStyle w:val="24"/>
              <w:spacing w:line="240" w:lineRule="auto"/>
              <w:rPr>
                <w:rFonts w:cs="Times New Roman"/>
                <w:sz w:val="24"/>
                <w:szCs w:val="24"/>
              </w:rPr>
            </w:pPr>
            <w:r>
              <w:rPr>
                <w:rFonts w:cs="Times New Roman"/>
                <w:sz w:val="24"/>
                <w:szCs w:val="24"/>
              </w:rPr>
              <w:t>用地面积（m</w:t>
            </w:r>
            <w:r>
              <w:rPr>
                <w:rFonts w:cs="Times New Roman"/>
                <w:sz w:val="24"/>
                <w:szCs w:val="24"/>
                <w:vertAlign w:val="superscript"/>
              </w:rPr>
              <w:t>2</w:t>
            </w:r>
            <w:r>
              <w:rPr>
                <w:rFonts w:cs="Times New Roman"/>
                <w:sz w:val="24"/>
                <w:szCs w:val="24"/>
              </w:rPr>
              <w:t>）</w:t>
            </w:r>
          </w:p>
        </w:tc>
        <w:tc>
          <w:tcPr>
            <w:tcW w:w="2148" w:type="pct"/>
            <w:vAlign w:val="center"/>
          </w:tcPr>
          <w:p w14:paraId="1A895F60">
            <w:pPr>
              <w:pStyle w:val="20"/>
              <w:spacing w:line="240" w:lineRule="auto"/>
              <w:rPr>
                <w:rFonts w:hint="default" w:eastAsia="宋体" w:cs="Times New Roman"/>
                <w:sz w:val="24"/>
                <w:szCs w:val="24"/>
                <w:lang w:val="en-US" w:eastAsia="zh-CN"/>
              </w:rPr>
            </w:pPr>
            <w:r>
              <w:rPr>
                <w:rFonts w:hint="eastAsia" w:cs="Times New Roman"/>
                <w:sz w:val="24"/>
                <w:szCs w:val="24"/>
                <w:lang w:val="en-US" w:eastAsia="zh-CN"/>
              </w:rPr>
              <w:t>10000</w:t>
            </w:r>
          </w:p>
        </w:tc>
      </w:tr>
      <w:tr w14:paraId="144F9B6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964" w:hRule="atLeast"/>
          <w:jc w:val="center"/>
        </w:trPr>
        <w:tc>
          <w:tcPr>
            <w:tcW w:w="836" w:type="pct"/>
            <w:tcMar>
              <w:top w:w="16" w:type="dxa"/>
              <w:left w:w="16" w:type="dxa"/>
              <w:right w:w="16" w:type="dxa"/>
            </w:tcMar>
            <w:vAlign w:val="center"/>
          </w:tcPr>
          <w:p w14:paraId="1D086E4A">
            <w:pPr>
              <w:pStyle w:val="24"/>
              <w:rPr>
                <w:rFonts w:cs="Times New Roman"/>
                <w:sz w:val="24"/>
                <w:szCs w:val="28"/>
              </w:rPr>
            </w:pPr>
            <w:r>
              <w:rPr>
                <w:rFonts w:cs="Times New Roman"/>
                <w:sz w:val="24"/>
                <w:szCs w:val="28"/>
              </w:rPr>
              <w:t>专项评价设置情况</w:t>
            </w:r>
          </w:p>
        </w:tc>
        <w:tc>
          <w:tcPr>
            <w:tcW w:w="4163" w:type="pct"/>
            <w:gridSpan w:val="3"/>
            <w:vAlign w:val="center"/>
          </w:tcPr>
          <w:p w14:paraId="3DE3745A">
            <w:pPr>
              <w:widowControl/>
              <w:ind w:firstLine="480"/>
              <w:jc w:val="left"/>
              <w:rPr>
                <w:rFonts w:cs="Times New Roman"/>
                <w:kern w:val="0"/>
                <w:lang w:bidi="ar"/>
              </w:rPr>
            </w:pPr>
            <w:r>
              <w:rPr>
                <w:rFonts w:cs="Times New Roman"/>
                <w:kern w:val="0"/>
                <w:lang w:bidi="ar"/>
              </w:rPr>
              <w:t>根据《建设项目环境影响报告表编制技术指南（污染影响类）（试行）》，专项评价设置原则如下表所示。</w:t>
            </w:r>
          </w:p>
          <w:p w14:paraId="0D1BE9EE">
            <w:pPr>
              <w:pStyle w:val="11"/>
              <w:rPr>
                <w:rFonts w:cs="Times New Roman"/>
              </w:rPr>
            </w:pPr>
            <w:r>
              <w:rPr>
                <w:rFonts w:cs="Times New Roman"/>
              </w:rPr>
              <w:t xml:space="preserve">表 </w:t>
            </w:r>
            <w:r>
              <w:rPr>
                <w:rFonts w:hint="eastAsia" w:cs="Times New Roman"/>
                <w:lang w:val="en-US" w:eastAsia="zh-CN"/>
              </w:rPr>
              <w:t>1</w:t>
            </w:r>
            <w:r>
              <w:rPr>
                <w:rFonts w:cs="Times New Roman"/>
              </w:rPr>
              <w:noBreakHyphen/>
            </w:r>
            <w:r>
              <w:rPr>
                <w:rFonts w:cs="Times New Roman"/>
              </w:rPr>
              <w:fldChar w:fldCharType="begin"/>
            </w:r>
            <w:r>
              <w:rPr>
                <w:rFonts w:cs="Times New Roman"/>
              </w:rPr>
              <w:instrText xml:space="preserve"> SEQ 表 \* ARABIC \s 1 </w:instrText>
            </w:r>
            <w:r>
              <w:rPr>
                <w:rFonts w:cs="Times New Roman"/>
              </w:rPr>
              <w:fldChar w:fldCharType="separate"/>
            </w:r>
            <w:r>
              <w:rPr>
                <w:rFonts w:cs="Times New Roman"/>
              </w:rPr>
              <w:t>1</w:t>
            </w:r>
            <w:r>
              <w:rPr>
                <w:rFonts w:cs="Times New Roman"/>
              </w:rPr>
              <w:fldChar w:fldCharType="end"/>
            </w:r>
            <w:r>
              <w:rPr>
                <w:rFonts w:cs="Times New Roman"/>
              </w:rPr>
              <w:t>本项目环境影响评价报告表专项设置对照表</w:t>
            </w:r>
          </w:p>
          <w:tbl>
            <w:tblPr>
              <w:tblStyle w:val="26"/>
              <w:tblW w:w="4991" w:type="pct"/>
              <w:jc w:val="center"/>
              <w:tblBorders>
                <w:top w:val="single" w:color="auto" w:sz="4" w:space="0"/>
                <w:left w:val="single" w:color="auto" w:sz="6" w:space="0"/>
                <w:bottom w:val="single" w:color="auto" w:sz="4" w:space="0"/>
                <w:right w:val="single" w:color="auto" w:sz="6" w:space="0"/>
                <w:insideH w:val="single" w:color="auto" w:sz="4" w:space="0"/>
                <w:insideV w:val="single" w:color="auto" w:sz="4" w:space="0"/>
              </w:tblBorders>
              <w:tblLayout w:type="fixed"/>
              <w:tblCellMar>
                <w:top w:w="0" w:type="dxa"/>
                <w:left w:w="108" w:type="dxa"/>
                <w:bottom w:w="0" w:type="dxa"/>
                <w:right w:w="108" w:type="dxa"/>
              </w:tblCellMar>
            </w:tblPr>
            <w:tblGrid>
              <w:gridCol w:w="1053"/>
              <w:gridCol w:w="2967"/>
              <w:gridCol w:w="2882"/>
              <w:gridCol w:w="1329"/>
            </w:tblGrid>
            <w:tr w14:paraId="46417157">
              <w:tblPrEx>
                <w:tblBorders>
                  <w:top w:val="single" w:color="auto" w:sz="4" w:space="0"/>
                  <w:left w:val="single" w:color="auto" w:sz="6"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640" w:type="pct"/>
                  <w:vAlign w:val="center"/>
                </w:tcPr>
                <w:p w14:paraId="08099CEC">
                  <w:pPr>
                    <w:pStyle w:val="45"/>
                    <w:rPr>
                      <w:rFonts w:cs="Times New Roman"/>
                    </w:rPr>
                  </w:pPr>
                  <w:r>
                    <w:rPr>
                      <w:rFonts w:cs="Times New Roman"/>
                    </w:rPr>
                    <w:t>专项评价类别</w:t>
                  </w:r>
                </w:p>
              </w:tc>
              <w:tc>
                <w:tcPr>
                  <w:tcW w:w="1802" w:type="pct"/>
                  <w:vAlign w:val="center"/>
                </w:tcPr>
                <w:p w14:paraId="73D5B2CB">
                  <w:pPr>
                    <w:pStyle w:val="45"/>
                    <w:rPr>
                      <w:rFonts w:cs="Times New Roman"/>
                    </w:rPr>
                  </w:pPr>
                  <w:r>
                    <w:rPr>
                      <w:rFonts w:cs="Times New Roman"/>
                    </w:rPr>
                    <w:t>设置原则</w:t>
                  </w:r>
                </w:p>
              </w:tc>
              <w:tc>
                <w:tcPr>
                  <w:tcW w:w="1751" w:type="pct"/>
                  <w:vAlign w:val="center"/>
                </w:tcPr>
                <w:p w14:paraId="68390443">
                  <w:pPr>
                    <w:pStyle w:val="45"/>
                    <w:rPr>
                      <w:rFonts w:cs="Times New Roman"/>
                    </w:rPr>
                  </w:pPr>
                  <w:r>
                    <w:rPr>
                      <w:rFonts w:cs="Times New Roman"/>
                    </w:rPr>
                    <w:t>本项目情况</w:t>
                  </w:r>
                </w:p>
              </w:tc>
              <w:tc>
                <w:tcPr>
                  <w:tcW w:w="808" w:type="pct"/>
                  <w:vAlign w:val="center"/>
                </w:tcPr>
                <w:p w14:paraId="6E657B8B">
                  <w:pPr>
                    <w:pStyle w:val="45"/>
                    <w:rPr>
                      <w:rFonts w:cs="Times New Roman"/>
                    </w:rPr>
                  </w:pPr>
                  <w:r>
                    <w:rPr>
                      <w:rFonts w:cs="Times New Roman"/>
                    </w:rPr>
                    <w:t>专项评价设置情况</w:t>
                  </w:r>
                </w:p>
              </w:tc>
            </w:tr>
            <w:tr w14:paraId="3EC7FC61">
              <w:tblPrEx>
                <w:tblBorders>
                  <w:top w:val="single" w:color="auto" w:sz="4" w:space="0"/>
                  <w:left w:val="single" w:color="auto" w:sz="6"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640" w:type="pct"/>
                  <w:vAlign w:val="center"/>
                </w:tcPr>
                <w:p w14:paraId="57A5FB88">
                  <w:pPr>
                    <w:pStyle w:val="12"/>
                    <w:rPr>
                      <w:rFonts w:cs="Times New Roman"/>
                    </w:rPr>
                  </w:pPr>
                  <w:r>
                    <w:rPr>
                      <w:rFonts w:cs="Times New Roman"/>
                    </w:rPr>
                    <w:t>大气</w:t>
                  </w:r>
                </w:p>
              </w:tc>
              <w:tc>
                <w:tcPr>
                  <w:tcW w:w="1802" w:type="pct"/>
                  <w:vAlign w:val="center"/>
                </w:tcPr>
                <w:p w14:paraId="15AF83F3">
                  <w:pPr>
                    <w:pStyle w:val="12"/>
                    <w:rPr>
                      <w:rFonts w:cs="Times New Roman"/>
                    </w:rPr>
                  </w:pPr>
                  <w:r>
                    <w:rPr>
                      <w:rFonts w:cs="Times New Roman"/>
                    </w:rPr>
                    <w:t>排放废气含有毒有害污染物、二噁英、苯并[a]芘、氰化物、氯气且厂界外500米范围内有环境空气保护目标</w:t>
                  </w:r>
                </w:p>
              </w:tc>
              <w:tc>
                <w:tcPr>
                  <w:tcW w:w="1751" w:type="pct"/>
                  <w:vAlign w:val="center"/>
                </w:tcPr>
                <w:p w14:paraId="0965B834">
                  <w:pPr>
                    <w:pStyle w:val="12"/>
                    <w:rPr>
                      <w:rFonts w:cs="Times New Roman"/>
                    </w:rPr>
                  </w:pPr>
                  <w:r>
                    <w:rPr>
                      <w:rFonts w:cs="Times New Roman"/>
                    </w:rPr>
                    <w:t>排放废气中</w:t>
                  </w:r>
                  <w:r>
                    <w:rPr>
                      <w:rFonts w:hint="eastAsia" w:cs="Times New Roman"/>
                    </w:rPr>
                    <w:t>含有有毒有害污染物-二噁英，且厂界外5</w:t>
                  </w:r>
                  <w:r>
                    <w:rPr>
                      <w:rFonts w:cs="Times New Roman"/>
                    </w:rPr>
                    <w:t>00</w:t>
                  </w:r>
                  <w:r>
                    <w:rPr>
                      <w:rFonts w:hint="eastAsia" w:cs="Times New Roman"/>
                    </w:rPr>
                    <w:t>m范围内有居民</w:t>
                  </w:r>
                  <w:r>
                    <w:rPr>
                      <w:rFonts w:cs="Times New Roman"/>
                    </w:rPr>
                    <w:t>。</w:t>
                  </w:r>
                </w:p>
              </w:tc>
              <w:tc>
                <w:tcPr>
                  <w:tcW w:w="808" w:type="pct"/>
                  <w:vAlign w:val="center"/>
                </w:tcPr>
                <w:p w14:paraId="1E585BD7">
                  <w:pPr>
                    <w:pStyle w:val="12"/>
                    <w:rPr>
                      <w:rFonts w:cs="Times New Roman"/>
                    </w:rPr>
                  </w:pPr>
                  <w:r>
                    <w:rPr>
                      <w:rFonts w:hint="eastAsia" w:cs="Times New Roman"/>
                    </w:rPr>
                    <w:t>设置</w:t>
                  </w:r>
                </w:p>
              </w:tc>
            </w:tr>
            <w:tr w14:paraId="4860A2B3">
              <w:tblPrEx>
                <w:tblBorders>
                  <w:top w:val="single" w:color="auto" w:sz="4" w:space="0"/>
                  <w:left w:val="single" w:color="auto" w:sz="6"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640" w:type="pct"/>
                  <w:vAlign w:val="center"/>
                </w:tcPr>
                <w:p w14:paraId="1929F4B3">
                  <w:pPr>
                    <w:pStyle w:val="12"/>
                    <w:rPr>
                      <w:rFonts w:cs="Times New Roman"/>
                    </w:rPr>
                  </w:pPr>
                  <w:r>
                    <w:rPr>
                      <w:rFonts w:cs="Times New Roman"/>
                    </w:rPr>
                    <w:t>地表水</w:t>
                  </w:r>
                </w:p>
              </w:tc>
              <w:tc>
                <w:tcPr>
                  <w:tcW w:w="1802" w:type="pct"/>
                  <w:vAlign w:val="center"/>
                </w:tcPr>
                <w:p w14:paraId="799D3A3C">
                  <w:pPr>
                    <w:pStyle w:val="12"/>
                    <w:rPr>
                      <w:rFonts w:cs="Times New Roman"/>
                    </w:rPr>
                  </w:pPr>
                  <w:r>
                    <w:rPr>
                      <w:rFonts w:cs="Times New Roman"/>
                    </w:rPr>
                    <w:t>新增工业废水直排建设项目（槽罐车外送污水处理厂的除外），新增废水直排的污水集中处理厂</w:t>
                  </w:r>
                </w:p>
              </w:tc>
              <w:tc>
                <w:tcPr>
                  <w:tcW w:w="1751" w:type="pct"/>
                  <w:vAlign w:val="center"/>
                </w:tcPr>
                <w:p w14:paraId="1FD00D61">
                  <w:pPr>
                    <w:pStyle w:val="12"/>
                    <w:rPr>
                      <w:rFonts w:cs="Times New Roman"/>
                    </w:rPr>
                  </w:pPr>
                  <w:r>
                    <w:rPr>
                      <w:rFonts w:cs="Times New Roman"/>
                    </w:rPr>
                    <w:t>本项目不涉及工业废水直接排放。</w:t>
                  </w:r>
                </w:p>
              </w:tc>
              <w:tc>
                <w:tcPr>
                  <w:tcW w:w="808" w:type="pct"/>
                  <w:vAlign w:val="center"/>
                </w:tcPr>
                <w:p w14:paraId="0B9E0634">
                  <w:pPr>
                    <w:pStyle w:val="12"/>
                    <w:rPr>
                      <w:rFonts w:cs="Times New Roman"/>
                    </w:rPr>
                  </w:pPr>
                  <w:r>
                    <w:rPr>
                      <w:rFonts w:cs="Times New Roman"/>
                    </w:rPr>
                    <w:t>不设置</w:t>
                  </w:r>
                </w:p>
              </w:tc>
            </w:tr>
            <w:tr w14:paraId="67CCD918">
              <w:tblPrEx>
                <w:tblBorders>
                  <w:top w:val="single" w:color="auto" w:sz="4" w:space="0"/>
                  <w:left w:val="single" w:color="auto" w:sz="6"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640" w:type="pct"/>
                  <w:vAlign w:val="center"/>
                </w:tcPr>
                <w:p w14:paraId="3E4E9481">
                  <w:pPr>
                    <w:pStyle w:val="12"/>
                    <w:rPr>
                      <w:rFonts w:cs="Times New Roman"/>
                    </w:rPr>
                  </w:pPr>
                  <w:r>
                    <w:rPr>
                      <w:rFonts w:cs="Times New Roman"/>
                    </w:rPr>
                    <w:t>环境风险</w:t>
                  </w:r>
                </w:p>
              </w:tc>
              <w:tc>
                <w:tcPr>
                  <w:tcW w:w="1802" w:type="pct"/>
                  <w:vAlign w:val="center"/>
                </w:tcPr>
                <w:p w14:paraId="67A3ECC8">
                  <w:pPr>
                    <w:pStyle w:val="12"/>
                    <w:rPr>
                      <w:rFonts w:cs="Times New Roman"/>
                    </w:rPr>
                  </w:pPr>
                  <w:r>
                    <w:rPr>
                      <w:rFonts w:cs="Times New Roman"/>
                    </w:rPr>
                    <w:t>有毒有害和易燃易爆危险物质存储量超过临界量的建设项目。</w:t>
                  </w:r>
                </w:p>
              </w:tc>
              <w:tc>
                <w:tcPr>
                  <w:tcW w:w="1751" w:type="pct"/>
                  <w:vAlign w:val="center"/>
                </w:tcPr>
                <w:p w14:paraId="16BF9F48">
                  <w:pPr>
                    <w:pStyle w:val="12"/>
                    <w:rPr>
                      <w:rFonts w:cs="Times New Roman"/>
                    </w:rPr>
                  </w:pPr>
                  <w:r>
                    <w:rPr>
                      <w:rFonts w:cs="Times New Roman"/>
                    </w:rPr>
                    <w:t>本项目危险物质存储量未超过临界量。</w:t>
                  </w:r>
                </w:p>
              </w:tc>
              <w:tc>
                <w:tcPr>
                  <w:tcW w:w="808" w:type="pct"/>
                  <w:vAlign w:val="center"/>
                </w:tcPr>
                <w:p w14:paraId="504E52D7">
                  <w:pPr>
                    <w:pStyle w:val="12"/>
                    <w:rPr>
                      <w:rFonts w:cs="Times New Roman"/>
                    </w:rPr>
                  </w:pPr>
                  <w:r>
                    <w:rPr>
                      <w:rFonts w:cs="Times New Roman"/>
                    </w:rPr>
                    <w:t>不设置</w:t>
                  </w:r>
                </w:p>
              </w:tc>
            </w:tr>
            <w:tr w14:paraId="18D75D9A">
              <w:tblPrEx>
                <w:tblBorders>
                  <w:top w:val="single" w:color="auto" w:sz="4" w:space="0"/>
                  <w:left w:val="single" w:color="auto" w:sz="6"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640" w:type="pct"/>
                  <w:vAlign w:val="center"/>
                </w:tcPr>
                <w:p w14:paraId="38B16980">
                  <w:pPr>
                    <w:pStyle w:val="12"/>
                    <w:rPr>
                      <w:rFonts w:cs="Times New Roman"/>
                    </w:rPr>
                  </w:pPr>
                  <w:r>
                    <w:rPr>
                      <w:rFonts w:cs="Times New Roman"/>
                    </w:rPr>
                    <w:t>生态</w:t>
                  </w:r>
                </w:p>
              </w:tc>
              <w:tc>
                <w:tcPr>
                  <w:tcW w:w="1802" w:type="pct"/>
                  <w:vAlign w:val="center"/>
                </w:tcPr>
                <w:p w14:paraId="0929300A">
                  <w:pPr>
                    <w:pStyle w:val="12"/>
                    <w:rPr>
                      <w:rFonts w:cs="Times New Roman"/>
                    </w:rPr>
                  </w:pPr>
                  <w:r>
                    <w:rPr>
                      <w:rFonts w:cs="Times New Roman"/>
                    </w:rPr>
                    <w:t>取水口下游500米范围内有重要水生生物的自然产卵场、索饵场、越冬场和洄游通道的新增河道取水</w:t>
                  </w:r>
                </w:p>
              </w:tc>
              <w:tc>
                <w:tcPr>
                  <w:tcW w:w="1751" w:type="pct"/>
                  <w:vAlign w:val="center"/>
                </w:tcPr>
                <w:p w14:paraId="0C24AFA0">
                  <w:pPr>
                    <w:pStyle w:val="12"/>
                    <w:rPr>
                      <w:rFonts w:cs="Times New Roman"/>
                    </w:rPr>
                  </w:pPr>
                  <w:r>
                    <w:rPr>
                      <w:rFonts w:cs="Times New Roman"/>
                    </w:rPr>
                    <w:t>本项目供水来自城镇自来水管网，不涉及河道取水。</w:t>
                  </w:r>
                </w:p>
              </w:tc>
              <w:tc>
                <w:tcPr>
                  <w:tcW w:w="808" w:type="pct"/>
                  <w:vAlign w:val="center"/>
                </w:tcPr>
                <w:p w14:paraId="7672453E">
                  <w:pPr>
                    <w:pStyle w:val="12"/>
                    <w:rPr>
                      <w:rFonts w:cs="Times New Roman"/>
                    </w:rPr>
                  </w:pPr>
                  <w:r>
                    <w:rPr>
                      <w:rFonts w:cs="Times New Roman"/>
                    </w:rPr>
                    <w:t>不设置</w:t>
                  </w:r>
                </w:p>
              </w:tc>
            </w:tr>
            <w:tr w14:paraId="288100DD">
              <w:tblPrEx>
                <w:tblBorders>
                  <w:top w:val="single" w:color="auto" w:sz="4" w:space="0"/>
                  <w:left w:val="single" w:color="auto" w:sz="6"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640" w:type="pct"/>
                  <w:vAlign w:val="center"/>
                </w:tcPr>
                <w:p w14:paraId="192E9D03">
                  <w:pPr>
                    <w:pStyle w:val="12"/>
                    <w:rPr>
                      <w:rFonts w:cs="Times New Roman"/>
                    </w:rPr>
                  </w:pPr>
                  <w:r>
                    <w:rPr>
                      <w:rFonts w:cs="Times New Roman"/>
                    </w:rPr>
                    <w:t>海洋</w:t>
                  </w:r>
                </w:p>
              </w:tc>
              <w:tc>
                <w:tcPr>
                  <w:tcW w:w="1802" w:type="pct"/>
                  <w:vAlign w:val="center"/>
                </w:tcPr>
                <w:p w14:paraId="2C4A3B2E">
                  <w:pPr>
                    <w:pStyle w:val="12"/>
                    <w:rPr>
                      <w:rFonts w:cs="Times New Roman"/>
                    </w:rPr>
                  </w:pPr>
                  <w:r>
                    <w:rPr>
                      <w:rFonts w:cs="Times New Roman"/>
                    </w:rPr>
                    <w:t>直接向海排放污染物的海洋工程建设项目</w:t>
                  </w:r>
                </w:p>
              </w:tc>
              <w:tc>
                <w:tcPr>
                  <w:tcW w:w="1751" w:type="pct"/>
                  <w:vAlign w:val="center"/>
                </w:tcPr>
                <w:p w14:paraId="36CD2B4E">
                  <w:pPr>
                    <w:pStyle w:val="12"/>
                    <w:rPr>
                      <w:rFonts w:cs="Times New Roman"/>
                    </w:rPr>
                  </w:pPr>
                  <w:r>
                    <w:rPr>
                      <w:rFonts w:cs="Times New Roman"/>
                    </w:rPr>
                    <w:t>本项目不属于海洋工程建设项目</w:t>
                  </w:r>
                </w:p>
              </w:tc>
              <w:tc>
                <w:tcPr>
                  <w:tcW w:w="808" w:type="pct"/>
                  <w:vAlign w:val="center"/>
                </w:tcPr>
                <w:p w14:paraId="78030FC5">
                  <w:pPr>
                    <w:pStyle w:val="12"/>
                    <w:rPr>
                      <w:rFonts w:cs="Times New Roman"/>
                    </w:rPr>
                  </w:pPr>
                  <w:r>
                    <w:rPr>
                      <w:rFonts w:cs="Times New Roman"/>
                    </w:rPr>
                    <w:t>不设置</w:t>
                  </w:r>
                </w:p>
              </w:tc>
            </w:tr>
          </w:tbl>
          <w:p w14:paraId="243C9A7E">
            <w:pPr>
              <w:ind w:firstLine="480"/>
            </w:pPr>
            <w:r>
              <w:rPr>
                <w:rFonts w:hint="eastAsia"/>
              </w:rPr>
              <w:t>根据《建设项目环境影响报告表编制技术指南》（污染影响类）（试行），土壤、声环境不开展专项评价，本项目不涉及集中式饮用水水源和热水、矿泉水、温泉等特殊地下水资源保护区，因此不开展地下水专项评价。</w:t>
            </w:r>
          </w:p>
          <w:p w14:paraId="677BD2B7">
            <w:pPr>
              <w:ind w:firstLine="480"/>
              <w:rPr>
                <w:rFonts w:cs="Times New Roman"/>
              </w:rPr>
            </w:pPr>
            <w:r>
              <w:rPr>
                <w:rFonts w:hint="eastAsia" w:cs="Times New Roman"/>
              </w:rPr>
              <w:t>综上</w:t>
            </w:r>
            <w:r>
              <w:rPr>
                <w:rFonts w:cs="Times New Roman"/>
              </w:rPr>
              <w:t>，本项目设置</w:t>
            </w:r>
            <w:r>
              <w:rPr>
                <w:rFonts w:hint="eastAsia" w:cs="Times New Roman"/>
              </w:rPr>
              <w:t>大气</w:t>
            </w:r>
            <w:r>
              <w:rPr>
                <w:rFonts w:cs="Times New Roman"/>
              </w:rPr>
              <w:t>专项评价。</w:t>
            </w:r>
          </w:p>
        </w:tc>
      </w:tr>
      <w:tr w14:paraId="182F7B3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1381" w:hRule="atLeast"/>
          <w:jc w:val="center"/>
        </w:trPr>
        <w:tc>
          <w:tcPr>
            <w:tcW w:w="836" w:type="pct"/>
            <w:vAlign w:val="center"/>
          </w:tcPr>
          <w:p w14:paraId="4D09D852">
            <w:pPr>
              <w:pStyle w:val="24"/>
              <w:rPr>
                <w:rFonts w:cs="Times New Roman"/>
                <w:sz w:val="24"/>
                <w:szCs w:val="28"/>
              </w:rPr>
            </w:pPr>
            <w:r>
              <w:rPr>
                <w:rFonts w:cs="Times New Roman"/>
                <w:sz w:val="24"/>
                <w:szCs w:val="28"/>
              </w:rPr>
              <w:t>规划情况</w:t>
            </w:r>
          </w:p>
        </w:tc>
        <w:tc>
          <w:tcPr>
            <w:tcW w:w="4163" w:type="pct"/>
            <w:gridSpan w:val="3"/>
            <w:vAlign w:val="center"/>
          </w:tcPr>
          <w:p w14:paraId="3110AC20">
            <w:pPr>
              <w:ind w:firstLine="480"/>
              <w:rPr>
                <w:rFonts w:cs="Times New Roman"/>
              </w:rPr>
            </w:pPr>
            <w:r>
              <w:rPr>
                <w:rFonts w:cs="Times New Roman"/>
              </w:rPr>
              <w:t>规划名称：</w:t>
            </w:r>
            <w:r>
              <w:rPr>
                <w:rFonts w:hint="eastAsia" w:cs="Times New Roman"/>
              </w:rPr>
              <w:t>四川平昌经济开发区</w:t>
            </w:r>
          </w:p>
          <w:p w14:paraId="67A817A5">
            <w:pPr>
              <w:ind w:firstLine="480"/>
              <w:rPr>
                <w:rFonts w:cs="Times New Roman"/>
              </w:rPr>
            </w:pPr>
            <w:r>
              <w:rPr>
                <w:rFonts w:cs="Times New Roman"/>
              </w:rPr>
              <w:t>审查机关：四川省</w:t>
            </w:r>
            <w:r>
              <w:rPr>
                <w:rFonts w:hint="eastAsia" w:cs="Times New Roman"/>
              </w:rPr>
              <w:t>人民政府</w:t>
            </w:r>
          </w:p>
          <w:p w14:paraId="0DBC9F14">
            <w:pPr>
              <w:ind w:firstLine="480"/>
              <w:rPr>
                <w:rFonts w:cs="Times New Roman"/>
              </w:rPr>
            </w:pPr>
            <w:r>
              <w:rPr>
                <w:rFonts w:cs="Times New Roman"/>
              </w:rPr>
              <w:t>审查文件名称及文号：</w:t>
            </w:r>
            <w:r>
              <w:rPr>
                <w:rFonts w:hint="eastAsia"/>
              </w:rPr>
              <w:t>四川省人民政府关于设立四川蒲江经济开发区等</w:t>
            </w:r>
            <w:r>
              <w:t>64</w:t>
            </w:r>
            <w:r>
              <w:rPr>
                <w:rFonts w:hint="eastAsia"/>
              </w:rPr>
              <w:t>家省级开发区的批复（川府函</w:t>
            </w:r>
            <w:r>
              <w:rPr>
                <w:rFonts w:hint="eastAsia"/>
                <w:lang w:eastAsia="zh-CN"/>
              </w:rPr>
              <w:t>〔2019〕20号</w:t>
            </w:r>
            <w:r>
              <w:rPr>
                <w:rFonts w:hint="eastAsia"/>
              </w:rPr>
              <w:t>）</w:t>
            </w:r>
          </w:p>
        </w:tc>
      </w:tr>
      <w:tr w14:paraId="4773D74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557" w:hRule="atLeast"/>
          <w:jc w:val="center"/>
        </w:trPr>
        <w:tc>
          <w:tcPr>
            <w:tcW w:w="836" w:type="pct"/>
            <w:vAlign w:val="center"/>
          </w:tcPr>
          <w:p w14:paraId="7096A240">
            <w:pPr>
              <w:pStyle w:val="24"/>
              <w:rPr>
                <w:rFonts w:cs="Times New Roman"/>
                <w:sz w:val="24"/>
                <w:szCs w:val="28"/>
              </w:rPr>
            </w:pPr>
            <w:r>
              <w:rPr>
                <w:rFonts w:cs="Times New Roman"/>
                <w:sz w:val="24"/>
                <w:szCs w:val="28"/>
              </w:rPr>
              <w:t>规划环境影响评价情况</w:t>
            </w:r>
          </w:p>
        </w:tc>
        <w:tc>
          <w:tcPr>
            <w:tcW w:w="4163" w:type="pct"/>
            <w:gridSpan w:val="3"/>
            <w:vAlign w:val="center"/>
          </w:tcPr>
          <w:p w14:paraId="12E008D6">
            <w:pPr>
              <w:ind w:firstLine="480"/>
              <w:rPr>
                <w:rFonts w:cs="Times New Roman"/>
              </w:rPr>
            </w:pPr>
            <w:bookmarkStart w:id="10" w:name="OLE_LINK590"/>
            <w:bookmarkStart w:id="11" w:name="OLE_LINK589"/>
            <w:r>
              <w:rPr>
                <w:rFonts w:cs="Times New Roman"/>
              </w:rPr>
              <w:t>规划环境影响评价文件名称：《</w:t>
            </w:r>
            <w:r>
              <w:rPr>
                <w:rFonts w:hint="eastAsia"/>
              </w:rPr>
              <w:t>四川平昌经济开发区规划修编环境影响报告书</w:t>
            </w:r>
            <w:r>
              <w:rPr>
                <w:rFonts w:cs="Times New Roman"/>
              </w:rPr>
              <w:t>》</w:t>
            </w:r>
          </w:p>
          <w:p w14:paraId="37BFB337">
            <w:pPr>
              <w:ind w:firstLine="480"/>
              <w:rPr>
                <w:rFonts w:cs="Times New Roman"/>
              </w:rPr>
            </w:pPr>
            <w:r>
              <w:rPr>
                <w:rFonts w:cs="Times New Roman"/>
              </w:rPr>
              <w:t>审查机关：四川省生态环境厅</w:t>
            </w:r>
          </w:p>
          <w:p w14:paraId="5DDB7712">
            <w:pPr>
              <w:ind w:firstLine="480"/>
              <w:rPr>
                <w:rFonts w:cs="Times New Roman"/>
              </w:rPr>
            </w:pPr>
            <w:r>
              <w:rPr>
                <w:rFonts w:cs="Times New Roman"/>
              </w:rPr>
              <w:t>审查文件名称及文号：</w:t>
            </w:r>
            <w:r>
              <w:rPr>
                <w:rFonts w:hint="eastAsia"/>
              </w:rPr>
              <w:t>四川省生态环境厅关于印发《四川平昌经济开发区规划修编环境影响报告书》审查意见的函</w:t>
            </w:r>
            <w:r>
              <w:rPr>
                <w:rFonts w:cs="Times New Roman"/>
              </w:rPr>
              <w:t>（川环建函〔2023〕17号）</w:t>
            </w:r>
            <w:bookmarkEnd w:id="10"/>
            <w:bookmarkEnd w:id="11"/>
          </w:p>
        </w:tc>
      </w:tr>
      <w:tr w14:paraId="4B59537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1021" w:hRule="atLeast"/>
          <w:jc w:val="center"/>
        </w:trPr>
        <w:tc>
          <w:tcPr>
            <w:tcW w:w="836" w:type="pct"/>
            <w:vAlign w:val="center"/>
          </w:tcPr>
          <w:p w14:paraId="42160A7E">
            <w:pPr>
              <w:pStyle w:val="24"/>
              <w:rPr>
                <w:rFonts w:cs="Times New Roman"/>
                <w:sz w:val="24"/>
                <w:szCs w:val="28"/>
              </w:rPr>
            </w:pPr>
            <w:r>
              <w:rPr>
                <w:rFonts w:cs="Times New Roman"/>
                <w:sz w:val="24"/>
                <w:szCs w:val="28"/>
              </w:rPr>
              <w:t>规划及规划环境影响评价符合性分析</w:t>
            </w:r>
          </w:p>
        </w:tc>
        <w:tc>
          <w:tcPr>
            <w:tcW w:w="4163" w:type="pct"/>
            <w:gridSpan w:val="3"/>
            <w:vAlign w:val="center"/>
          </w:tcPr>
          <w:p w14:paraId="5135E16C">
            <w:pPr>
              <w:pStyle w:val="3"/>
              <w:spacing w:before="163"/>
            </w:pPr>
            <w:r>
              <w:t>1、</w:t>
            </w:r>
            <w:r>
              <w:rPr>
                <w:rFonts w:hint="eastAsia"/>
              </w:rPr>
              <w:t>与四川平昌经济开发区符合性分析</w:t>
            </w:r>
          </w:p>
          <w:p w14:paraId="48B64B87">
            <w:pPr>
              <w:ind w:firstLine="480"/>
              <w:rPr>
                <w:rFonts w:hint="default" w:ascii="Times New Roman" w:hAnsi="Times New Roman" w:cs="Times New Roman"/>
              </w:rPr>
            </w:pPr>
            <w:r>
              <w:rPr>
                <w:rFonts w:hint="default" w:ascii="Times New Roman" w:hAnsi="Times New Roman" w:cs="Times New Roman" w:eastAsiaTheme="minorEastAsia"/>
              </w:rPr>
              <w:t>2012</w:t>
            </w:r>
            <w:r>
              <w:rPr>
                <w:rFonts w:hint="default" w:ascii="Times New Roman" w:hAnsi="Times New Roman" w:cs="Times New Roman"/>
              </w:rPr>
              <w:t>年，平昌县人民政府批准成立平昌经济开发区，后更名为四川平昌经济开发区（以下简称经开区）。</w:t>
            </w:r>
            <w:r>
              <w:rPr>
                <w:rFonts w:hint="default" w:ascii="Times New Roman" w:hAnsi="Times New Roman" w:cs="Times New Roman" w:eastAsiaTheme="minorEastAsia"/>
              </w:rPr>
              <w:t>2014</w:t>
            </w:r>
            <w:r>
              <w:rPr>
                <w:rFonts w:hint="default" w:ascii="Times New Roman" w:hAnsi="Times New Roman" w:cs="Times New Roman"/>
              </w:rPr>
              <w:t>年，平昌县人民政府组织编制了《四川省平昌县经济开发区控制性详细规划》，同年开展了规划环评，取得了原四川省环境保护厅审查意见（川环建函〔</w:t>
            </w:r>
            <w:r>
              <w:rPr>
                <w:rFonts w:hint="default" w:ascii="Times New Roman" w:hAnsi="Times New Roman" w:cs="Times New Roman" w:eastAsiaTheme="minorEastAsia"/>
              </w:rPr>
              <w:t>2014</w:t>
            </w:r>
            <w:r>
              <w:rPr>
                <w:rFonts w:hint="default" w:ascii="Times New Roman" w:hAnsi="Times New Roman" w:cs="Times New Roman"/>
              </w:rPr>
              <w:t>〕</w:t>
            </w:r>
            <w:r>
              <w:rPr>
                <w:rFonts w:hint="default" w:ascii="Times New Roman" w:hAnsi="Times New Roman" w:cs="Times New Roman" w:eastAsiaTheme="minorEastAsia"/>
              </w:rPr>
              <w:t>267</w:t>
            </w:r>
            <w:r>
              <w:rPr>
                <w:rFonts w:hint="default" w:ascii="Times New Roman" w:hAnsi="Times New Roman" w:cs="Times New Roman"/>
              </w:rPr>
              <w:t>号）。经开区于</w:t>
            </w:r>
            <w:r>
              <w:rPr>
                <w:rFonts w:hint="default" w:ascii="Times New Roman" w:hAnsi="Times New Roman" w:cs="Times New Roman" w:eastAsiaTheme="minorEastAsia"/>
              </w:rPr>
              <w:t>2019</w:t>
            </w:r>
            <w:r>
              <w:rPr>
                <w:rFonts w:hint="default" w:ascii="Times New Roman" w:hAnsi="Times New Roman" w:cs="Times New Roman"/>
              </w:rPr>
              <w:t>年经省政府批复为省级开发区，</w:t>
            </w:r>
            <w:r>
              <w:rPr>
                <w:rFonts w:hint="default" w:ascii="Times New Roman" w:hAnsi="Times New Roman" w:cs="Times New Roman" w:eastAsiaTheme="minorEastAsia"/>
              </w:rPr>
              <w:t>2022</w:t>
            </w:r>
            <w:r>
              <w:rPr>
                <w:rFonts w:hint="default" w:ascii="Times New Roman" w:hAnsi="Times New Roman" w:cs="Times New Roman"/>
              </w:rPr>
              <w:t>年完成了规划环评跟踪评价工作。</w:t>
            </w:r>
          </w:p>
          <w:p w14:paraId="74E90E56">
            <w:pPr>
              <w:ind w:firstLine="480"/>
              <w:rPr>
                <w:rFonts w:hint="default" w:ascii="Times New Roman" w:hAnsi="Times New Roman" w:cs="Times New Roman"/>
              </w:rPr>
            </w:pPr>
            <w:r>
              <w:rPr>
                <w:rFonts w:hint="default" w:ascii="Times New Roman" w:hAnsi="Times New Roman" w:cs="Times New Roman" w:eastAsiaTheme="minorEastAsia"/>
              </w:rPr>
              <w:t>2022</w:t>
            </w:r>
            <w:r>
              <w:rPr>
                <w:rFonts w:hint="default" w:ascii="Times New Roman" w:hAnsi="Times New Roman" w:cs="Times New Roman"/>
              </w:rPr>
              <w:t>年</w:t>
            </w:r>
            <w:r>
              <w:rPr>
                <w:rFonts w:hint="default" w:ascii="Times New Roman" w:hAnsi="Times New Roman" w:cs="Times New Roman" w:eastAsiaTheme="minorEastAsia"/>
              </w:rPr>
              <w:t>10</w:t>
            </w:r>
            <w:r>
              <w:rPr>
                <w:rFonts w:hint="default" w:ascii="Times New Roman" w:hAnsi="Times New Roman" w:cs="Times New Roman"/>
              </w:rPr>
              <w:t>月，经平昌县人民政府同意，经开区组织了规划修编，其规划修编环评于</w:t>
            </w:r>
            <w:r>
              <w:rPr>
                <w:rFonts w:hint="default" w:ascii="Times New Roman" w:hAnsi="Times New Roman" w:cs="Times New Roman" w:eastAsiaTheme="minorEastAsia"/>
              </w:rPr>
              <w:t>2023</w:t>
            </w:r>
            <w:r>
              <w:rPr>
                <w:rFonts w:hint="default" w:ascii="Times New Roman" w:hAnsi="Times New Roman" w:cs="Times New Roman"/>
              </w:rPr>
              <w:t>年</w:t>
            </w:r>
            <w:r>
              <w:rPr>
                <w:rFonts w:hint="default" w:ascii="Times New Roman" w:hAnsi="Times New Roman" w:cs="Times New Roman" w:eastAsiaTheme="minorEastAsia"/>
              </w:rPr>
              <w:t>5</w:t>
            </w:r>
            <w:r>
              <w:rPr>
                <w:rFonts w:hint="default" w:ascii="Times New Roman" w:hAnsi="Times New Roman" w:cs="Times New Roman"/>
              </w:rPr>
              <w:t>月</w:t>
            </w:r>
            <w:r>
              <w:rPr>
                <w:rFonts w:hint="default" w:ascii="Times New Roman" w:hAnsi="Times New Roman" w:cs="Times New Roman" w:eastAsiaTheme="minorEastAsia"/>
              </w:rPr>
              <w:t>22</w:t>
            </w:r>
            <w:r>
              <w:rPr>
                <w:rFonts w:hint="default" w:ascii="Times New Roman" w:hAnsi="Times New Roman" w:cs="Times New Roman"/>
              </w:rPr>
              <w:t>日取得《关于印发＜四川平昌经济开发区规划修编环境影响报告书＞审查意见的函》（川环建函〔</w:t>
            </w:r>
            <w:r>
              <w:rPr>
                <w:rFonts w:hint="default" w:ascii="Times New Roman" w:hAnsi="Times New Roman" w:cs="Times New Roman" w:eastAsiaTheme="minorEastAsia"/>
              </w:rPr>
              <w:t>2023</w:t>
            </w:r>
            <w:r>
              <w:rPr>
                <w:rFonts w:hint="default" w:ascii="Times New Roman" w:hAnsi="Times New Roman" w:cs="Times New Roman"/>
              </w:rPr>
              <w:t>〕</w:t>
            </w:r>
            <w:r>
              <w:rPr>
                <w:rFonts w:hint="default" w:ascii="Times New Roman" w:hAnsi="Times New Roman" w:cs="Times New Roman" w:eastAsiaTheme="minorEastAsia"/>
              </w:rPr>
              <w:t>17</w:t>
            </w:r>
            <w:r>
              <w:rPr>
                <w:rFonts w:hint="default" w:ascii="Times New Roman" w:hAnsi="Times New Roman" w:cs="Times New Roman"/>
              </w:rPr>
              <w:t>号）。修编后，平昌经开区规划总面积</w:t>
            </w:r>
            <w:r>
              <w:rPr>
                <w:rFonts w:hint="default" w:ascii="Times New Roman" w:hAnsi="Times New Roman" w:cs="Times New Roman" w:eastAsiaTheme="minorEastAsia"/>
              </w:rPr>
              <w:t>746.42</w:t>
            </w:r>
            <w:r>
              <w:rPr>
                <w:rFonts w:hint="default" w:ascii="Times New Roman" w:hAnsi="Times New Roman" w:cs="Times New Roman"/>
              </w:rPr>
              <w:t>公顷，主导产业为机械、食品饮料及能源，协同发展化工。辖星光机械制造产业园、金宝食品饮料产业园、驷马清洁能源产业园和托管的平昌石龙门化工园区。</w:t>
            </w:r>
          </w:p>
          <w:p w14:paraId="15DA10EA">
            <w:pPr>
              <w:ind w:firstLine="480"/>
              <w:rPr>
                <w:rFonts w:hint="default" w:ascii="Times New Roman" w:hAnsi="Times New Roman" w:cs="Times New Roman"/>
                <w:kern w:val="0"/>
                <w:szCs w:val="24"/>
              </w:rPr>
            </w:pPr>
            <w:r>
              <w:rPr>
                <w:rFonts w:hint="default" w:ascii="Times New Roman" w:hAnsi="Times New Roman" w:cs="Times New Roman"/>
              </w:rPr>
              <w:t>本项目位于平昌经济开发区中的星光机械制造产业园内，</w:t>
            </w:r>
            <w:r>
              <w:rPr>
                <w:rFonts w:hint="eastAsia" w:cs="Times New Roman"/>
                <w:lang w:val="en-US" w:eastAsia="zh-CN"/>
              </w:rPr>
              <w:t>属于</w:t>
            </w:r>
            <w:r>
              <w:rPr>
                <w:rFonts w:hint="default" w:ascii="Times New Roman" w:hAnsi="Times New Roman" w:cs="Times New Roman"/>
              </w:rPr>
              <w:t>水基岩屑</w:t>
            </w:r>
            <w:r>
              <w:rPr>
                <w:rFonts w:hint="eastAsia" w:cs="Times New Roman"/>
                <w:lang w:val="en-US" w:eastAsia="zh-CN"/>
              </w:rPr>
              <w:t>和热脱附干渣</w:t>
            </w:r>
            <w:r>
              <w:rPr>
                <w:rFonts w:hint="default" w:ascii="Times New Roman" w:hAnsi="Times New Roman" w:cs="Times New Roman"/>
              </w:rPr>
              <w:t>综合利用项目，</w:t>
            </w:r>
            <w:r>
              <w:rPr>
                <w:rFonts w:hint="eastAsia" w:cs="Times New Roman"/>
                <w:lang w:val="en-US" w:eastAsia="zh-CN"/>
              </w:rPr>
              <w:t>与园区主导产业不冲突。</w:t>
            </w:r>
          </w:p>
          <w:p w14:paraId="36C721DF">
            <w:pPr>
              <w:ind w:firstLine="480"/>
              <w:rPr>
                <w:rFonts w:hint="default" w:ascii="Times New Roman" w:hAnsi="Times New Roman" w:cs="Times New Roman"/>
                <w:kern w:val="0"/>
                <w:szCs w:val="24"/>
              </w:rPr>
            </w:pPr>
            <w:r>
              <w:rPr>
                <w:rFonts w:hint="default" w:ascii="Times New Roman" w:hAnsi="Times New Roman" w:cs="Times New Roman"/>
                <w:kern w:val="0"/>
                <w:szCs w:val="24"/>
              </w:rPr>
              <w:t>经查阅《四川平昌经济开发区规划修编环境影响报告书》</w:t>
            </w:r>
            <w:r>
              <w:rPr>
                <w:rFonts w:hint="eastAsia" w:cs="Times New Roman"/>
                <w:kern w:val="0"/>
                <w:szCs w:val="24"/>
                <w:lang w:eastAsia="zh-CN"/>
              </w:rPr>
              <w:t>，</w:t>
            </w:r>
            <w:r>
              <w:rPr>
                <w:rFonts w:hint="default" w:ascii="Times New Roman" w:hAnsi="Times New Roman" w:cs="Times New Roman"/>
                <w:kern w:val="0"/>
                <w:szCs w:val="24"/>
              </w:rPr>
              <w:t>本项目与星光机械制造产业园符合性分析见下表：</w:t>
            </w:r>
          </w:p>
          <w:p w14:paraId="21263C6B">
            <w:pPr>
              <w:pStyle w:val="11"/>
              <w:keepNext/>
              <w:rPr>
                <w:rFonts w:cs="Times New Roman"/>
              </w:rPr>
            </w:pPr>
            <w:r>
              <w:rPr>
                <w:rFonts w:cs="Times New Roman"/>
              </w:rPr>
              <w:t xml:space="preserve">表 </w:t>
            </w:r>
            <w:r>
              <w:rPr>
                <w:rFonts w:hint="eastAsia" w:cs="Times New Roman"/>
                <w:lang w:val="en-US" w:eastAsia="zh-CN"/>
              </w:rPr>
              <w:t>1</w:t>
            </w:r>
            <w:r>
              <w:rPr>
                <w:rFonts w:cs="Times New Roman"/>
              </w:rPr>
              <w:noBreakHyphen/>
            </w:r>
            <w:r>
              <w:rPr>
                <w:rFonts w:cs="Times New Roman"/>
              </w:rPr>
              <w:fldChar w:fldCharType="begin"/>
            </w:r>
            <w:r>
              <w:rPr>
                <w:rFonts w:cs="Times New Roman"/>
              </w:rPr>
              <w:instrText xml:space="preserve"> SEQ 表 \* ARABIC \s 1 </w:instrText>
            </w:r>
            <w:r>
              <w:rPr>
                <w:rFonts w:cs="Times New Roman"/>
              </w:rPr>
              <w:fldChar w:fldCharType="separate"/>
            </w:r>
            <w:r>
              <w:rPr>
                <w:rFonts w:cs="Times New Roman"/>
              </w:rPr>
              <w:t>2</w:t>
            </w:r>
            <w:r>
              <w:rPr>
                <w:rFonts w:cs="Times New Roman"/>
              </w:rPr>
              <w:fldChar w:fldCharType="end"/>
            </w:r>
            <w:r>
              <w:rPr>
                <w:rFonts w:cs="Times New Roman"/>
              </w:rPr>
              <w:t xml:space="preserve"> 与</w:t>
            </w:r>
            <w:r>
              <w:rPr>
                <w:rFonts w:hint="eastAsia" w:cs="Times New Roman"/>
              </w:rPr>
              <w:t>四川平昌经济开发区的符合性分析</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9"/>
              <w:gridCol w:w="1122"/>
              <w:gridCol w:w="2910"/>
              <w:gridCol w:w="2283"/>
              <w:gridCol w:w="1018"/>
            </w:tblGrid>
            <w:tr w14:paraId="6A48B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7" w:type="pct"/>
                  <w:vAlign w:val="center"/>
                </w:tcPr>
                <w:p w14:paraId="6320FABA">
                  <w:pPr>
                    <w:pStyle w:val="45"/>
                    <w:rPr>
                      <w:rFonts w:hint="eastAsia"/>
                      <w:sz w:val="21"/>
                      <w:szCs w:val="21"/>
                    </w:rPr>
                  </w:pPr>
                  <w:r>
                    <w:rPr>
                      <w:rFonts w:hint="eastAsia"/>
                      <w:sz w:val="21"/>
                      <w:szCs w:val="21"/>
                    </w:rPr>
                    <w:t>规划</w:t>
                  </w:r>
                </w:p>
                <w:p w14:paraId="4045E8B0">
                  <w:pPr>
                    <w:pStyle w:val="45"/>
                    <w:rPr>
                      <w:sz w:val="21"/>
                      <w:szCs w:val="21"/>
                    </w:rPr>
                  </w:pPr>
                  <w:r>
                    <w:rPr>
                      <w:rFonts w:hint="eastAsia"/>
                      <w:sz w:val="21"/>
                      <w:szCs w:val="21"/>
                    </w:rPr>
                    <w:t>名称</w:t>
                  </w:r>
                </w:p>
              </w:tc>
              <w:tc>
                <w:tcPr>
                  <w:tcW w:w="680" w:type="pct"/>
                  <w:vAlign w:val="center"/>
                </w:tcPr>
                <w:p w14:paraId="54FC8359">
                  <w:pPr>
                    <w:pStyle w:val="45"/>
                    <w:rPr>
                      <w:sz w:val="21"/>
                      <w:szCs w:val="21"/>
                    </w:rPr>
                  </w:pPr>
                  <w:r>
                    <w:rPr>
                      <w:rFonts w:hint="eastAsia"/>
                      <w:sz w:val="21"/>
                      <w:szCs w:val="21"/>
                    </w:rPr>
                    <w:t>所在园区</w:t>
                  </w:r>
                </w:p>
              </w:tc>
              <w:tc>
                <w:tcPr>
                  <w:tcW w:w="1763" w:type="pct"/>
                  <w:vAlign w:val="center"/>
                </w:tcPr>
                <w:p w14:paraId="7647DE3F">
                  <w:pPr>
                    <w:pStyle w:val="45"/>
                    <w:rPr>
                      <w:sz w:val="21"/>
                      <w:szCs w:val="21"/>
                    </w:rPr>
                  </w:pPr>
                  <w:r>
                    <w:rPr>
                      <w:rFonts w:hint="eastAsia"/>
                      <w:sz w:val="21"/>
                      <w:szCs w:val="21"/>
                    </w:rPr>
                    <w:t>产业定位</w:t>
                  </w:r>
                </w:p>
              </w:tc>
              <w:tc>
                <w:tcPr>
                  <w:tcW w:w="1383" w:type="pct"/>
                  <w:vAlign w:val="center"/>
                </w:tcPr>
                <w:p w14:paraId="3E260CD3">
                  <w:pPr>
                    <w:pStyle w:val="45"/>
                    <w:rPr>
                      <w:sz w:val="21"/>
                      <w:szCs w:val="21"/>
                    </w:rPr>
                  </w:pPr>
                  <w:r>
                    <w:rPr>
                      <w:rFonts w:hint="eastAsia"/>
                      <w:sz w:val="21"/>
                      <w:szCs w:val="21"/>
                    </w:rPr>
                    <w:t>本项目</w:t>
                  </w:r>
                </w:p>
              </w:tc>
              <w:tc>
                <w:tcPr>
                  <w:tcW w:w="617" w:type="pct"/>
                  <w:vAlign w:val="center"/>
                </w:tcPr>
                <w:p w14:paraId="54C6D0E5">
                  <w:pPr>
                    <w:pStyle w:val="45"/>
                    <w:rPr>
                      <w:sz w:val="21"/>
                      <w:szCs w:val="21"/>
                    </w:rPr>
                  </w:pPr>
                  <w:r>
                    <w:rPr>
                      <w:rFonts w:hint="eastAsia"/>
                      <w:sz w:val="21"/>
                      <w:szCs w:val="21"/>
                    </w:rPr>
                    <w:t>符合性</w:t>
                  </w:r>
                </w:p>
              </w:tc>
            </w:tr>
            <w:tr w14:paraId="03E21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7" w:type="pct"/>
                  <w:vMerge w:val="restart"/>
                  <w:vAlign w:val="center"/>
                </w:tcPr>
                <w:p w14:paraId="03A08F0E">
                  <w:pPr>
                    <w:pStyle w:val="12"/>
                    <w:rPr>
                      <w:sz w:val="21"/>
                      <w:szCs w:val="21"/>
                    </w:rPr>
                  </w:pPr>
                  <w:r>
                    <w:rPr>
                      <w:rFonts w:hint="eastAsia"/>
                      <w:sz w:val="21"/>
                      <w:szCs w:val="21"/>
                    </w:rPr>
                    <w:t>四川平昌经济开发区</w:t>
                  </w:r>
                </w:p>
              </w:tc>
              <w:tc>
                <w:tcPr>
                  <w:tcW w:w="680" w:type="pct"/>
                  <w:vMerge w:val="restart"/>
                  <w:vAlign w:val="center"/>
                </w:tcPr>
                <w:p w14:paraId="419CC854">
                  <w:pPr>
                    <w:pStyle w:val="12"/>
                    <w:rPr>
                      <w:sz w:val="21"/>
                      <w:szCs w:val="21"/>
                    </w:rPr>
                  </w:pPr>
                  <w:r>
                    <w:rPr>
                      <w:rFonts w:hint="eastAsia"/>
                      <w:sz w:val="21"/>
                      <w:szCs w:val="21"/>
                    </w:rPr>
                    <w:t>星光机械制造产业园</w:t>
                  </w:r>
                </w:p>
              </w:tc>
              <w:tc>
                <w:tcPr>
                  <w:tcW w:w="1763" w:type="pct"/>
                  <w:vAlign w:val="center"/>
                </w:tcPr>
                <w:p w14:paraId="36BE19DB">
                  <w:pPr>
                    <w:pStyle w:val="12"/>
                    <w:rPr>
                      <w:sz w:val="21"/>
                      <w:szCs w:val="21"/>
                    </w:rPr>
                  </w:pPr>
                  <w:r>
                    <w:rPr>
                      <w:rFonts w:hint="eastAsia"/>
                      <w:sz w:val="21"/>
                      <w:szCs w:val="21"/>
                    </w:rPr>
                    <w:t>主导产业为机械制造，重点发展汽摩整车制造及配套产业、现代山地农机；</w:t>
                  </w:r>
                </w:p>
              </w:tc>
              <w:tc>
                <w:tcPr>
                  <w:tcW w:w="1383" w:type="pct"/>
                  <w:vAlign w:val="center"/>
                </w:tcPr>
                <w:p w14:paraId="35F2AA25">
                  <w:pPr>
                    <w:pStyle w:val="12"/>
                    <w:rPr>
                      <w:sz w:val="21"/>
                      <w:szCs w:val="21"/>
                    </w:rPr>
                  </w:pPr>
                  <w:r>
                    <w:rPr>
                      <w:rFonts w:hint="eastAsia"/>
                      <w:sz w:val="21"/>
                      <w:szCs w:val="21"/>
                    </w:rPr>
                    <w:t>本项目为水基岩屑</w:t>
                  </w:r>
                  <w:r>
                    <w:rPr>
                      <w:rFonts w:hint="eastAsia"/>
                      <w:sz w:val="21"/>
                      <w:szCs w:val="21"/>
                      <w:lang w:val="en-US" w:eastAsia="zh-CN"/>
                    </w:rPr>
                    <w:t>和热脱附干渣</w:t>
                  </w:r>
                  <w:r>
                    <w:rPr>
                      <w:rFonts w:hint="eastAsia"/>
                      <w:sz w:val="21"/>
                      <w:szCs w:val="21"/>
                    </w:rPr>
                    <w:t>综合利用，与主导产业不冲突</w:t>
                  </w:r>
                </w:p>
              </w:tc>
              <w:tc>
                <w:tcPr>
                  <w:tcW w:w="617" w:type="pct"/>
                  <w:vAlign w:val="center"/>
                </w:tcPr>
                <w:p w14:paraId="39762123">
                  <w:pPr>
                    <w:pStyle w:val="12"/>
                    <w:rPr>
                      <w:sz w:val="21"/>
                      <w:szCs w:val="21"/>
                    </w:rPr>
                  </w:pPr>
                  <w:r>
                    <w:rPr>
                      <w:rFonts w:hint="eastAsia"/>
                      <w:sz w:val="21"/>
                      <w:szCs w:val="21"/>
                    </w:rPr>
                    <w:t>符合</w:t>
                  </w:r>
                </w:p>
              </w:tc>
            </w:tr>
            <w:tr w14:paraId="1601A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7" w:type="pct"/>
                  <w:vMerge w:val="continue"/>
                  <w:vAlign w:val="center"/>
                </w:tcPr>
                <w:p w14:paraId="12C3A160">
                  <w:pPr>
                    <w:pStyle w:val="12"/>
                    <w:rPr>
                      <w:sz w:val="21"/>
                      <w:szCs w:val="21"/>
                    </w:rPr>
                  </w:pPr>
                </w:p>
              </w:tc>
              <w:tc>
                <w:tcPr>
                  <w:tcW w:w="680" w:type="pct"/>
                  <w:vMerge w:val="continue"/>
                  <w:vAlign w:val="center"/>
                </w:tcPr>
                <w:p w14:paraId="76128F60">
                  <w:pPr>
                    <w:pStyle w:val="12"/>
                    <w:rPr>
                      <w:sz w:val="21"/>
                      <w:szCs w:val="21"/>
                    </w:rPr>
                  </w:pPr>
                </w:p>
              </w:tc>
              <w:tc>
                <w:tcPr>
                  <w:tcW w:w="1763" w:type="pct"/>
                  <w:vAlign w:val="center"/>
                </w:tcPr>
                <w:p w14:paraId="41135C39">
                  <w:pPr>
                    <w:pStyle w:val="12"/>
                    <w:rPr>
                      <w:sz w:val="21"/>
                      <w:szCs w:val="21"/>
                    </w:rPr>
                  </w:pPr>
                  <w:r>
                    <w:rPr>
                      <w:rFonts w:hint="eastAsia"/>
                      <w:sz w:val="21"/>
                      <w:szCs w:val="21"/>
                    </w:rPr>
                    <w:t>禁止引入原料、中间品、产品涉及剧毒化学品的企业；禁止引入专业电镀项目，禁止排放</w:t>
                  </w:r>
                  <w:r>
                    <w:rPr>
                      <w:rFonts w:ascii="TimesNewRomanPSMT" w:hAnsi="TimesNewRomanPSMT" w:cs="TimesNewRomanPSMT"/>
                      <w:sz w:val="21"/>
                      <w:szCs w:val="21"/>
                    </w:rPr>
                    <w:t>“</w:t>
                  </w:r>
                  <w:r>
                    <w:rPr>
                      <w:rFonts w:hint="eastAsia"/>
                      <w:sz w:val="21"/>
                      <w:szCs w:val="21"/>
                    </w:rPr>
                    <w:t>五类</w:t>
                  </w:r>
                  <w:r>
                    <w:rPr>
                      <w:rFonts w:ascii="TimesNewRomanPSMT" w:hAnsi="TimesNewRomanPSMT" w:cs="TimesNewRomanPSMT"/>
                      <w:sz w:val="21"/>
                      <w:szCs w:val="21"/>
                    </w:rPr>
                    <w:t>”</w:t>
                  </w:r>
                  <w:r>
                    <w:rPr>
                      <w:rFonts w:hint="eastAsia"/>
                      <w:sz w:val="21"/>
                      <w:szCs w:val="21"/>
                    </w:rPr>
                    <w:t>重金属</w:t>
                  </w:r>
                </w:p>
              </w:tc>
              <w:tc>
                <w:tcPr>
                  <w:tcW w:w="1383" w:type="pct"/>
                  <w:vAlign w:val="center"/>
                </w:tcPr>
                <w:p w14:paraId="1EC5C469">
                  <w:pPr>
                    <w:pStyle w:val="12"/>
                    <w:rPr>
                      <w:sz w:val="21"/>
                      <w:szCs w:val="21"/>
                    </w:rPr>
                  </w:pPr>
                  <w:r>
                    <w:rPr>
                      <w:rFonts w:hint="eastAsia"/>
                      <w:sz w:val="21"/>
                      <w:szCs w:val="21"/>
                    </w:rPr>
                    <w:t>本项目不涉及剧毒化学品；不属于专业电镀，不排放“五类”重金属</w:t>
                  </w:r>
                </w:p>
              </w:tc>
              <w:tc>
                <w:tcPr>
                  <w:tcW w:w="617" w:type="pct"/>
                  <w:vAlign w:val="center"/>
                </w:tcPr>
                <w:p w14:paraId="240CB17C">
                  <w:pPr>
                    <w:pStyle w:val="12"/>
                    <w:rPr>
                      <w:sz w:val="21"/>
                      <w:szCs w:val="21"/>
                    </w:rPr>
                  </w:pPr>
                  <w:r>
                    <w:rPr>
                      <w:rFonts w:hint="eastAsia"/>
                      <w:sz w:val="21"/>
                      <w:szCs w:val="21"/>
                    </w:rPr>
                    <w:t>符合</w:t>
                  </w:r>
                </w:p>
              </w:tc>
            </w:tr>
          </w:tbl>
          <w:p w14:paraId="6BD76469">
            <w:pPr>
              <w:ind w:firstLine="480"/>
              <w:rPr>
                <w:rFonts w:hint="default" w:eastAsia="宋体"/>
                <w:lang w:val="en-US" w:eastAsia="zh-CN"/>
              </w:rPr>
            </w:pPr>
            <w:r>
              <w:rPr>
                <w:rFonts w:hint="eastAsia"/>
              </w:rPr>
              <w:t>综上，本项目符合四川平昌经济开发区要求。同时，建设单位已取得了四川平昌经济开发区管理委员会</w:t>
            </w:r>
            <w:r>
              <w:rPr>
                <w:rFonts w:hint="eastAsia"/>
                <w:lang w:val="en-US" w:eastAsia="zh-CN"/>
              </w:rPr>
              <w:t>出具的《关于巴中瑞成环保科技有限公司水基岩屑综合利用及处理项目的说明》</w:t>
            </w:r>
            <w:r>
              <w:rPr>
                <w:rFonts w:hint="eastAsia"/>
              </w:rPr>
              <w:t>，同意</w:t>
            </w:r>
            <w:r>
              <w:rPr>
                <w:rFonts w:hint="eastAsia"/>
                <w:lang w:val="en-US" w:eastAsia="zh-CN"/>
              </w:rPr>
              <w:t>项目在园区内建设</w:t>
            </w:r>
            <w:r>
              <w:rPr>
                <w:rFonts w:hint="eastAsia"/>
              </w:rPr>
              <w:t>。</w:t>
            </w:r>
          </w:p>
          <w:p w14:paraId="1A0B4E58">
            <w:pPr>
              <w:pStyle w:val="3"/>
              <w:spacing w:before="163"/>
            </w:pPr>
            <w:r>
              <w:t>2、本项目与</w:t>
            </w:r>
            <w:r>
              <w:rPr>
                <w:rFonts w:hint="eastAsia"/>
              </w:rPr>
              <w:t>《四川平昌经济开发区修编环境影响报告书》及其审查意见的符合性分析</w:t>
            </w:r>
          </w:p>
          <w:p w14:paraId="5E368863">
            <w:pPr>
              <w:ind w:firstLine="480"/>
            </w:pPr>
            <w:r>
              <w:rPr>
                <w:rFonts w:hint="eastAsia"/>
              </w:rPr>
              <w:t>本项目位于四川平昌经济开发区中的星光机械制造产业园，项目与环评及审查意见符合性分析见下表。</w:t>
            </w:r>
          </w:p>
          <w:p w14:paraId="5B168252">
            <w:pPr>
              <w:pStyle w:val="11"/>
              <w:keepNext/>
              <w:rPr>
                <w:rFonts w:cs="Times New Roman"/>
              </w:rPr>
            </w:pPr>
            <w:r>
              <w:rPr>
                <w:rFonts w:cs="Times New Roman"/>
              </w:rPr>
              <w:t xml:space="preserve">表 </w:t>
            </w:r>
            <w:r>
              <w:rPr>
                <w:rFonts w:hint="eastAsia" w:cs="Times New Roman"/>
                <w:lang w:val="en-US" w:eastAsia="zh-CN"/>
              </w:rPr>
              <w:t>1</w:t>
            </w:r>
            <w:r>
              <w:rPr>
                <w:rFonts w:cs="Times New Roman"/>
              </w:rPr>
              <w:noBreakHyphen/>
            </w:r>
            <w:r>
              <w:rPr>
                <w:rFonts w:cs="Times New Roman"/>
              </w:rPr>
              <w:fldChar w:fldCharType="begin"/>
            </w:r>
            <w:r>
              <w:rPr>
                <w:rFonts w:cs="Times New Roman"/>
              </w:rPr>
              <w:instrText xml:space="preserve"> SEQ 表 \* ARABIC \s 1 </w:instrText>
            </w:r>
            <w:r>
              <w:rPr>
                <w:rFonts w:cs="Times New Roman"/>
              </w:rPr>
              <w:fldChar w:fldCharType="separate"/>
            </w:r>
            <w:r>
              <w:rPr>
                <w:rFonts w:cs="Times New Roman"/>
              </w:rPr>
              <w:t>3</w:t>
            </w:r>
            <w:r>
              <w:rPr>
                <w:rFonts w:cs="Times New Roman"/>
              </w:rPr>
              <w:fldChar w:fldCharType="end"/>
            </w:r>
            <w:r>
              <w:rPr>
                <w:rFonts w:cs="Times New Roman"/>
              </w:rPr>
              <w:t xml:space="preserve"> 与四川巴中经济开发区生态环境准入清单要求对照表</w:t>
            </w:r>
          </w:p>
          <w:tbl>
            <w:tblPr>
              <w:tblStyle w:val="26"/>
              <w:tblW w:w="4998" w:type="pct"/>
              <w:jc w:val="center"/>
              <w:tblBorders>
                <w:top w:val="single" w:color="auto" w:sz="4" w:space="0"/>
                <w:left w:val="single" w:color="auto" w:sz="6" w:space="0"/>
                <w:bottom w:val="single" w:color="auto" w:sz="4" w:space="0"/>
                <w:right w:val="single" w:color="auto" w:sz="6" w:space="0"/>
                <w:insideH w:val="single" w:color="auto" w:sz="4" w:space="0"/>
                <w:insideV w:val="single" w:color="auto" w:sz="4" w:space="0"/>
              </w:tblBorders>
              <w:tblLayout w:type="fixed"/>
              <w:tblCellMar>
                <w:top w:w="0" w:type="dxa"/>
                <w:left w:w="108" w:type="dxa"/>
                <w:bottom w:w="0" w:type="dxa"/>
                <w:right w:w="108" w:type="dxa"/>
              </w:tblCellMar>
            </w:tblPr>
            <w:tblGrid>
              <w:gridCol w:w="905"/>
              <w:gridCol w:w="3939"/>
              <w:gridCol w:w="2313"/>
              <w:gridCol w:w="1086"/>
            </w:tblGrid>
            <w:tr w14:paraId="7DD0A727">
              <w:tblPrEx>
                <w:tblBorders>
                  <w:top w:val="single" w:color="auto" w:sz="4" w:space="0"/>
                  <w:left w:val="single" w:color="auto" w:sz="6"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549" w:type="pct"/>
                  <w:vAlign w:val="center"/>
                </w:tcPr>
                <w:p w14:paraId="4070CDD8">
                  <w:pPr>
                    <w:pStyle w:val="12"/>
                    <w:rPr>
                      <w:rFonts w:hint="default" w:ascii="Times New Roman" w:hAnsi="Times New Roman" w:eastAsia="宋体" w:cs="Times New Roman"/>
                      <w:b/>
                      <w:bCs w:val="0"/>
                      <w:lang w:val="en-US" w:eastAsia="zh-CN"/>
                    </w:rPr>
                  </w:pPr>
                  <w:r>
                    <w:rPr>
                      <w:rFonts w:hint="default" w:ascii="Times New Roman" w:hAnsi="Times New Roman" w:cs="Times New Roman"/>
                      <w:b/>
                      <w:bCs w:val="0"/>
                      <w:lang w:val="en-US" w:eastAsia="zh-CN"/>
                    </w:rPr>
                    <w:t>类别</w:t>
                  </w:r>
                </w:p>
              </w:tc>
              <w:tc>
                <w:tcPr>
                  <w:tcW w:w="2388" w:type="pct"/>
                  <w:vAlign w:val="center"/>
                </w:tcPr>
                <w:p w14:paraId="25D07424">
                  <w:pPr>
                    <w:pStyle w:val="45"/>
                    <w:rPr>
                      <w:rFonts w:hint="default" w:ascii="Times New Roman" w:hAnsi="Times New Roman" w:cs="Times New Roman"/>
                      <w:b/>
                      <w:bCs w:val="0"/>
                    </w:rPr>
                  </w:pPr>
                  <w:r>
                    <w:rPr>
                      <w:rFonts w:hint="default" w:ascii="Times New Roman" w:hAnsi="Times New Roman" w:cs="Times New Roman"/>
                      <w:b/>
                      <w:bCs w:val="0"/>
                    </w:rPr>
                    <w:t>要求内容</w:t>
                  </w:r>
                </w:p>
              </w:tc>
              <w:tc>
                <w:tcPr>
                  <w:tcW w:w="1402" w:type="pct"/>
                  <w:vAlign w:val="center"/>
                </w:tcPr>
                <w:p w14:paraId="4295BC19">
                  <w:pPr>
                    <w:pStyle w:val="45"/>
                    <w:rPr>
                      <w:rFonts w:hint="default" w:ascii="Times New Roman" w:hAnsi="Times New Roman" w:cs="Times New Roman"/>
                    </w:rPr>
                  </w:pPr>
                  <w:r>
                    <w:rPr>
                      <w:rFonts w:hint="default" w:ascii="Times New Roman" w:hAnsi="Times New Roman" w:cs="Times New Roman"/>
                    </w:rPr>
                    <w:t>本项目情况</w:t>
                  </w:r>
                </w:p>
              </w:tc>
              <w:tc>
                <w:tcPr>
                  <w:tcW w:w="659" w:type="pct"/>
                  <w:vAlign w:val="center"/>
                </w:tcPr>
                <w:p w14:paraId="055DE2C1">
                  <w:pPr>
                    <w:pStyle w:val="45"/>
                    <w:rPr>
                      <w:rFonts w:hint="default" w:ascii="Times New Roman" w:hAnsi="Times New Roman" w:cs="Times New Roman"/>
                    </w:rPr>
                  </w:pPr>
                  <w:r>
                    <w:rPr>
                      <w:rFonts w:hint="default" w:ascii="Times New Roman" w:hAnsi="Times New Roman" w:cs="Times New Roman"/>
                    </w:rPr>
                    <w:t>符合性</w:t>
                  </w:r>
                </w:p>
              </w:tc>
            </w:tr>
            <w:tr w14:paraId="182B4CB5">
              <w:tblPrEx>
                <w:tblBorders>
                  <w:top w:val="single" w:color="auto" w:sz="4" w:space="0"/>
                  <w:left w:val="single" w:color="auto" w:sz="6"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549" w:type="pct"/>
                  <w:vAlign w:val="center"/>
                </w:tcPr>
                <w:p w14:paraId="40370AEF">
                  <w:pPr>
                    <w:pStyle w:val="12"/>
                    <w:rPr>
                      <w:rFonts w:hint="default" w:ascii="Times New Roman" w:hAnsi="Times New Roman" w:cs="Times New Roman"/>
                      <w:lang w:val="en-US" w:eastAsia="zh-CN"/>
                    </w:rPr>
                  </w:pPr>
                  <w:r>
                    <w:rPr>
                      <w:rFonts w:hint="default" w:ascii="Times New Roman" w:hAnsi="Times New Roman" w:cs="Times New Roman"/>
                      <w:lang w:val="en-US" w:eastAsia="zh-CN"/>
                    </w:rPr>
                    <w:t>规划实施的制约因素及解决对策</w:t>
                  </w:r>
                </w:p>
              </w:tc>
              <w:tc>
                <w:tcPr>
                  <w:tcW w:w="2388" w:type="pct"/>
                  <w:vAlign w:val="center"/>
                </w:tcPr>
                <w:p w14:paraId="39B78AF2">
                  <w:pPr>
                    <w:pStyle w:val="12"/>
                    <w:jc w:val="both"/>
                    <w:rPr>
                      <w:rFonts w:hint="default" w:ascii="Times New Roman" w:hAnsi="Times New Roman" w:cs="Times New Roman"/>
                    </w:rPr>
                  </w:pPr>
                  <w:r>
                    <w:rPr>
                      <w:rFonts w:hint="default" w:ascii="Times New Roman" w:hAnsi="Times New Roman" w:cs="Times New Roman"/>
                      <w:lang w:val="en-US" w:eastAsia="zh-CN"/>
                    </w:rPr>
                    <w:t>金宝食品饮料产业园和星光机械制造产业园邻近的镇龙山国家森林公园</w:t>
                  </w:r>
                  <w:r>
                    <w:rPr>
                      <w:rFonts w:hint="eastAsia" w:cs="Times New Roman"/>
                      <w:lang w:val="en-US" w:eastAsia="zh-CN"/>
                    </w:rPr>
                    <w:t>（</w:t>
                  </w:r>
                  <w:r>
                    <w:rPr>
                      <w:rFonts w:hint="default" w:ascii="Times New Roman" w:hAnsi="Times New Roman" w:cs="Times New Roman"/>
                      <w:lang w:val="en-US" w:eastAsia="zh-CN"/>
                    </w:rPr>
                    <w:t>佛头山景区</w:t>
                  </w:r>
                  <w:r>
                    <w:rPr>
                      <w:rFonts w:hint="eastAsia" w:cs="Times New Roman"/>
                      <w:lang w:val="en-US" w:eastAsia="zh-CN"/>
                    </w:rPr>
                    <w:t>）</w:t>
                  </w:r>
                  <w:r>
                    <w:rPr>
                      <w:rFonts w:hint="default" w:ascii="Times New Roman" w:hAnsi="Times New Roman" w:cs="Times New Roman"/>
                      <w:lang w:val="en-US" w:eastAsia="zh-CN"/>
                    </w:rPr>
                    <w:t>执行环境空气一类区功能标准，对规划实施构成制约。</w:t>
                  </w:r>
                </w:p>
                <w:p w14:paraId="621A9BD3">
                  <w:pPr>
                    <w:pStyle w:val="12"/>
                    <w:jc w:val="both"/>
                    <w:rPr>
                      <w:rFonts w:hint="default" w:ascii="Times New Roman" w:hAnsi="Times New Roman" w:cs="Times New Roman"/>
                    </w:rPr>
                  </w:pPr>
                  <w:r>
                    <w:rPr>
                      <w:rFonts w:hint="default" w:ascii="Times New Roman" w:hAnsi="Times New Roman" w:cs="Times New Roman"/>
                      <w:lang w:val="en-US" w:eastAsia="zh-CN"/>
                    </w:rPr>
                    <w:t xml:space="preserve">解决对策： </w:t>
                  </w:r>
                </w:p>
                <w:p w14:paraId="66D2BB25">
                  <w:pPr>
                    <w:pStyle w:val="12"/>
                    <w:jc w:val="both"/>
                    <w:rPr>
                      <w:rFonts w:hint="default" w:ascii="Times New Roman" w:hAnsi="Times New Roman" w:cs="Times New Roman"/>
                    </w:rPr>
                  </w:pPr>
                  <w:r>
                    <w:rPr>
                      <w:rFonts w:hint="default" w:ascii="Times New Roman" w:hAnsi="Times New Roman" w:cs="Times New Roman"/>
                      <w:lang w:val="en-US" w:eastAsia="zh-CN"/>
                    </w:rPr>
                    <w:t xml:space="preserve">1.严格落实平昌县秋冬季大气污染防治攻坚行动方案等要求，持续改善区域大气环境质量。禁止使用高污染燃料。 </w:t>
                  </w:r>
                </w:p>
                <w:p w14:paraId="45FE72A2">
                  <w:pPr>
                    <w:pStyle w:val="12"/>
                    <w:jc w:val="both"/>
                    <w:rPr>
                      <w:rFonts w:hint="default" w:ascii="Times New Roman" w:hAnsi="Times New Roman" w:cs="Times New Roman"/>
                    </w:rPr>
                  </w:pPr>
                  <w:r>
                    <w:rPr>
                      <w:rFonts w:hint="default" w:ascii="Times New Roman" w:hAnsi="Times New Roman" w:cs="Times New Roman"/>
                      <w:lang w:val="en-US" w:eastAsia="zh-CN"/>
                    </w:rPr>
                    <w:t xml:space="preserve">2.严格落实入园项目生态环境准入。金宝食品饮料产业园及星光机械制造产业园新引入项目执行最严格的行业废气排放控制要求，生产工艺、设备，以及单位产品能耗、污染物排放和资源利用效率等均需达到同行业先进水平。 </w:t>
                  </w:r>
                </w:p>
                <w:p w14:paraId="02FEE8B3">
                  <w:pPr>
                    <w:pStyle w:val="12"/>
                    <w:jc w:val="both"/>
                    <w:rPr>
                      <w:rFonts w:hint="default" w:ascii="Times New Roman" w:hAnsi="Times New Roman" w:cs="Times New Roman"/>
                    </w:rPr>
                  </w:pPr>
                  <w:r>
                    <w:rPr>
                      <w:rFonts w:hint="default" w:ascii="Times New Roman" w:hAnsi="Times New Roman" w:cs="Times New Roman"/>
                      <w:lang w:val="en-US" w:eastAsia="zh-CN"/>
                    </w:rPr>
                    <w:t>3.对园区企业开展废气治理措施排查整治，强化现有企业污染治理设施运行维护，严控无组织排放，逐步提高清洁生产水平。</w:t>
                  </w:r>
                </w:p>
              </w:tc>
              <w:tc>
                <w:tcPr>
                  <w:tcW w:w="1402" w:type="pct"/>
                  <w:vAlign w:val="center"/>
                </w:tcPr>
                <w:p w14:paraId="75B7E765">
                  <w:pPr>
                    <w:pStyle w:val="12"/>
                    <w:jc w:val="both"/>
                    <w:rPr>
                      <w:rFonts w:hint="default" w:ascii="Times New Roman" w:hAnsi="Times New Roman" w:cs="Times New Roman"/>
                      <w:lang w:val="en-US" w:eastAsia="zh-CN"/>
                    </w:rPr>
                  </w:pPr>
                  <w:r>
                    <w:rPr>
                      <w:rFonts w:hint="default" w:ascii="Times New Roman" w:hAnsi="Times New Roman" w:cs="Times New Roman"/>
                      <w:lang w:val="en-US" w:eastAsia="zh-CN"/>
                    </w:rPr>
                    <w:t>项目所在位置属于星光机械制造产业园内，距离镇龙山国家森林公园（佛头山景区）4</w:t>
                  </w:r>
                  <w:r>
                    <w:rPr>
                      <w:rFonts w:hint="eastAsia" w:cs="Times New Roman"/>
                      <w:lang w:val="en-US" w:eastAsia="zh-CN"/>
                    </w:rPr>
                    <w:t>.89k</w:t>
                  </w:r>
                  <w:r>
                    <w:rPr>
                      <w:rFonts w:hint="default" w:ascii="Times New Roman" w:hAnsi="Times New Roman" w:cs="Times New Roman"/>
                      <w:lang w:val="en-US" w:eastAsia="zh-CN"/>
                    </w:rPr>
                    <w:t>m，评价范围不涉及</w:t>
                  </w:r>
                  <w:r>
                    <w:rPr>
                      <w:rFonts w:hint="eastAsia" w:cs="Times New Roman"/>
                      <w:lang w:val="en-US" w:eastAsia="zh-CN"/>
                    </w:rPr>
                    <w:t>一类功能区</w:t>
                  </w:r>
                  <w:r>
                    <w:rPr>
                      <w:rFonts w:hint="default" w:ascii="Times New Roman" w:hAnsi="Times New Roman" w:cs="Times New Roman"/>
                      <w:lang w:val="en-US" w:eastAsia="zh-CN"/>
                    </w:rPr>
                    <w:t>，见附图</w:t>
                  </w:r>
                  <w:r>
                    <w:rPr>
                      <w:rFonts w:hint="eastAsia" w:cs="Times New Roman"/>
                      <w:lang w:val="en-US" w:eastAsia="zh-CN"/>
                    </w:rPr>
                    <w:t>7</w:t>
                  </w:r>
                  <w:r>
                    <w:rPr>
                      <w:rFonts w:hint="default" w:ascii="Times New Roman" w:hAnsi="Times New Roman" w:cs="Times New Roman"/>
                      <w:lang w:val="en-US" w:eastAsia="zh-CN"/>
                    </w:rPr>
                    <w:t xml:space="preserve">。 </w:t>
                  </w:r>
                </w:p>
                <w:p w14:paraId="5ED69DF2">
                  <w:pPr>
                    <w:pStyle w:val="12"/>
                    <w:jc w:val="both"/>
                    <w:rPr>
                      <w:rFonts w:hint="default" w:ascii="Times New Roman" w:hAnsi="Times New Roman" w:cs="Times New Roman"/>
                      <w:lang w:val="en-US" w:eastAsia="zh-CN"/>
                    </w:rPr>
                  </w:pPr>
                  <w:r>
                    <w:rPr>
                      <w:rFonts w:hint="default" w:ascii="Times New Roman" w:hAnsi="Times New Roman" w:cs="Times New Roman"/>
                      <w:lang w:val="en-US" w:eastAsia="zh-CN"/>
                    </w:rPr>
                    <w:t>1、</w:t>
                  </w:r>
                  <w:r>
                    <w:rPr>
                      <w:rFonts w:hint="eastAsia" w:cs="Times New Roman"/>
                      <w:lang w:val="en-US" w:eastAsia="zh-CN"/>
                    </w:rPr>
                    <w:t>本项目废气治理满足平昌县秋冬季大气污染防治攻坚行动方案等要求。</w:t>
                  </w:r>
                  <w:r>
                    <w:rPr>
                      <w:rFonts w:hint="default" w:ascii="Times New Roman" w:hAnsi="Times New Roman" w:cs="Times New Roman"/>
                      <w:lang w:val="en-US" w:eastAsia="zh-CN"/>
                    </w:rPr>
                    <w:t xml:space="preserve">项目不使用高污染燃料。 </w:t>
                  </w:r>
                </w:p>
                <w:p w14:paraId="6C3F2F2C">
                  <w:pPr>
                    <w:pStyle w:val="12"/>
                    <w:jc w:val="both"/>
                    <w:rPr>
                      <w:rFonts w:hint="default" w:ascii="Times New Roman" w:hAnsi="Times New Roman" w:cs="Times New Roman"/>
                      <w:lang w:val="en-US" w:eastAsia="zh-CN"/>
                    </w:rPr>
                  </w:pPr>
                  <w:r>
                    <w:rPr>
                      <w:rFonts w:hint="default" w:ascii="Times New Roman" w:hAnsi="Times New Roman" w:cs="Times New Roman"/>
                      <w:lang w:val="en-US" w:eastAsia="zh-CN"/>
                    </w:rPr>
                    <w:t>2、项目符合入园生态环境准入要求。项目废气有效处理，执行最严格的行业废气排放标准要求。</w:t>
                  </w:r>
                </w:p>
                <w:p w14:paraId="0DF7E4DB">
                  <w:pPr>
                    <w:pStyle w:val="12"/>
                    <w:jc w:val="both"/>
                    <w:rPr>
                      <w:rFonts w:hint="default" w:ascii="Times New Roman" w:hAnsi="Times New Roman" w:cs="Times New Roman"/>
                      <w:lang w:val="en-US"/>
                    </w:rPr>
                  </w:pPr>
                  <w:r>
                    <w:rPr>
                      <w:rFonts w:hint="eastAsia" w:cs="Times New Roman"/>
                      <w:lang w:val="en-US" w:eastAsia="zh-CN"/>
                    </w:rPr>
                    <w:t>3、本项目为新建项目，本项目严控无组织排放；</w:t>
                  </w:r>
                  <w:r>
                    <w:rPr>
                      <w:rFonts w:hint="eastAsia" w:cs="Times New Roman"/>
                    </w:rPr>
                    <w:t>原料堆存在密闭车间内；</w:t>
                  </w:r>
                  <w:r>
                    <w:rPr>
                      <w:rFonts w:hint="eastAsia" w:cs="Times New Roman"/>
                      <w:lang w:val="en-US" w:eastAsia="zh-CN"/>
                    </w:rPr>
                    <w:t>成品堆存设置三面围挡+顶棚+洒水等防尘措施；输送</w:t>
                  </w:r>
                  <w:r>
                    <w:rPr>
                      <w:rFonts w:hint="eastAsia" w:cs="Times New Roman"/>
                    </w:rPr>
                    <w:t>过程采用密闭传送带，生产过程各环节产生的粉尘均有效收集处理</w:t>
                  </w:r>
                  <w:r>
                    <w:rPr>
                      <w:rFonts w:hint="eastAsia" w:cs="Times New Roman"/>
                      <w:lang w:val="en-US" w:eastAsia="zh-CN"/>
                    </w:rPr>
                    <w:t>。</w:t>
                  </w:r>
                </w:p>
              </w:tc>
              <w:tc>
                <w:tcPr>
                  <w:tcW w:w="659" w:type="pct"/>
                  <w:vAlign w:val="center"/>
                </w:tcPr>
                <w:p w14:paraId="6EEF5923">
                  <w:pPr>
                    <w:pStyle w:val="45"/>
                    <w:rPr>
                      <w:rFonts w:hint="default" w:ascii="Times New Roman" w:hAnsi="Times New Roman" w:eastAsia="宋体" w:cs="Times New Roman"/>
                      <w:lang w:val="en-US" w:eastAsia="zh-CN"/>
                    </w:rPr>
                  </w:pPr>
                  <w:r>
                    <w:rPr>
                      <w:rFonts w:hint="default" w:ascii="Times New Roman" w:hAnsi="Times New Roman" w:cs="Times New Roman"/>
                      <w:b w:val="0"/>
                      <w:bCs/>
                      <w:lang w:val="en-US" w:eastAsia="zh-CN"/>
                    </w:rPr>
                    <w:t>符合</w:t>
                  </w:r>
                </w:p>
              </w:tc>
            </w:tr>
            <w:tr w14:paraId="0EBD1722">
              <w:tblPrEx>
                <w:tblBorders>
                  <w:top w:val="single" w:color="auto" w:sz="4" w:space="0"/>
                  <w:left w:val="single" w:color="auto" w:sz="6"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549" w:type="pct"/>
                  <w:vAlign w:val="center"/>
                </w:tcPr>
                <w:p w14:paraId="6EC4D4B5">
                  <w:pPr>
                    <w:pStyle w:val="12"/>
                    <w:rPr>
                      <w:rFonts w:hint="default" w:ascii="Times New Roman" w:hAnsi="Times New Roman" w:cs="Times New Roman"/>
                    </w:rPr>
                  </w:pPr>
                  <w:r>
                    <w:rPr>
                      <w:rFonts w:hint="default" w:ascii="Times New Roman" w:hAnsi="Times New Roman" w:cs="Times New Roman"/>
                    </w:rPr>
                    <w:t>禁止和限制入园</w:t>
                  </w:r>
                </w:p>
              </w:tc>
              <w:tc>
                <w:tcPr>
                  <w:tcW w:w="2388" w:type="pct"/>
                  <w:vAlign w:val="center"/>
                </w:tcPr>
                <w:p w14:paraId="355542B8">
                  <w:pPr>
                    <w:pStyle w:val="12"/>
                    <w:jc w:val="both"/>
                    <w:rPr>
                      <w:rFonts w:hint="default" w:ascii="Times New Roman" w:hAnsi="Times New Roman" w:eastAsia="宋体" w:cs="Times New Roman"/>
                      <w:lang w:val="en-US" w:eastAsia="zh-CN"/>
                    </w:rPr>
                  </w:pPr>
                  <w:r>
                    <w:rPr>
                      <w:rFonts w:hint="default" w:ascii="Times New Roman" w:hAnsi="Times New Roman" w:cs="Times New Roman"/>
                    </w:rPr>
                    <w:t>（1）</w:t>
                  </w:r>
                  <w:r>
                    <w:rPr>
                      <w:rFonts w:hint="default" w:ascii="Times New Roman" w:hAnsi="Times New Roman" w:cs="Times New Roman"/>
                      <w:lang w:val="en-US" w:eastAsia="zh-CN"/>
                    </w:rPr>
                    <w:t>禁止引入不符合国家法律法规、产业政策和行业准入条件以及国家、地方明令禁止的项目，清洁生产水平达不到行业清洁生产标准二级或国内先进水平的项目；</w:t>
                  </w:r>
                </w:p>
                <w:p w14:paraId="1528D738">
                  <w:pPr>
                    <w:pStyle w:val="12"/>
                    <w:jc w:val="both"/>
                    <w:rPr>
                      <w:rFonts w:hint="default" w:ascii="Times New Roman" w:hAnsi="Times New Roman" w:cs="Times New Roman"/>
                    </w:rPr>
                  </w:pPr>
                  <w:r>
                    <w:rPr>
                      <w:rFonts w:hint="default" w:ascii="Times New Roman" w:hAnsi="Times New Roman" w:cs="Times New Roman"/>
                    </w:rPr>
                    <w:t>（2）</w:t>
                  </w:r>
                  <w:r>
                    <w:rPr>
                      <w:rFonts w:hint="default" w:ascii="Times New Roman" w:hAnsi="Times New Roman" w:cs="Times New Roman"/>
                      <w:lang w:val="en-US" w:eastAsia="zh-CN"/>
                    </w:rPr>
                    <w:t>禁止引入与主导产业环境不相容的项目</w:t>
                  </w:r>
                  <w:r>
                    <w:rPr>
                      <w:rFonts w:hint="default" w:ascii="Times New Roman" w:hAnsi="Times New Roman" w:cs="Times New Roman"/>
                    </w:rPr>
                    <w:t>；</w:t>
                  </w:r>
                </w:p>
                <w:p w14:paraId="465F798C">
                  <w:pPr>
                    <w:pStyle w:val="12"/>
                    <w:jc w:val="both"/>
                    <w:rPr>
                      <w:rFonts w:hint="default" w:ascii="Times New Roman" w:hAnsi="Times New Roman" w:cs="Times New Roman"/>
                      <w:lang w:val="en-US" w:eastAsia="zh-CN"/>
                    </w:rPr>
                  </w:pPr>
                  <w:r>
                    <w:rPr>
                      <w:rFonts w:hint="default" w:ascii="Times New Roman" w:hAnsi="Times New Roman" w:cs="Times New Roman"/>
                    </w:rPr>
                    <w:t>（</w:t>
                  </w:r>
                  <w:r>
                    <w:rPr>
                      <w:rFonts w:hint="default" w:ascii="Times New Roman" w:hAnsi="Times New Roman" w:cs="Times New Roman"/>
                      <w:lang w:val="en-US" w:eastAsia="zh-CN"/>
                    </w:rPr>
                    <w:t>3</w:t>
                  </w:r>
                  <w:r>
                    <w:rPr>
                      <w:rFonts w:hint="default" w:ascii="Times New Roman" w:hAnsi="Times New Roman" w:cs="Times New Roman"/>
                    </w:rPr>
                    <w:t>）禁止</w:t>
                  </w:r>
                  <w:r>
                    <w:rPr>
                      <w:rFonts w:hint="default" w:ascii="Times New Roman" w:hAnsi="Times New Roman" w:cs="Times New Roman"/>
                      <w:lang w:val="en-US" w:eastAsia="zh-CN"/>
                    </w:rPr>
                    <w:t>引入农药、制浆（含废纸制浆）、印染染整、制革、水泥、专业电镀、金属冶炼、发酵类制药。</w:t>
                  </w:r>
                </w:p>
                <w:p w14:paraId="3F367822">
                  <w:pPr>
                    <w:pStyle w:val="12"/>
                    <w:jc w:val="both"/>
                    <w:rPr>
                      <w:rFonts w:hint="default" w:ascii="Times New Roman" w:hAnsi="Times New Roman" w:cs="Times New Roman"/>
                      <w:lang w:val="en-US"/>
                    </w:rPr>
                  </w:pPr>
                  <w:r>
                    <w:rPr>
                      <w:rFonts w:hint="default" w:ascii="Times New Roman" w:hAnsi="Times New Roman" w:cs="Times New Roman"/>
                      <w:lang w:val="en-US" w:eastAsia="zh-CN"/>
                    </w:rPr>
                    <w:t>（4）除石龙</w:t>
                  </w:r>
                  <w:r>
                    <w:rPr>
                      <w:rFonts w:hint="eastAsia" w:ascii="Times New Roman" w:hAnsi="Times New Roman" w:cs="Times New Roman"/>
                      <w:lang w:val="en-US" w:eastAsia="zh-CN"/>
                    </w:rPr>
                    <w:t>门</w:t>
                  </w:r>
                  <w:r>
                    <w:rPr>
                      <w:rFonts w:hint="default" w:ascii="Times New Roman" w:hAnsi="Times New Roman" w:cs="Times New Roman"/>
                      <w:lang w:val="en-US" w:eastAsia="zh-CN"/>
                    </w:rPr>
                    <w:t>化工园区外其他产业园禁止新建、扩建化工项目。</w:t>
                  </w:r>
                </w:p>
              </w:tc>
              <w:tc>
                <w:tcPr>
                  <w:tcW w:w="1402" w:type="pct"/>
                  <w:vAlign w:val="center"/>
                </w:tcPr>
                <w:p w14:paraId="10211220">
                  <w:pPr>
                    <w:pStyle w:val="12"/>
                    <w:jc w:val="both"/>
                    <w:rPr>
                      <w:rFonts w:hint="default" w:ascii="Times New Roman" w:hAnsi="Times New Roman" w:eastAsia="宋体" w:cs="Times New Roman"/>
                      <w:lang w:val="en-US" w:eastAsia="zh-CN"/>
                    </w:rPr>
                  </w:pPr>
                  <w:r>
                    <w:rPr>
                      <w:rFonts w:hint="default" w:ascii="Times New Roman" w:hAnsi="Times New Roman" w:cs="Times New Roman"/>
                    </w:rPr>
                    <w:t>本项目不属于《产业结构调整指导目录（2024年本）》中规定的限制类、淘汰类项目</w:t>
                  </w:r>
                  <w:r>
                    <w:rPr>
                      <w:rFonts w:hint="default" w:ascii="Times New Roman" w:hAnsi="Times New Roman" w:cs="Times New Roman"/>
                      <w:lang w:eastAsia="zh-CN"/>
                    </w:rPr>
                    <w:t>，</w:t>
                  </w:r>
                  <w:r>
                    <w:rPr>
                      <w:rFonts w:hint="default" w:ascii="Times New Roman" w:hAnsi="Times New Roman" w:cs="Times New Roman"/>
                      <w:lang w:val="en-US" w:eastAsia="zh-CN"/>
                    </w:rPr>
                    <w:t>清洁生产水平能够达到国内先进水平</w:t>
                  </w:r>
                  <w:r>
                    <w:rPr>
                      <w:rFonts w:hint="default" w:ascii="Times New Roman" w:hAnsi="Times New Roman" w:cs="Times New Roman"/>
                    </w:rPr>
                    <w:t>；</w:t>
                  </w:r>
                  <w:r>
                    <w:rPr>
                      <w:rFonts w:hint="default" w:ascii="Times New Roman" w:hAnsi="Times New Roman" w:cs="Times New Roman"/>
                      <w:lang w:val="en-US" w:eastAsia="zh-CN"/>
                    </w:rPr>
                    <w:t>园区</w:t>
                  </w:r>
                  <w:r>
                    <w:rPr>
                      <w:rFonts w:hint="default" w:ascii="Times New Roman" w:hAnsi="Times New Roman" w:cs="Times New Roman"/>
                    </w:rPr>
                    <w:t>主导产业为机械制造，重点发展汽摩整车制造及配套产业、现代山地农机</w:t>
                  </w:r>
                  <w:r>
                    <w:rPr>
                      <w:rFonts w:hint="default" w:ascii="Times New Roman" w:hAnsi="Times New Roman" w:cs="Times New Roman"/>
                      <w:lang w:eastAsia="zh-CN"/>
                    </w:rPr>
                    <w:t>，</w:t>
                  </w:r>
                  <w:r>
                    <w:rPr>
                      <w:rFonts w:hint="default" w:ascii="Times New Roman" w:hAnsi="Times New Roman" w:cs="Times New Roman"/>
                      <w:lang w:val="en-US" w:eastAsia="zh-CN"/>
                    </w:rPr>
                    <w:t>本项目为水基岩屑</w:t>
                  </w:r>
                  <w:r>
                    <w:rPr>
                      <w:rFonts w:hint="eastAsia" w:cs="Times New Roman"/>
                      <w:lang w:val="en-US" w:eastAsia="zh-CN"/>
                    </w:rPr>
                    <w:t>和热脱附干渣</w:t>
                  </w:r>
                  <w:r>
                    <w:rPr>
                      <w:rFonts w:hint="default" w:ascii="Times New Roman" w:hAnsi="Times New Roman" w:cs="Times New Roman"/>
                      <w:lang w:val="en-US" w:eastAsia="zh-CN"/>
                    </w:rPr>
                    <w:t>综合利用</w:t>
                  </w:r>
                  <w:r>
                    <w:rPr>
                      <w:rFonts w:hint="eastAsia" w:cs="Times New Roman"/>
                      <w:lang w:val="en-US" w:eastAsia="zh-CN"/>
                    </w:rPr>
                    <w:t>项目</w:t>
                  </w:r>
                  <w:r>
                    <w:rPr>
                      <w:rFonts w:hint="default" w:ascii="Times New Roman" w:hAnsi="Times New Roman" w:cs="Times New Roman"/>
                      <w:lang w:val="en-US" w:eastAsia="zh-CN"/>
                    </w:rPr>
                    <w:t>，与主导产业不冲突</w:t>
                  </w:r>
                  <w:r>
                    <w:rPr>
                      <w:rFonts w:hint="default" w:ascii="Times New Roman" w:hAnsi="Times New Roman" w:cs="Times New Roman"/>
                    </w:rPr>
                    <w:t>；</w:t>
                  </w:r>
                  <w:r>
                    <w:rPr>
                      <w:rFonts w:hint="default" w:ascii="Times New Roman" w:hAnsi="Times New Roman" w:cs="Times New Roman"/>
                      <w:lang w:val="en-US" w:eastAsia="zh-CN"/>
                    </w:rPr>
                    <w:t>不属于禁止引入类行业</w:t>
                  </w:r>
                  <w:r>
                    <w:rPr>
                      <w:rFonts w:hint="default" w:ascii="Times New Roman" w:hAnsi="Times New Roman" w:cs="Times New Roman"/>
                    </w:rPr>
                    <w:t>；</w:t>
                  </w:r>
                  <w:r>
                    <w:rPr>
                      <w:rFonts w:hint="default" w:ascii="Times New Roman" w:hAnsi="Times New Roman" w:cs="Times New Roman"/>
                      <w:lang w:val="en-US" w:eastAsia="zh-CN"/>
                    </w:rPr>
                    <w:t>不属于化工项目。</w:t>
                  </w:r>
                </w:p>
              </w:tc>
              <w:tc>
                <w:tcPr>
                  <w:tcW w:w="659" w:type="pct"/>
                  <w:vAlign w:val="center"/>
                </w:tcPr>
                <w:p w14:paraId="5FC11E87">
                  <w:pPr>
                    <w:pStyle w:val="12"/>
                    <w:rPr>
                      <w:rFonts w:hint="default" w:ascii="Times New Roman" w:hAnsi="Times New Roman" w:cs="Times New Roman"/>
                    </w:rPr>
                  </w:pPr>
                  <w:r>
                    <w:rPr>
                      <w:rFonts w:hint="default" w:ascii="Times New Roman" w:hAnsi="Times New Roman" w:cs="Times New Roman"/>
                    </w:rPr>
                    <w:t>符合</w:t>
                  </w:r>
                </w:p>
              </w:tc>
            </w:tr>
            <w:tr w14:paraId="46DF1566">
              <w:tblPrEx>
                <w:tblBorders>
                  <w:top w:val="single" w:color="auto" w:sz="4" w:space="0"/>
                  <w:left w:val="single" w:color="auto" w:sz="6"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549" w:type="pct"/>
                  <w:vAlign w:val="center"/>
                </w:tcPr>
                <w:p w14:paraId="64EFDD4E">
                  <w:pPr>
                    <w:pStyle w:val="12"/>
                    <w:rPr>
                      <w:rFonts w:hint="default" w:ascii="Times New Roman" w:hAnsi="Times New Roman" w:cs="Times New Roman"/>
                    </w:rPr>
                  </w:pPr>
                  <w:r>
                    <w:rPr>
                      <w:rFonts w:hint="default" w:ascii="Times New Roman" w:hAnsi="Times New Roman" w:cs="Times New Roman"/>
                    </w:rPr>
                    <w:t>鼓励</w:t>
                  </w:r>
                </w:p>
              </w:tc>
              <w:tc>
                <w:tcPr>
                  <w:tcW w:w="2388" w:type="pct"/>
                  <w:vAlign w:val="center"/>
                </w:tcPr>
                <w:p w14:paraId="6109F172">
                  <w:pPr>
                    <w:pStyle w:val="12"/>
                    <w:jc w:val="both"/>
                    <w:rPr>
                      <w:rFonts w:hint="default" w:ascii="Times New Roman" w:hAnsi="Times New Roman" w:cs="Times New Roman"/>
                    </w:rPr>
                  </w:pPr>
                  <w:r>
                    <w:rPr>
                      <w:rFonts w:hint="default" w:ascii="Times New Roman" w:hAnsi="Times New Roman" w:cs="Times New Roman"/>
                    </w:rPr>
                    <w:t>符合经济开发区规划产业，企业效益明显，对区域不造成明显污染，遵循清洁生产及循环经济的项目；在用水、节水、排水设计等方面达到国内先进水平；清洁生产标准达到或优于国家先进水平的项目。</w:t>
                  </w:r>
                </w:p>
              </w:tc>
              <w:tc>
                <w:tcPr>
                  <w:tcW w:w="1402" w:type="pct"/>
                  <w:vAlign w:val="center"/>
                </w:tcPr>
                <w:p w14:paraId="558082C5">
                  <w:pPr>
                    <w:pStyle w:val="12"/>
                    <w:jc w:val="both"/>
                    <w:rPr>
                      <w:rFonts w:hint="default" w:ascii="Times New Roman" w:hAnsi="Times New Roman" w:eastAsia="宋体" w:cs="Times New Roman"/>
                      <w:lang w:val="en-US" w:eastAsia="zh-CN"/>
                    </w:rPr>
                  </w:pPr>
                  <w:r>
                    <w:rPr>
                      <w:rFonts w:hint="eastAsia"/>
                    </w:rPr>
                    <w:t>本项目为水基岩屑</w:t>
                  </w:r>
                  <w:r>
                    <w:rPr>
                      <w:rFonts w:hint="eastAsia"/>
                      <w:lang w:val="en-US" w:eastAsia="zh-CN"/>
                    </w:rPr>
                    <w:t>和热脱附干渣</w:t>
                  </w:r>
                  <w:r>
                    <w:rPr>
                      <w:rFonts w:hint="eastAsia"/>
                    </w:rPr>
                    <w:t>综合利用</w:t>
                  </w:r>
                  <w:r>
                    <w:rPr>
                      <w:rFonts w:hint="eastAsia"/>
                      <w:lang w:val="en-US" w:eastAsia="zh-CN"/>
                    </w:rPr>
                    <w:t>项目</w:t>
                  </w:r>
                  <w:r>
                    <w:rPr>
                      <w:rFonts w:hint="eastAsia"/>
                    </w:rPr>
                    <w:t>，与主导产业不冲突</w:t>
                  </w:r>
                  <w:r>
                    <w:rPr>
                      <w:rFonts w:hint="eastAsia"/>
                      <w:lang w:eastAsia="zh-CN"/>
                    </w:rPr>
                    <w:t>，</w:t>
                  </w:r>
                  <w:r>
                    <w:rPr>
                      <w:rFonts w:hint="eastAsia"/>
                      <w:lang w:val="en-US" w:eastAsia="zh-CN"/>
                    </w:rPr>
                    <w:t>不属于鼓励类项目，为允许类项目</w:t>
                  </w:r>
                </w:p>
              </w:tc>
              <w:tc>
                <w:tcPr>
                  <w:tcW w:w="659" w:type="pct"/>
                  <w:vAlign w:val="center"/>
                </w:tcPr>
                <w:p w14:paraId="3E25B009">
                  <w:pPr>
                    <w:pStyle w:val="12"/>
                    <w:rPr>
                      <w:rFonts w:hint="default" w:ascii="Times New Roman" w:hAnsi="Times New Roman" w:eastAsia="宋体" w:cs="Times New Roman"/>
                      <w:lang w:val="en-US" w:eastAsia="zh-CN"/>
                    </w:rPr>
                  </w:pPr>
                  <w:r>
                    <w:rPr>
                      <w:rFonts w:hint="eastAsia" w:cs="Times New Roman"/>
                      <w:lang w:val="en-US" w:eastAsia="zh-CN"/>
                    </w:rPr>
                    <w:t>符合</w:t>
                  </w:r>
                </w:p>
              </w:tc>
            </w:tr>
            <w:tr w14:paraId="6C3305FA">
              <w:tblPrEx>
                <w:tblBorders>
                  <w:top w:val="single" w:color="auto" w:sz="4" w:space="0"/>
                  <w:left w:val="single" w:color="auto" w:sz="6"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549" w:type="pct"/>
                  <w:vAlign w:val="center"/>
                </w:tcPr>
                <w:p w14:paraId="7744B282">
                  <w:pPr>
                    <w:pStyle w:val="12"/>
                    <w:rPr>
                      <w:rFonts w:hint="default" w:ascii="Times New Roman" w:hAnsi="Times New Roman" w:cs="Times New Roman"/>
                    </w:rPr>
                  </w:pPr>
                  <w:r>
                    <w:rPr>
                      <w:rFonts w:hint="default" w:ascii="Times New Roman" w:hAnsi="Times New Roman" w:cs="Times New Roman"/>
                    </w:rPr>
                    <w:t>允许</w:t>
                  </w:r>
                </w:p>
              </w:tc>
              <w:tc>
                <w:tcPr>
                  <w:tcW w:w="2388" w:type="pct"/>
                  <w:vAlign w:val="center"/>
                </w:tcPr>
                <w:p w14:paraId="218117DE">
                  <w:pPr>
                    <w:autoSpaceDE w:val="0"/>
                    <w:autoSpaceDN w:val="0"/>
                    <w:adjustRightInd w:val="0"/>
                    <w:spacing w:line="240" w:lineRule="auto"/>
                    <w:ind w:firstLine="0" w:firstLineChars="0"/>
                    <w:jc w:val="both"/>
                    <w:rPr>
                      <w:rFonts w:hint="default" w:ascii="Times New Roman" w:hAnsi="Times New Roman" w:cs="Times New Roman"/>
                    </w:rPr>
                  </w:pPr>
                  <w:r>
                    <w:rPr>
                      <w:rFonts w:hint="default" w:ascii="Times New Roman" w:hAnsi="Times New Roman" w:cs="Times New Roman"/>
                      <w:kern w:val="0"/>
                      <w:sz w:val="21"/>
                      <w:szCs w:val="21"/>
                    </w:rPr>
                    <w:t>不属于上述鼓励、禁止产业类型，园区及各功能区同时也不排斥本区主业的上下游企业、循环经济项目；以及与片区主业不相禁忌和不形成交叉影响的企业；退城入园、等量淘汰、等量置换等符合现行国家产业政策的白酒产业。</w:t>
                  </w:r>
                </w:p>
              </w:tc>
              <w:tc>
                <w:tcPr>
                  <w:tcW w:w="1402" w:type="pct"/>
                  <w:vAlign w:val="center"/>
                </w:tcPr>
                <w:p w14:paraId="707D7630">
                  <w:pPr>
                    <w:pStyle w:val="12"/>
                    <w:jc w:val="both"/>
                    <w:rPr>
                      <w:rFonts w:hint="default" w:ascii="Times New Roman" w:hAnsi="Times New Roman" w:cs="Times New Roman"/>
                    </w:rPr>
                  </w:pPr>
                  <w:r>
                    <w:rPr>
                      <w:rFonts w:hint="default" w:ascii="Times New Roman" w:hAnsi="Times New Roman" w:cs="Times New Roman"/>
                    </w:rPr>
                    <w:t>本项目为水基岩屑</w:t>
                  </w:r>
                  <w:r>
                    <w:rPr>
                      <w:rFonts w:hint="eastAsia" w:cs="Times New Roman"/>
                      <w:lang w:val="en-US" w:eastAsia="zh-CN"/>
                    </w:rPr>
                    <w:t>和热脱附干渣</w:t>
                  </w:r>
                  <w:r>
                    <w:rPr>
                      <w:rFonts w:hint="default" w:ascii="Times New Roman" w:hAnsi="Times New Roman" w:cs="Times New Roman"/>
                    </w:rPr>
                    <w:t>综合利用</w:t>
                  </w:r>
                  <w:r>
                    <w:rPr>
                      <w:rFonts w:hint="eastAsia" w:cs="Times New Roman"/>
                      <w:lang w:val="en-US" w:eastAsia="zh-CN"/>
                    </w:rPr>
                    <w:t>项目</w:t>
                  </w:r>
                  <w:r>
                    <w:rPr>
                      <w:rFonts w:hint="default" w:ascii="Times New Roman" w:hAnsi="Times New Roman" w:cs="Times New Roman"/>
                    </w:rPr>
                    <w:t>，不属于上述禁止类、限制类、鼓励类产业类型，属于与片区主导产业不冲突的企业，</w:t>
                  </w:r>
                  <w:r>
                    <w:rPr>
                      <w:rFonts w:hint="eastAsia" w:ascii="Times New Roman" w:hAnsi="Times New Roman" w:cs="Times New Roman"/>
                      <w:lang w:eastAsia="zh-CN"/>
                    </w:rPr>
                    <w:t>属于</w:t>
                  </w:r>
                  <w:r>
                    <w:rPr>
                      <w:rFonts w:hint="default" w:ascii="Times New Roman" w:hAnsi="Times New Roman" w:cs="Times New Roman"/>
                    </w:rPr>
                    <w:t>允许类。</w:t>
                  </w:r>
                </w:p>
              </w:tc>
              <w:tc>
                <w:tcPr>
                  <w:tcW w:w="659" w:type="pct"/>
                  <w:vAlign w:val="center"/>
                </w:tcPr>
                <w:p w14:paraId="182C07C6">
                  <w:pPr>
                    <w:pStyle w:val="12"/>
                    <w:rPr>
                      <w:rFonts w:hint="default" w:ascii="Times New Roman" w:hAnsi="Times New Roman" w:cs="Times New Roman"/>
                    </w:rPr>
                  </w:pPr>
                  <w:r>
                    <w:rPr>
                      <w:rFonts w:hint="default" w:ascii="Times New Roman" w:hAnsi="Times New Roman" w:cs="Times New Roman"/>
                    </w:rPr>
                    <w:t>符合</w:t>
                  </w:r>
                </w:p>
              </w:tc>
            </w:tr>
          </w:tbl>
          <w:p w14:paraId="629D65DA">
            <w:pPr>
              <w:ind w:firstLine="480"/>
              <w:rPr>
                <w:rFonts w:cs="Times New Roman"/>
              </w:rPr>
            </w:pPr>
            <w:r>
              <w:rPr>
                <w:rFonts w:cs="Times New Roman"/>
              </w:rPr>
              <w:t>综上，</w:t>
            </w:r>
            <w:r>
              <w:t>本项目与四川平昌经济开发区星光机械制造产业园主导产业不冲突，不属于《四川平昌经济开发区规划修编环境影响报告书》</w:t>
            </w:r>
            <w:r>
              <w:rPr>
                <w:rFonts w:hint="eastAsia"/>
                <w:lang w:eastAsia="zh-CN"/>
              </w:rPr>
              <w:t>及其</w:t>
            </w:r>
            <w:r>
              <w:t>审查意见的函中禁止</w:t>
            </w:r>
            <w:r>
              <w:rPr>
                <w:rFonts w:hint="eastAsia"/>
              </w:rPr>
              <w:t>、限制</w:t>
            </w:r>
            <w:r>
              <w:t>入园产业类型，</w:t>
            </w:r>
            <w:r>
              <w:rPr>
                <w:rFonts w:cs="Times New Roman"/>
              </w:rPr>
              <w:t>符合《</w:t>
            </w:r>
            <w:r>
              <w:rPr>
                <w:rFonts w:hint="eastAsia"/>
              </w:rPr>
              <w:t>四川平昌经济开发区修编环境影响报告书</w:t>
            </w:r>
            <w:r>
              <w:rPr>
                <w:rFonts w:cs="Times New Roman"/>
              </w:rPr>
              <w:t>》及其</w:t>
            </w:r>
            <w:r>
              <w:rPr>
                <w:rFonts w:hint="eastAsia" w:cs="Times New Roman"/>
              </w:rPr>
              <w:t>审查意见</w:t>
            </w:r>
            <w:r>
              <w:rPr>
                <w:rFonts w:cs="Times New Roman"/>
              </w:rPr>
              <w:t>要求。</w:t>
            </w:r>
          </w:p>
        </w:tc>
      </w:tr>
      <w:tr w14:paraId="26C3499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1021" w:hRule="atLeast"/>
          <w:jc w:val="center"/>
        </w:trPr>
        <w:tc>
          <w:tcPr>
            <w:tcW w:w="836" w:type="pct"/>
            <w:vAlign w:val="center"/>
          </w:tcPr>
          <w:p w14:paraId="6A61D23D">
            <w:pPr>
              <w:pStyle w:val="24"/>
              <w:rPr>
                <w:rFonts w:cs="Times New Roman"/>
                <w:sz w:val="24"/>
                <w:szCs w:val="28"/>
              </w:rPr>
            </w:pPr>
            <w:r>
              <w:rPr>
                <w:rFonts w:cs="Times New Roman"/>
                <w:sz w:val="24"/>
                <w:szCs w:val="28"/>
              </w:rPr>
              <w:t>其他符合性分析</w:t>
            </w:r>
          </w:p>
        </w:tc>
        <w:tc>
          <w:tcPr>
            <w:tcW w:w="4163" w:type="pct"/>
            <w:gridSpan w:val="3"/>
            <w:vAlign w:val="center"/>
          </w:tcPr>
          <w:p w14:paraId="606DAED7">
            <w:pPr>
              <w:pStyle w:val="3"/>
              <w:spacing w:before="163"/>
            </w:pPr>
            <w:r>
              <w:t>1、产业政策符合性分析</w:t>
            </w:r>
          </w:p>
          <w:p w14:paraId="74D4A89B">
            <w:pPr>
              <w:ind w:firstLine="480"/>
              <w:rPr>
                <w:rFonts w:hint="eastAsia" w:cs="Times New Roman"/>
              </w:rPr>
            </w:pPr>
            <w:r>
              <w:rPr>
                <w:rFonts w:cs="Times New Roman"/>
              </w:rPr>
              <w:t>本项目</w:t>
            </w:r>
            <w:r>
              <w:rPr>
                <w:rFonts w:hint="eastAsia" w:cs="Times New Roman"/>
              </w:rPr>
              <w:t>主要利用水基岩屑</w:t>
            </w:r>
            <w:r>
              <w:rPr>
                <w:rFonts w:hint="eastAsia" w:cs="Times New Roman"/>
                <w:lang w:val="en-US" w:eastAsia="zh-CN"/>
              </w:rPr>
              <w:t>和热脱附干渣</w:t>
            </w:r>
            <w:r>
              <w:rPr>
                <w:rFonts w:hint="eastAsia" w:cs="Times New Roman"/>
              </w:rPr>
              <w:t>为原料生产</w:t>
            </w:r>
            <w:r>
              <w:rPr>
                <w:rFonts w:hint="eastAsia" w:cs="Times New Roman"/>
                <w:lang w:eastAsia="zh-CN"/>
              </w:rPr>
              <w:t>水稳层骨料，</w:t>
            </w:r>
            <w:r>
              <w:rPr>
                <w:rFonts w:hint="eastAsia" w:cs="Times New Roman"/>
                <w:lang w:val="en-US" w:eastAsia="zh-CN"/>
              </w:rPr>
              <w:t>再以生产出的水稳层骨料、</w:t>
            </w:r>
            <w:r>
              <w:rPr>
                <w:rFonts w:hint="eastAsia" w:cs="Times New Roman"/>
              </w:rPr>
              <w:t>水泥、</w:t>
            </w:r>
            <w:r>
              <w:rPr>
                <w:rFonts w:hint="eastAsia" w:cs="Times New Roman"/>
                <w:lang w:val="en-US" w:eastAsia="zh-CN"/>
              </w:rPr>
              <w:t>砂石、固化剂</w:t>
            </w:r>
            <w:r>
              <w:rPr>
                <w:rFonts w:hint="eastAsia" w:cs="Times New Roman"/>
              </w:rPr>
              <w:t>等，</w:t>
            </w:r>
            <w:r>
              <w:rPr>
                <w:rFonts w:hint="eastAsia" w:cs="Times New Roman"/>
                <w:lang w:val="en-US" w:eastAsia="zh-CN"/>
              </w:rPr>
              <w:t>生产</w:t>
            </w:r>
            <w:r>
              <w:rPr>
                <w:rFonts w:hint="eastAsia" w:cs="Times New Roman"/>
                <w:lang w:eastAsia="zh-CN"/>
              </w:rPr>
              <w:t>免烧砌块</w:t>
            </w:r>
            <w:r>
              <w:rPr>
                <w:rFonts w:hint="eastAsia" w:cs="Times New Roman"/>
              </w:rPr>
              <w:t>。</w:t>
            </w:r>
            <w:r>
              <w:rPr>
                <w:rFonts w:cs="Times New Roman"/>
              </w:rPr>
              <w:t>根据《国民经济行业分类》（GB/T4754-2017）及1号修改清单，本项目属于</w:t>
            </w:r>
            <w:r>
              <w:rPr>
                <w:rFonts w:hint="eastAsia" w:cs="Times New Roman"/>
              </w:rPr>
              <w:t>C</w:t>
            </w:r>
            <w:r>
              <w:rPr>
                <w:rFonts w:cs="Times New Roman"/>
              </w:rPr>
              <w:t>3031</w:t>
            </w:r>
            <w:r>
              <w:rPr>
                <w:rFonts w:hint="eastAsia" w:cs="Times New Roman"/>
              </w:rPr>
              <w:t>黏土砖瓦及建筑砌块制造（免烧</w:t>
            </w:r>
            <w:r>
              <w:rPr>
                <w:rFonts w:hint="eastAsia" w:cs="Times New Roman"/>
                <w:lang w:val="en-US" w:eastAsia="zh-CN"/>
              </w:rPr>
              <w:t>砌块</w:t>
            </w:r>
            <w:r>
              <w:rPr>
                <w:rFonts w:hint="eastAsia" w:cs="Times New Roman"/>
              </w:rPr>
              <w:t>属黏土砖瓦及建筑砌块制造）；C</w:t>
            </w:r>
            <w:r>
              <w:rPr>
                <w:rFonts w:cs="Times New Roman"/>
              </w:rPr>
              <w:t>3039</w:t>
            </w:r>
            <w:r>
              <w:rPr>
                <w:rFonts w:hint="eastAsia" w:cs="Times New Roman"/>
              </w:rPr>
              <w:t>其他建筑材料制造（</w:t>
            </w:r>
            <w:r>
              <w:rPr>
                <w:rFonts w:hint="eastAsia" w:cs="Times New Roman"/>
                <w:lang w:eastAsia="zh-CN"/>
              </w:rPr>
              <w:t>水稳层骨料</w:t>
            </w:r>
            <w:r>
              <w:rPr>
                <w:rFonts w:hint="eastAsia" w:cs="Times New Roman"/>
              </w:rPr>
              <w:t>属于其他建筑材料制造）；N</w:t>
            </w:r>
            <w:r>
              <w:rPr>
                <w:rFonts w:cs="Times New Roman"/>
              </w:rPr>
              <w:t>7723</w:t>
            </w:r>
            <w:bookmarkStart w:id="12" w:name="OLE_LINK21"/>
            <w:bookmarkStart w:id="13" w:name="OLE_LINK26"/>
            <w:r>
              <w:rPr>
                <w:rFonts w:hint="eastAsia" w:cs="Times New Roman"/>
              </w:rPr>
              <w:t>固体废物治理</w:t>
            </w:r>
            <w:bookmarkEnd w:id="12"/>
            <w:bookmarkEnd w:id="13"/>
            <w:r>
              <w:rPr>
                <w:rFonts w:hint="eastAsia" w:cs="Times New Roman"/>
              </w:rPr>
              <w:t>（</w:t>
            </w:r>
            <w:r>
              <w:rPr>
                <w:rFonts w:hint="eastAsia" w:cs="Times New Roman"/>
                <w:lang w:val="en-US" w:eastAsia="zh-CN"/>
              </w:rPr>
              <w:t>利用</w:t>
            </w:r>
            <w:r>
              <w:rPr>
                <w:rFonts w:hint="eastAsia" w:cs="Times New Roman"/>
              </w:rPr>
              <w:t>水基岩屑</w:t>
            </w:r>
            <w:r>
              <w:rPr>
                <w:rFonts w:hint="eastAsia" w:cs="Times New Roman"/>
                <w:lang w:val="en-US" w:eastAsia="zh-CN"/>
              </w:rPr>
              <w:t>及热脱附干渣</w:t>
            </w:r>
            <w:r>
              <w:rPr>
                <w:rFonts w:hint="eastAsia" w:cs="Times New Roman"/>
              </w:rPr>
              <w:t>为原料）</w:t>
            </w:r>
            <w:r>
              <w:rPr>
                <w:rFonts w:cs="Times New Roman"/>
              </w:rPr>
              <w:t>。根据</w:t>
            </w:r>
            <w:bookmarkStart w:id="14" w:name="OLE_LINK12"/>
            <w:bookmarkStart w:id="15" w:name="OLE_LINK13"/>
            <w:r>
              <w:rPr>
                <w:rFonts w:hint="eastAsia" w:cs="Times New Roman"/>
                <w:lang w:eastAsia="zh-CN"/>
              </w:rPr>
              <w:t>《产业结构调整指导目录（2024年本）》</w:t>
            </w:r>
            <w:bookmarkEnd w:id="14"/>
            <w:bookmarkEnd w:id="15"/>
            <w:r>
              <w:rPr>
                <w:rFonts w:cs="Times New Roman"/>
              </w:rPr>
              <w:t>中有关条款，本项目</w:t>
            </w:r>
            <w:r>
              <w:rPr>
                <w:rFonts w:hint="eastAsia" w:cs="Times New Roman"/>
              </w:rPr>
              <w:t>属于“鼓励类”中的“四十二、环境保护与资源节约综合利用</w:t>
            </w:r>
            <w:r>
              <w:rPr>
                <w:rFonts w:cs="Times New Roman"/>
              </w:rPr>
              <w:t>3</w:t>
            </w:r>
            <w:r>
              <w:rPr>
                <w:rFonts w:hint="eastAsia" w:cs="Times New Roman"/>
              </w:rPr>
              <w:t>．城镇污水垃圾处理：高效、低能耗污水处理与再生技术开发，城镇垃圾、农村生活垃圾、城镇生活污水、农村生活污水、污泥及</w:t>
            </w:r>
            <w:r>
              <w:rPr>
                <w:rFonts w:hint="eastAsia" w:cs="Times New Roman"/>
                <w:b/>
                <w:bCs/>
              </w:rPr>
              <w:t>其他固体废弃物减量化、资源化、无害化处理和综合利用工程</w:t>
            </w:r>
            <w:r>
              <w:rPr>
                <w:rFonts w:hint="eastAsia" w:cs="Times New Roman"/>
              </w:rPr>
              <w:t>”中其他固体废弃物的综合利用工程，涉及的建材制造不</w:t>
            </w:r>
            <w:r>
              <w:rPr>
                <w:rFonts w:cs="Times New Roman"/>
              </w:rPr>
              <w:t>属于鼓励类也不属于限制类和淘汰类。</w:t>
            </w:r>
            <w:r>
              <w:rPr>
                <w:rFonts w:hint="eastAsia" w:cs="Times New Roman"/>
              </w:rPr>
              <w:t>综上，本项目属于鼓励类，符合</w:t>
            </w:r>
            <w:r>
              <w:rPr>
                <w:rFonts w:hint="eastAsia" w:cs="Times New Roman"/>
                <w:lang w:eastAsia="zh-CN"/>
              </w:rPr>
              <w:t>《产业结构调整指导目录（2024年本）》</w:t>
            </w:r>
            <w:r>
              <w:rPr>
                <w:rFonts w:hint="eastAsia" w:cs="Times New Roman"/>
              </w:rPr>
              <w:t>要求。</w:t>
            </w:r>
          </w:p>
          <w:p w14:paraId="53734844">
            <w:pPr>
              <w:ind w:firstLine="480"/>
              <w:rPr>
                <w:rFonts w:cs="Times New Roman"/>
              </w:rPr>
            </w:pPr>
            <w:r>
              <w:rPr>
                <w:rFonts w:cs="Times New Roman"/>
              </w:rPr>
              <w:t>根据工信部《部分工业行业淘汰落后生产工艺装备和产品指导目录（</w:t>
            </w:r>
            <w:r>
              <w:rPr>
                <w:rFonts w:eastAsia="TimesNewRomanPSMT" w:cs="Times New Roman"/>
              </w:rPr>
              <w:t>2010</w:t>
            </w:r>
            <w:r>
              <w:rPr>
                <w:rFonts w:cs="Times New Roman"/>
              </w:rPr>
              <w:t>年本）》</w:t>
            </w:r>
            <w:r>
              <w:rPr>
                <w:rFonts w:hint="eastAsia" w:cs="Times New Roman"/>
              </w:rPr>
              <w:t>、</w:t>
            </w:r>
            <w:r>
              <w:rPr>
                <w:rFonts w:hint="eastAsia" w:cs="Times New Roman"/>
                <w:lang w:eastAsia="zh-CN"/>
              </w:rPr>
              <w:t>《产业结构调整指导目录（2024年本）》</w:t>
            </w:r>
            <w:r>
              <w:rPr>
                <w:rFonts w:cs="Times New Roman"/>
              </w:rPr>
              <w:t>，本项目选用生产设备中无该指导名录中要求淘汰的生产工艺装备。</w:t>
            </w:r>
          </w:p>
          <w:p w14:paraId="65DA33EE">
            <w:pPr>
              <w:ind w:firstLine="480"/>
              <w:rPr>
                <w:rFonts w:cs="Times New Roman"/>
              </w:rPr>
            </w:pPr>
            <w:r>
              <w:rPr>
                <w:rFonts w:cs="Times New Roman"/>
              </w:rPr>
              <w:t>根据</w:t>
            </w:r>
            <w:r>
              <w:rPr>
                <w:rFonts w:hint="eastAsia"/>
                <w:lang w:eastAsia="zh-CN"/>
              </w:rPr>
              <w:t>《</w:t>
            </w:r>
            <w:r>
              <w:rPr>
                <w:rFonts w:hint="eastAsia"/>
                <w:lang w:val="en-US" w:eastAsia="zh-CN"/>
              </w:rPr>
              <w:t>关于印发&lt;自然资源要素支撑产业高质量发展指导目录（2024年本）&gt;</w:t>
            </w:r>
            <w:r>
              <w:rPr>
                <w:rFonts w:hint="eastAsia"/>
                <w:lang w:eastAsia="zh-CN"/>
              </w:rPr>
              <w:t>》（</w:t>
            </w:r>
            <w:r>
              <w:rPr>
                <w:rFonts w:hint="eastAsia"/>
                <w:lang w:val="en-US" w:eastAsia="zh-CN"/>
              </w:rPr>
              <w:t>自然资发〔2024〕273号</w:t>
            </w:r>
            <w:r>
              <w:rPr>
                <w:rFonts w:hint="eastAsia"/>
                <w:lang w:eastAsia="zh-CN"/>
              </w:rPr>
              <w:t>）</w:t>
            </w:r>
            <w:r>
              <w:rPr>
                <w:rFonts w:cs="Times New Roman"/>
              </w:rPr>
              <w:t>中，不属于限制和禁止的项目。</w:t>
            </w:r>
          </w:p>
          <w:p w14:paraId="09D695D3">
            <w:pPr>
              <w:ind w:firstLine="480"/>
            </w:pPr>
            <w:r>
              <w:rPr>
                <w:rFonts w:cs="Times New Roman"/>
              </w:rPr>
              <w:t>本项目不属于《市场准入负面清单（</w:t>
            </w:r>
            <w:r>
              <w:rPr>
                <w:rFonts w:eastAsia="TimesNewRomanPSMT" w:cs="Times New Roman"/>
              </w:rPr>
              <w:t>2022</w:t>
            </w:r>
            <w:r>
              <w:rPr>
                <w:rFonts w:cs="Times New Roman"/>
              </w:rPr>
              <w:t>年版）》中所列示的负面清单行业。同时，项目经</w:t>
            </w:r>
            <w:r>
              <w:rPr>
                <w:rFonts w:hint="eastAsia" w:cs="Times New Roman"/>
                <w:lang w:eastAsia="zh-CN"/>
              </w:rPr>
              <w:t>平昌县发展和改革局</w:t>
            </w:r>
            <w:r>
              <w:rPr>
                <w:rFonts w:hint="eastAsia" w:ascii="宋体" w:hAnsi="宋体" w:eastAsia="宋体" w:cs="宋体"/>
              </w:rPr>
              <w:t>以“</w:t>
            </w:r>
            <w:r>
              <w:rPr>
                <w:rFonts w:hint="eastAsia" w:cs="Times New Roman"/>
                <w:sz w:val="24"/>
                <w:szCs w:val="24"/>
              </w:rPr>
              <w:t>川投资备【</w:t>
            </w:r>
            <w:r>
              <w:rPr>
                <w:rFonts w:cs="Times New Roman"/>
                <w:sz w:val="24"/>
                <w:szCs w:val="24"/>
              </w:rPr>
              <w:t>2407-511923-04-01-943048</w:t>
            </w:r>
            <w:r>
              <w:rPr>
                <w:rFonts w:hint="eastAsia" w:cs="Times New Roman"/>
                <w:sz w:val="24"/>
                <w:szCs w:val="24"/>
              </w:rPr>
              <w:t>】</w:t>
            </w:r>
            <w:r>
              <w:rPr>
                <w:rFonts w:cs="Times New Roman"/>
                <w:sz w:val="24"/>
                <w:szCs w:val="24"/>
              </w:rPr>
              <w:t>FGQB-0548</w:t>
            </w:r>
            <w:r>
              <w:rPr>
                <w:rFonts w:hint="eastAsia" w:cs="Times New Roman"/>
                <w:sz w:val="24"/>
                <w:szCs w:val="24"/>
              </w:rPr>
              <w:t>号</w:t>
            </w:r>
            <w:r>
              <w:rPr>
                <w:rFonts w:hint="eastAsia" w:ascii="宋体" w:hAnsi="宋体" w:eastAsia="宋体" w:cs="宋体"/>
              </w:rPr>
              <w:t>”</w:t>
            </w:r>
            <w:r>
              <w:rPr>
                <w:rFonts w:ascii="Times New Roman" w:hAnsi="Times New Roman" w:cs="Times New Roman"/>
              </w:rPr>
              <w:t>进行</w:t>
            </w:r>
            <w:r>
              <w:rPr>
                <w:rFonts w:cs="Times New Roman"/>
              </w:rPr>
              <w:t>备案。</w:t>
            </w:r>
          </w:p>
          <w:p w14:paraId="5F88A283">
            <w:pPr>
              <w:ind w:firstLine="480"/>
              <w:rPr>
                <w:rFonts w:cs="Times New Roman"/>
              </w:rPr>
            </w:pPr>
            <w:r>
              <w:rPr>
                <w:rFonts w:cs="Times New Roman"/>
              </w:rPr>
              <w:t>综上，本项目符合国家现行产业政策。</w:t>
            </w:r>
          </w:p>
          <w:p w14:paraId="19B7DDFA">
            <w:pPr>
              <w:pStyle w:val="3"/>
              <w:spacing w:before="163"/>
            </w:pPr>
            <w:r>
              <w:t>2、土地利用规划符合性分析</w:t>
            </w:r>
          </w:p>
          <w:p w14:paraId="33C9C105">
            <w:pPr>
              <w:ind w:firstLine="480"/>
              <w:rPr>
                <w:rFonts w:hint="default" w:ascii="Times New Roman" w:hAnsi="Times New Roman" w:cs="Times New Roman"/>
              </w:rPr>
            </w:pPr>
            <w:r>
              <w:rPr>
                <w:rFonts w:hint="default" w:ascii="Times New Roman" w:hAnsi="Times New Roman" w:cs="Times New Roman"/>
              </w:rPr>
              <w:t>本项目位于四川省巴中市平昌县星光工业园施迈路</w:t>
            </w:r>
            <w:r>
              <w:rPr>
                <w:rFonts w:hint="default" w:ascii="Times New Roman" w:hAnsi="Times New Roman" w:eastAsia="TimesNewRomanPSMT" w:cs="Times New Roman"/>
              </w:rPr>
              <w:t>1</w:t>
            </w:r>
            <w:r>
              <w:rPr>
                <w:rFonts w:hint="default" w:ascii="Times New Roman" w:hAnsi="Times New Roman" w:cs="Times New Roman"/>
              </w:rPr>
              <w:t>号（</w:t>
            </w:r>
            <w:r>
              <w:rPr>
                <w:rFonts w:hint="default" w:ascii="Times New Roman" w:hAnsi="Times New Roman" w:eastAsia="TimesNewRomanPSMT" w:cs="Times New Roman"/>
              </w:rPr>
              <w:t>1</w:t>
            </w:r>
            <w:r>
              <w:rPr>
                <w:rFonts w:hint="default" w:ascii="Times New Roman" w:hAnsi="Times New Roman" w:cs="Times New Roman"/>
              </w:rPr>
              <w:t>号厂房、2号、</w:t>
            </w:r>
            <w:r>
              <w:rPr>
                <w:rFonts w:hint="default" w:ascii="Times New Roman" w:hAnsi="Times New Roman" w:eastAsia="TimesNewRomanPSMT" w:cs="Times New Roman"/>
              </w:rPr>
              <w:t>3</w:t>
            </w:r>
            <w:r>
              <w:rPr>
                <w:rFonts w:hint="default" w:ascii="Times New Roman" w:hAnsi="Times New Roman" w:cs="Times New Roman"/>
              </w:rPr>
              <w:t>号厂房，含厂房中间间隔区域及办公楼），位于星光机械制造产业园内。建设单位（巴中瑞成环保科技有限公司）已与标准厂房产权所属方（四川金联玉合电气有限公司</w:t>
            </w:r>
            <w:r>
              <w:rPr>
                <w:rFonts w:hint="default" w:ascii="Times New Roman" w:hAnsi="Times New Roman" w:eastAsia="TimesNewRomanPSMT" w:cs="Times New Roman"/>
              </w:rPr>
              <w:t>-</w:t>
            </w:r>
            <w:r>
              <w:rPr>
                <w:rFonts w:hint="default" w:ascii="Times New Roman" w:hAnsi="Times New Roman" w:cs="Times New Roman"/>
              </w:rPr>
              <w:t>原单位名称为四川施迈电气有限公司）签订了租赁合同，取得了厂房使用权。</w:t>
            </w:r>
          </w:p>
          <w:p w14:paraId="15716529">
            <w:pPr>
              <w:ind w:firstLine="480"/>
              <w:rPr>
                <w:rFonts w:hint="default" w:ascii="Times New Roman" w:hAnsi="Times New Roman" w:cs="Times New Roman"/>
              </w:rPr>
            </w:pPr>
            <w:r>
              <w:rPr>
                <w:rFonts w:hint="default" w:ascii="Times New Roman" w:hAnsi="Times New Roman" w:cs="Times New Roman"/>
              </w:rPr>
              <w:t>经查阅，项目租用</w:t>
            </w:r>
            <w:r>
              <w:rPr>
                <w:rFonts w:hint="default" w:ascii="Times New Roman" w:hAnsi="Times New Roman" w:eastAsia="TimesNewRomanPSMT" w:cs="Times New Roman"/>
              </w:rPr>
              <w:t>1</w:t>
            </w:r>
            <w:r>
              <w:rPr>
                <w:rFonts w:hint="default" w:ascii="Times New Roman" w:hAnsi="Times New Roman" w:cs="Times New Roman"/>
              </w:rPr>
              <w:t>号厂房</w:t>
            </w:r>
            <w:r>
              <w:rPr>
                <w:rFonts w:hint="default" w:ascii="Times New Roman" w:hAnsi="Times New Roman" w:cs="Times New Roman"/>
                <w:u w:val="none"/>
              </w:rPr>
              <w:t>不动产权证书号为</w:t>
            </w:r>
            <w:r>
              <w:rPr>
                <w:rFonts w:hint="default" w:ascii="Times New Roman" w:hAnsi="Times New Roman" w:cs="Times New Roman"/>
                <w:u w:val="single"/>
              </w:rPr>
              <w:t>川（</w:t>
            </w:r>
            <w:r>
              <w:rPr>
                <w:rFonts w:hint="default" w:ascii="Times New Roman" w:hAnsi="Times New Roman" w:eastAsia="TimesNewRomanPSMT" w:cs="Times New Roman"/>
                <w:u w:val="single"/>
              </w:rPr>
              <w:t>2023</w:t>
            </w:r>
            <w:r>
              <w:rPr>
                <w:rFonts w:hint="default" w:ascii="Times New Roman" w:hAnsi="Times New Roman" w:cs="Times New Roman"/>
                <w:u w:val="single"/>
              </w:rPr>
              <w:t>）平昌县不动产权第</w:t>
            </w:r>
            <w:r>
              <w:rPr>
                <w:rFonts w:hint="default" w:ascii="Times New Roman" w:hAnsi="Times New Roman" w:eastAsia="TimesNewRomanPSMT" w:cs="Times New Roman"/>
                <w:u w:val="single"/>
              </w:rPr>
              <w:t>0000128</w:t>
            </w:r>
            <w:r>
              <w:rPr>
                <w:rFonts w:hint="default" w:ascii="Times New Roman" w:hAnsi="Times New Roman" w:cs="Times New Roman"/>
                <w:u w:val="single"/>
              </w:rPr>
              <w:t>号</w:t>
            </w:r>
            <w:r>
              <w:rPr>
                <w:rFonts w:hint="default" w:ascii="Times New Roman" w:hAnsi="Times New Roman" w:cs="Times New Roman"/>
              </w:rPr>
              <w:t>，用途为</w:t>
            </w:r>
            <w:r>
              <w:rPr>
                <w:rFonts w:hint="default" w:ascii="Times New Roman" w:hAnsi="Times New Roman" w:cs="Times New Roman"/>
                <w:u w:val="single"/>
              </w:rPr>
              <w:t>工业用地</w:t>
            </w:r>
            <w:r>
              <w:rPr>
                <w:rFonts w:hint="default" w:ascii="Times New Roman" w:hAnsi="Times New Roman" w:cs="Times New Roman"/>
              </w:rPr>
              <w:t>；项目租用2号厂房</w:t>
            </w:r>
            <w:r>
              <w:rPr>
                <w:rFonts w:hint="default" w:ascii="Times New Roman" w:hAnsi="Times New Roman" w:cs="Times New Roman"/>
                <w:u w:val="none"/>
              </w:rPr>
              <w:t>不动产权证书号为</w:t>
            </w:r>
            <w:r>
              <w:rPr>
                <w:rFonts w:hint="default" w:ascii="Times New Roman" w:hAnsi="Times New Roman" w:cs="Times New Roman"/>
                <w:u w:val="single"/>
              </w:rPr>
              <w:t>川（</w:t>
            </w:r>
            <w:r>
              <w:rPr>
                <w:rFonts w:hint="default" w:ascii="Times New Roman" w:hAnsi="Times New Roman" w:eastAsia="TimesNewRomanPSMT" w:cs="Times New Roman"/>
                <w:u w:val="single"/>
              </w:rPr>
              <w:t>2024</w:t>
            </w:r>
            <w:r>
              <w:rPr>
                <w:rFonts w:hint="default" w:ascii="Times New Roman" w:hAnsi="Times New Roman" w:cs="Times New Roman"/>
                <w:u w:val="single"/>
              </w:rPr>
              <w:t>）平昌县不动产权第</w:t>
            </w:r>
            <w:r>
              <w:rPr>
                <w:rFonts w:hint="default" w:ascii="Times New Roman" w:hAnsi="Times New Roman" w:eastAsia="TimesNewRomanPSMT" w:cs="Times New Roman"/>
                <w:u w:val="single"/>
              </w:rPr>
              <w:t>0001391</w:t>
            </w:r>
            <w:r>
              <w:rPr>
                <w:rFonts w:hint="default" w:ascii="Times New Roman" w:hAnsi="Times New Roman" w:cs="Times New Roman"/>
                <w:u w:val="single"/>
              </w:rPr>
              <w:t>号</w:t>
            </w:r>
            <w:r>
              <w:rPr>
                <w:rFonts w:hint="default" w:ascii="Times New Roman" w:hAnsi="Times New Roman" w:cs="Times New Roman"/>
              </w:rPr>
              <w:t>，用途为</w:t>
            </w:r>
            <w:r>
              <w:rPr>
                <w:rFonts w:hint="default" w:ascii="Times New Roman" w:hAnsi="Times New Roman" w:cs="Times New Roman"/>
                <w:u w:val="single"/>
              </w:rPr>
              <w:t>工业用地</w:t>
            </w:r>
            <w:r>
              <w:rPr>
                <w:rFonts w:hint="default" w:ascii="Times New Roman" w:hAnsi="Times New Roman" w:cs="Times New Roman"/>
              </w:rPr>
              <w:t>；项目租用</w:t>
            </w:r>
            <w:r>
              <w:rPr>
                <w:rFonts w:hint="default" w:ascii="Times New Roman" w:hAnsi="Times New Roman" w:eastAsia="TimesNewRomanPSMT" w:cs="Times New Roman"/>
              </w:rPr>
              <w:t>3</w:t>
            </w:r>
            <w:r>
              <w:rPr>
                <w:rFonts w:hint="default" w:ascii="Times New Roman" w:hAnsi="Times New Roman" w:cs="Times New Roman"/>
              </w:rPr>
              <w:t>号厂房不动产权证书号为</w:t>
            </w:r>
            <w:r>
              <w:rPr>
                <w:rFonts w:hint="default" w:ascii="Times New Roman" w:hAnsi="Times New Roman" w:cs="Times New Roman"/>
                <w:u w:val="single"/>
              </w:rPr>
              <w:t>川（</w:t>
            </w:r>
            <w:r>
              <w:rPr>
                <w:rFonts w:hint="default" w:ascii="Times New Roman" w:hAnsi="Times New Roman" w:eastAsia="TimesNewRomanPSMT" w:cs="Times New Roman"/>
                <w:u w:val="single"/>
              </w:rPr>
              <w:t>2024</w:t>
            </w:r>
            <w:r>
              <w:rPr>
                <w:rFonts w:hint="default" w:ascii="Times New Roman" w:hAnsi="Times New Roman" w:cs="Times New Roman"/>
                <w:u w:val="single"/>
              </w:rPr>
              <w:t>）平昌县不动产权第</w:t>
            </w:r>
            <w:r>
              <w:rPr>
                <w:rFonts w:hint="default" w:ascii="Times New Roman" w:hAnsi="Times New Roman" w:eastAsia="TimesNewRomanPSMT" w:cs="Times New Roman"/>
                <w:u w:val="single"/>
              </w:rPr>
              <w:t>0001392</w:t>
            </w:r>
            <w:r>
              <w:rPr>
                <w:rFonts w:hint="default" w:ascii="Times New Roman" w:hAnsi="Times New Roman" w:cs="Times New Roman"/>
                <w:u w:val="single"/>
              </w:rPr>
              <w:t>号</w:t>
            </w:r>
            <w:r>
              <w:rPr>
                <w:rFonts w:hint="default" w:ascii="Times New Roman" w:hAnsi="Times New Roman" w:cs="Times New Roman"/>
              </w:rPr>
              <w:t>，用途为</w:t>
            </w:r>
            <w:r>
              <w:rPr>
                <w:rFonts w:hint="default" w:ascii="Times New Roman" w:hAnsi="Times New Roman" w:cs="Times New Roman"/>
                <w:u w:val="single"/>
              </w:rPr>
              <w:t>工业用地</w:t>
            </w:r>
            <w:r>
              <w:rPr>
                <w:rFonts w:hint="default" w:ascii="Times New Roman" w:hAnsi="Times New Roman" w:cs="Times New Roman"/>
              </w:rPr>
              <w:t>；同时根据园区土地利用规划图，土地用途为</w:t>
            </w:r>
            <w:r>
              <w:rPr>
                <w:rFonts w:hint="default" w:ascii="Times New Roman" w:hAnsi="Times New Roman" w:cs="Times New Roman"/>
                <w:u w:val="single"/>
              </w:rPr>
              <w:t>工业用地</w:t>
            </w:r>
            <w:r>
              <w:rPr>
                <w:rFonts w:hint="default" w:ascii="Times New Roman" w:hAnsi="Times New Roman" w:cs="Times New Roman"/>
              </w:rPr>
              <w:t>。</w:t>
            </w:r>
          </w:p>
          <w:p w14:paraId="217A6285">
            <w:pPr>
              <w:ind w:firstLine="480"/>
              <w:rPr>
                <w:rFonts w:cs="Times New Roman"/>
              </w:rPr>
            </w:pPr>
            <w:r>
              <w:rPr>
                <w:rFonts w:hint="eastAsia" w:cs="Times New Roman"/>
              </w:rPr>
              <w:t>综上</w:t>
            </w:r>
            <w:r>
              <w:rPr>
                <w:rFonts w:cs="Times New Roman"/>
              </w:rPr>
              <w:t>，本项目用地符合当地土地利用规划。</w:t>
            </w:r>
          </w:p>
          <w:p w14:paraId="1F9E65AD">
            <w:pPr>
              <w:pStyle w:val="3"/>
              <w:spacing w:before="163"/>
            </w:pPr>
            <w:r>
              <w:t>3、与生态环境分区管控符合性分析</w:t>
            </w:r>
          </w:p>
          <w:p w14:paraId="57831EF9">
            <w:pPr>
              <w:keepNext w:val="0"/>
              <w:keepLines w:val="0"/>
              <w:widowControl/>
              <w:suppressLineNumbers w:val="0"/>
              <w:jc w:val="left"/>
              <w:rPr>
                <w:color w:val="auto"/>
              </w:rPr>
            </w:pPr>
            <w:r>
              <w:rPr>
                <w:rFonts w:hint="eastAsia" w:ascii="宋体" w:hAnsi="宋体" w:eastAsia="宋体" w:cs="宋体"/>
                <w:color w:val="auto"/>
                <w:kern w:val="0"/>
                <w:sz w:val="24"/>
                <w:szCs w:val="24"/>
                <w:lang w:val="en-US" w:eastAsia="zh-CN" w:bidi="ar"/>
              </w:rPr>
              <w:t>根据巴环委办〔</w:t>
            </w:r>
            <w:r>
              <w:rPr>
                <w:rFonts w:hint="default" w:ascii="Times New Roman" w:hAnsi="Times New Roman" w:eastAsia="宋体" w:cs="Times New Roman"/>
                <w:color w:val="auto"/>
                <w:kern w:val="0"/>
                <w:sz w:val="24"/>
                <w:szCs w:val="24"/>
                <w:lang w:val="en-US" w:eastAsia="zh-CN" w:bidi="ar"/>
              </w:rPr>
              <w:t>2024</w:t>
            </w:r>
            <w:r>
              <w:rPr>
                <w:rFonts w:hint="eastAsia" w:ascii="宋体" w:hAnsi="宋体" w:eastAsia="宋体" w:cs="宋体"/>
                <w:color w:val="auto"/>
                <w:kern w:val="0"/>
                <w:sz w:val="24"/>
                <w:szCs w:val="24"/>
                <w:lang w:val="en-US" w:eastAsia="zh-CN" w:bidi="ar"/>
              </w:rPr>
              <w:t>〕</w:t>
            </w:r>
            <w:r>
              <w:rPr>
                <w:rFonts w:hint="default" w:ascii="Times New Roman" w:hAnsi="Times New Roman" w:eastAsia="宋体" w:cs="Times New Roman"/>
                <w:color w:val="auto"/>
                <w:kern w:val="0"/>
                <w:sz w:val="24"/>
                <w:szCs w:val="24"/>
                <w:lang w:val="en-US" w:eastAsia="zh-CN" w:bidi="ar"/>
              </w:rPr>
              <w:t>3</w:t>
            </w:r>
            <w:r>
              <w:rPr>
                <w:rFonts w:hint="eastAsia" w:cs="Times New Roman"/>
                <w:color w:val="auto"/>
                <w:kern w:val="0"/>
                <w:sz w:val="24"/>
                <w:szCs w:val="24"/>
                <w:lang w:val="en-US" w:eastAsia="zh-CN" w:bidi="ar"/>
              </w:rPr>
              <w:t>号</w:t>
            </w:r>
            <w:r>
              <w:rPr>
                <w:rFonts w:hint="eastAsia" w:ascii="宋体" w:hAnsi="宋体" w:eastAsia="宋体" w:cs="宋体"/>
                <w:color w:val="auto"/>
                <w:kern w:val="0"/>
                <w:sz w:val="24"/>
                <w:szCs w:val="24"/>
                <w:lang w:val="en-US" w:eastAsia="zh-CN" w:bidi="ar"/>
              </w:rPr>
              <w:t>可知，巴中全市行政区域从生态环境保护角度划分为优先保护、重点管控和一般管控三类共</w:t>
            </w:r>
            <w:r>
              <w:rPr>
                <w:rFonts w:hint="default" w:ascii="Times New Roman" w:hAnsi="Times New Roman" w:eastAsia="宋体" w:cs="Times New Roman"/>
                <w:color w:val="auto"/>
                <w:kern w:val="0"/>
                <w:sz w:val="24"/>
                <w:szCs w:val="24"/>
                <w:lang w:val="en-US" w:eastAsia="zh-CN" w:bidi="ar"/>
              </w:rPr>
              <w:t>38</w:t>
            </w:r>
            <w:r>
              <w:rPr>
                <w:rFonts w:hint="eastAsia" w:ascii="宋体" w:hAnsi="宋体" w:eastAsia="宋体" w:cs="宋体"/>
                <w:color w:val="auto"/>
                <w:kern w:val="0"/>
                <w:sz w:val="24"/>
                <w:szCs w:val="24"/>
                <w:lang w:val="en-US" w:eastAsia="zh-CN" w:bidi="ar"/>
              </w:rPr>
              <w:t>个环境管控单元。</w:t>
            </w:r>
          </w:p>
          <w:p w14:paraId="45C05CEE">
            <w:pPr>
              <w:keepNext w:val="0"/>
              <w:keepLines w:val="0"/>
              <w:widowControl/>
              <w:suppressLineNumbers w:val="0"/>
              <w:jc w:val="left"/>
              <w:rPr>
                <w:color w:val="auto"/>
              </w:rPr>
            </w:pPr>
            <w:r>
              <w:rPr>
                <w:rFonts w:hint="eastAsia" w:ascii="宋体" w:hAnsi="宋体" w:eastAsia="宋体" w:cs="宋体"/>
                <w:color w:val="auto"/>
                <w:kern w:val="0"/>
                <w:sz w:val="24"/>
                <w:szCs w:val="24"/>
                <w:lang w:val="en-US" w:eastAsia="zh-CN" w:bidi="ar"/>
              </w:rPr>
              <w:t>（</w:t>
            </w:r>
            <w:r>
              <w:rPr>
                <w:rFonts w:hint="default" w:ascii="Times New Roman" w:hAnsi="Times New Roman" w:eastAsia="宋体" w:cs="Times New Roman"/>
                <w:color w:val="auto"/>
                <w:kern w:val="0"/>
                <w:sz w:val="24"/>
                <w:szCs w:val="24"/>
                <w:lang w:val="en-US" w:eastAsia="zh-CN" w:bidi="ar"/>
              </w:rPr>
              <w:t>1</w:t>
            </w:r>
            <w:r>
              <w:rPr>
                <w:rFonts w:hint="eastAsia" w:ascii="宋体" w:hAnsi="宋体" w:eastAsia="宋体" w:cs="宋体"/>
                <w:color w:val="auto"/>
                <w:kern w:val="0"/>
                <w:sz w:val="24"/>
                <w:szCs w:val="24"/>
                <w:lang w:val="en-US" w:eastAsia="zh-CN" w:bidi="ar"/>
              </w:rPr>
              <w:t>）优先保护单元。以生态环境保护为主的区域，全市划分优先保护单元</w:t>
            </w:r>
            <w:r>
              <w:rPr>
                <w:rFonts w:hint="default" w:ascii="Times New Roman" w:hAnsi="Times New Roman" w:eastAsia="宋体" w:cs="Times New Roman"/>
                <w:color w:val="auto"/>
                <w:kern w:val="0"/>
                <w:sz w:val="24"/>
                <w:szCs w:val="24"/>
                <w:lang w:val="en-US" w:eastAsia="zh-CN" w:bidi="ar"/>
              </w:rPr>
              <w:t>13</w:t>
            </w:r>
            <w:r>
              <w:rPr>
                <w:rFonts w:hint="eastAsia" w:ascii="宋体" w:hAnsi="宋体" w:eastAsia="宋体" w:cs="宋体"/>
                <w:color w:val="auto"/>
                <w:kern w:val="0"/>
                <w:sz w:val="24"/>
                <w:szCs w:val="24"/>
                <w:lang w:val="en-US" w:eastAsia="zh-CN" w:bidi="ar"/>
              </w:rPr>
              <w:t>个，主要包括生态保护红线、自然保护地、饮用水水源保护区和重点生态环境敏感区、脆弱区等，以生态环境保护优先为原则，严格执行相关法律、法规要求，严守生态环境质量底线，确保生态环境功能不降低。</w:t>
            </w:r>
          </w:p>
          <w:p w14:paraId="50025D20">
            <w:pPr>
              <w:keepNext w:val="0"/>
              <w:keepLines w:val="0"/>
              <w:widowControl/>
              <w:suppressLineNumbers w:val="0"/>
              <w:jc w:val="left"/>
              <w:rPr>
                <w:color w:val="auto"/>
              </w:rPr>
            </w:pPr>
            <w:r>
              <w:rPr>
                <w:rFonts w:hint="eastAsia" w:ascii="宋体" w:hAnsi="宋体" w:eastAsia="宋体" w:cs="宋体"/>
                <w:color w:val="auto"/>
                <w:kern w:val="0"/>
                <w:sz w:val="24"/>
                <w:szCs w:val="24"/>
                <w:lang w:val="en-US" w:eastAsia="zh-CN" w:bidi="ar"/>
              </w:rPr>
              <w:t>（</w:t>
            </w:r>
            <w:r>
              <w:rPr>
                <w:rFonts w:hint="default" w:ascii="Times New Roman" w:hAnsi="Times New Roman" w:eastAsia="宋体" w:cs="Times New Roman"/>
                <w:color w:val="auto"/>
                <w:kern w:val="0"/>
                <w:sz w:val="24"/>
                <w:szCs w:val="24"/>
                <w:lang w:val="en-US" w:eastAsia="zh-CN" w:bidi="ar"/>
              </w:rPr>
              <w:t>2</w:t>
            </w:r>
            <w:r>
              <w:rPr>
                <w:rFonts w:hint="eastAsia" w:ascii="宋体" w:hAnsi="宋体" w:eastAsia="宋体" w:cs="宋体"/>
                <w:color w:val="auto"/>
                <w:kern w:val="0"/>
                <w:sz w:val="24"/>
                <w:szCs w:val="24"/>
                <w:lang w:val="en-US" w:eastAsia="zh-CN" w:bidi="ar"/>
              </w:rPr>
              <w:t>）重点管控单元。涉及水、大气、土壤、自然资源等资源环境要素重点管控的区域，全市划分重点管控单元</w:t>
            </w:r>
            <w:r>
              <w:rPr>
                <w:rFonts w:hint="default" w:ascii="Times New Roman" w:hAnsi="Times New Roman" w:eastAsia="宋体" w:cs="Times New Roman"/>
                <w:color w:val="auto"/>
                <w:kern w:val="0"/>
                <w:sz w:val="24"/>
                <w:szCs w:val="24"/>
                <w:lang w:val="en-US" w:eastAsia="zh-CN" w:bidi="ar"/>
              </w:rPr>
              <w:t>20</w:t>
            </w:r>
            <w:r>
              <w:rPr>
                <w:rFonts w:hint="eastAsia" w:ascii="宋体" w:hAnsi="宋体" w:eastAsia="宋体" w:cs="宋体"/>
                <w:color w:val="auto"/>
                <w:kern w:val="0"/>
                <w:sz w:val="24"/>
                <w:szCs w:val="24"/>
                <w:lang w:val="en-US" w:eastAsia="zh-CN" w:bidi="ar"/>
              </w:rPr>
              <w:t>个，</w:t>
            </w:r>
            <w:r>
              <w:rPr>
                <w:rFonts w:hint="eastAsia" w:ascii="宋体" w:hAnsi="宋体" w:cs="宋体"/>
                <w:color w:val="auto"/>
                <w:kern w:val="0"/>
                <w:sz w:val="24"/>
                <w:szCs w:val="24"/>
                <w:lang w:val="en-US" w:eastAsia="zh-CN" w:bidi="ar"/>
              </w:rPr>
              <w:t>主要包括</w:t>
            </w:r>
            <w:r>
              <w:rPr>
                <w:rFonts w:hint="eastAsia" w:ascii="宋体" w:hAnsi="宋体" w:eastAsia="宋体" w:cs="宋体"/>
                <w:color w:val="auto"/>
                <w:kern w:val="0"/>
                <w:sz w:val="24"/>
                <w:szCs w:val="24"/>
                <w:lang w:val="en-US" w:eastAsia="zh-CN" w:bidi="ar"/>
              </w:rPr>
              <w:t>人口密集的城镇规划区和产业集聚的工业园区（工业集聚区）等，不断提升资源利用效率，有针对性地加强污染物排放控制和环境风险防控，解决生态环境质量不达标、生态环境风险突出等问题，制定差别化的生态环境准入要求。</w:t>
            </w:r>
          </w:p>
          <w:p w14:paraId="34845B35">
            <w:pPr>
              <w:keepNext w:val="0"/>
              <w:keepLines w:val="0"/>
              <w:widowControl/>
              <w:suppressLineNumbers w:val="0"/>
              <w:jc w:val="left"/>
              <w:rPr>
                <w:color w:val="auto"/>
              </w:rPr>
            </w:pPr>
            <w:r>
              <w:rPr>
                <w:rFonts w:hint="eastAsia" w:ascii="宋体" w:hAnsi="宋体" w:eastAsia="宋体" w:cs="宋体"/>
                <w:color w:val="auto"/>
                <w:kern w:val="0"/>
                <w:sz w:val="24"/>
                <w:szCs w:val="24"/>
                <w:lang w:val="en-US" w:eastAsia="zh-CN" w:bidi="ar"/>
              </w:rPr>
              <w:t>（</w:t>
            </w:r>
            <w:r>
              <w:rPr>
                <w:rFonts w:hint="default" w:ascii="Times New Roman" w:hAnsi="Times New Roman" w:eastAsia="宋体" w:cs="Times New Roman"/>
                <w:color w:val="auto"/>
                <w:kern w:val="0"/>
                <w:sz w:val="24"/>
                <w:szCs w:val="24"/>
                <w:lang w:val="en-US" w:eastAsia="zh-CN" w:bidi="ar"/>
              </w:rPr>
              <w:t>3</w:t>
            </w:r>
            <w:r>
              <w:rPr>
                <w:rFonts w:hint="eastAsia" w:ascii="宋体" w:hAnsi="宋体" w:eastAsia="宋体" w:cs="宋体"/>
                <w:color w:val="auto"/>
                <w:kern w:val="0"/>
                <w:sz w:val="24"/>
                <w:szCs w:val="24"/>
                <w:lang w:val="en-US" w:eastAsia="zh-CN" w:bidi="ar"/>
              </w:rPr>
              <w:t>）一般管控单元。除优先保护单元和重点管控单元之外的其他区域，全市共划分一般管控单元</w:t>
            </w:r>
            <w:r>
              <w:rPr>
                <w:rFonts w:hint="default" w:ascii="Times New Roman" w:hAnsi="Times New Roman" w:eastAsia="宋体" w:cs="Times New Roman"/>
                <w:color w:val="auto"/>
                <w:kern w:val="0"/>
                <w:sz w:val="24"/>
                <w:szCs w:val="24"/>
                <w:lang w:val="en-US" w:eastAsia="zh-CN" w:bidi="ar"/>
              </w:rPr>
              <w:t>5</w:t>
            </w:r>
            <w:r>
              <w:rPr>
                <w:rFonts w:hint="eastAsia" w:ascii="宋体" w:hAnsi="宋体" w:eastAsia="宋体" w:cs="宋体"/>
                <w:color w:val="auto"/>
                <w:kern w:val="0"/>
                <w:sz w:val="24"/>
                <w:szCs w:val="24"/>
                <w:lang w:val="en-US" w:eastAsia="zh-CN" w:bidi="ar"/>
              </w:rPr>
              <w:t>个。执行区域生态环境保护的基本要求，重点加强农业、生活等领域污染治理。</w:t>
            </w:r>
          </w:p>
          <w:p w14:paraId="0DF80FD6">
            <w:pPr>
              <w:ind w:firstLine="482"/>
              <w:rPr>
                <w:rFonts w:cs="Times New Roman"/>
                <w:b/>
              </w:rPr>
            </w:pPr>
            <w:r>
              <w:rPr>
                <w:rFonts w:cs="Times New Roman"/>
                <w:b/>
              </w:rPr>
              <w:t>（1）环境管控单元符合性分析</w:t>
            </w:r>
          </w:p>
          <w:p w14:paraId="39973574">
            <w:pPr>
              <w:ind w:firstLine="480"/>
              <w:rPr>
                <w:rFonts w:cs="Times New Roman"/>
              </w:rPr>
            </w:pPr>
            <w:r>
              <w:rPr>
                <w:rFonts w:cs="Times New Roman"/>
              </w:rPr>
              <w:t>本项目位于</w:t>
            </w:r>
            <w:r>
              <w:rPr>
                <w:rFonts w:hint="eastAsia"/>
              </w:rPr>
              <w:t>四川省平昌县星光工业园施迈路</w:t>
            </w:r>
            <w:r>
              <w:t>1</w:t>
            </w:r>
            <w:r>
              <w:rPr>
                <w:rFonts w:hint="eastAsia"/>
              </w:rPr>
              <w:t>号</w:t>
            </w:r>
            <w:r>
              <w:rPr>
                <w:rFonts w:cs="Times New Roman"/>
              </w:rPr>
              <w:t>，中心地理坐标为经度：107度8分17.472秒；纬度31度31分55.248秒。</w:t>
            </w:r>
            <w:r>
              <w:rPr>
                <w:rFonts w:cs="Times New Roman"/>
                <w:bCs/>
                <w:szCs w:val="24"/>
              </w:rPr>
              <w:t>根据四川政务服务网生态环境分区管控</w:t>
            </w:r>
            <w:r>
              <w:rPr>
                <w:rFonts w:cs="Times New Roman"/>
                <w:bCs/>
              </w:rPr>
              <w:t>公众服务</w:t>
            </w:r>
            <w:r>
              <w:rPr>
                <w:rFonts w:cs="Times New Roman"/>
                <w:bCs/>
                <w:szCs w:val="24"/>
              </w:rPr>
              <w:t>系统查询结果，</w:t>
            </w:r>
            <w:r>
              <w:rPr>
                <w:rFonts w:cs="Times New Roman"/>
              </w:rPr>
              <w:t>本项目涉及环境管控单元</w:t>
            </w:r>
            <w:r>
              <w:rPr>
                <w:rFonts w:hint="eastAsia" w:cs="Times New Roman"/>
              </w:rPr>
              <w:t>1个，</w:t>
            </w:r>
            <w:r>
              <w:rPr>
                <w:rFonts w:cs="Times New Roman"/>
              </w:rPr>
              <w:t>要素管控</w:t>
            </w:r>
            <w:r>
              <w:rPr>
                <w:rFonts w:hint="eastAsia" w:cs="Times New Roman"/>
              </w:rPr>
              <w:t>分区7</w:t>
            </w:r>
            <w:r>
              <w:rPr>
                <w:rFonts w:cs="Times New Roman"/>
              </w:rPr>
              <w:t>个，涉及管控单元见下表。</w:t>
            </w:r>
          </w:p>
          <w:p w14:paraId="4DBD7FF2">
            <w:pPr>
              <w:pStyle w:val="16"/>
            </w:pPr>
          </w:p>
          <w:p w14:paraId="7EC3E031">
            <w:pPr>
              <w:pStyle w:val="11"/>
              <w:keepNext/>
              <w:rPr>
                <w:rFonts w:cs="Times New Roman"/>
              </w:rPr>
            </w:pPr>
            <w:r>
              <w:rPr>
                <w:rFonts w:cs="Times New Roman"/>
              </w:rPr>
              <w:t xml:space="preserve">表 </w:t>
            </w:r>
            <w:r>
              <w:rPr>
                <w:rFonts w:hint="eastAsia" w:cs="Times New Roman"/>
                <w:lang w:val="en-US" w:eastAsia="zh-CN"/>
              </w:rPr>
              <w:t>1</w:t>
            </w:r>
            <w:r>
              <w:rPr>
                <w:rFonts w:cs="Times New Roman"/>
              </w:rPr>
              <w:noBreakHyphen/>
            </w:r>
            <w:r>
              <w:rPr>
                <w:rFonts w:cs="Times New Roman"/>
              </w:rPr>
              <w:fldChar w:fldCharType="begin"/>
            </w:r>
            <w:r>
              <w:rPr>
                <w:rFonts w:cs="Times New Roman"/>
              </w:rPr>
              <w:instrText xml:space="preserve"> SEQ 表 \* ARABIC \s 1 </w:instrText>
            </w:r>
            <w:r>
              <w:rPr>
                <w:rFonts w:cs="Times New Roman"/>
              </w:rPr>
              <w:fldChar w:fldCharType="separate"/>
            </w:r>
            <w:r>
              <w:rPr>
                <w:rFonts w:cs="Times New Roman"/>
              </w:rPr>
              <w:t>4</w:t>
            </w:r>
            <w:r>
              <w:rPr>
                <w:rFonts w:cs="Times New Roman"/>
              </w:rPr>
              <w:fldChar w:fldCharType="end"/>
            </w:r>
            <w:r>
              <w:rPr>
                <w:rFonts w:cs="Times New Roman"/>
              </w:rPr>
              <w:t xml:space="preserve"> 本项目涉及环境管控单元一览表</w:t>
            </w:r>
          </w:p>
          <w:tbl>
            <w:tblPr>
              <w:tblStyle w:val="2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9"/>
              <w:gridCol w:w="2451"/>
              <w:gridCol w:w="914"/>
              <w:gridCol w:w="906"/>
              <w:gridCol w:w="1056"/>
              <w:gridCol w:w="1726"/>
            </w:tblGrid>
            <w:tr w14:paraId="608A0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7" w:type="pct"/>
                  <w:shd w:val="clear" w:color="auto" w:fill="auto"/>
                  <w:vAlign w:val="center"/>
                </w:tcPr>
                <w:p w14:paraId="692CE5E3">
                  <w:pPr>
                    <w:pStyle w:val="45"/>
                    <w:rPr>
                      <w:rFonts w:cs="Times New Roman"/>
                    </w:rPr>
                  </w:pPr>
                  <w:r>
                    <w:rPr>
                      <w:rFonts w:cs="Times New Roman"/>
                    </w:rPr>
                    <w:t>环境管控单元编码</w:t>
                  </w:r>
                </w:p>
              </w:tc>
              <w:tc>
                <w:tcPr>
                  <w:tcW w:w="1485" w:type="pct"/>
                  <w:shd w:val="clear" w:color="auto" w:fill="auto"/>
                  <w:vAlign w:val="center"/>
                </w:tcPr>
                <w:p w14:paraId="7A7C12D2">
                  <w:pPr>
                    <w:pStyle w:val="45"/>
                    <w:rPr>
                      <w:rFonts w:cs="Times New Roman"/>
                    </w:rPr>
                  </w:pPr>
                  <w:r>
                    <w:rPr>
                      <w:rFonts w:cs="Times New Roman"/>
                    </w:rPr>
                    <w:t>环境管控单元名称</w:t>
                  </w:r>
                </w:p>
              </w:tc>
              <w:tc>
                <w:tcPr>
                  <w:tcW w:w="554" w:type="pct"/>
                  <w:shd w:val="clear" w:color="auto" w:fill="auto"/>
                  <w:vAlign w:val="center"/>
                </w:tcPr>
                <w:p w14:paraId="04EB0EEF">
                  <w:pPr>
                    <w:pStyle w:val="45"/>
                    <w:rPr>
                      <w:rFonts w:cs="Times New Roman"/>
                    </w:rPr>
                  </w:pPr>
                  <w:r>
                    <w:rPr>
                      <w:rFonts w:cs="Times New Roman"/>
                    </w:rPr>
                    <w:t>所属市（州）</w:t>
                  </w:r>
                </w:p>
              </w:tc>
              <w:tc>
                <w:tcPr>
                  <w:tcW w:w="549" w:type="pct"/>
                  <w:shd w:val="clear" w:color="auto" w:fill="auto"/>
                  <w:vAlign w:val="center"/>
                </w:tcPr>
                <w:p w14:paraId="48A8980D">
                  <w:pPr>
                    <w:pStyle w:val="45"/>
                    <w:rPr>
                      <w:rFonts w:cs="Times New Roman"/>
                    </w:rPr>
                  </w:pPr>
                  <w:r>
                    <w:rPr>
                      <w:rFonts w:cs="Times New Roman"/>
                    </w:rPr>
                    <w:t>所属区县</w:t>
                  </w:r>
                </w:p>
              </w:tc>
              <w:tc>
                <w:tcPr>
                  <w:tcW w:w="640" w:type="pct"/>
                  <w:shd w:val="clear" w:color="auto" w:fill="auto"/>
                  <w:vAlign w:val="center"/>
                </w:tcPr>
                <w:p w14:paraId="06DE1187">
                  <w:pPr>
                    <w:pStyle w:val="45"/>
                    <w:rPr>
                      <w:rFonts w:cs="Times New Roman"/>
                    </w:rPr>
                  </w:pPr>
                  <w:r>
                    <w:rPr>
                      <w:rFonts w:hint="eastAsia" w:cs="Times New Roman"/>
                      <w:lang w:val="en-US" w:eastAsia="zh-CN"/>
                    </w:rPr>
                    <w:t>环境要素</w:t>
                  </w:r>
                  <w:r>
                    <w:rPr>
                      <w:rFonts w:cs="Times New Roman"/>
                    </w:rPr>
                    <w:t>类型</w:t>
                  </w:r>
                </w:p>
              </w:tc>
              <w:tc>
                <w:tcPr>
                  <w:tcW w:w="1045" w:type="pct"/>
                  <w:shd w:val="clear" w:color="auto" w:fill="auto"/>
                  <w:vAlign w:val="center"/>
                </w:tcPr>
                <w:p w14:paraId="1053239D">
                  <w:pPr>
                    <w:pStyle w:val="45"/>
                    <w:rPr>
                      <w:rFonts w:cs="Times New Roman"/>
                    </w:rPr>
                  </w:pPr>
                  <w:r>
                    <w:rPr>
                      <w:rFonts w:cs="Times New Roman"/>
                    </w:rPr>
                    <w:t>管控类型</w:t>
                  </w:r>
                </w:p>
              </w:tc>
            </w:tr>
            <w:tr w14:paraId="44F53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7" w:type="pct"/>
                  <w:shd w:val="clear" w:color="auto" w:fill="auto"/>
                  <w:vAlign w:val="center"/>
                </w:tcPr>
                <w:p w14:paraId="2956057E">
                  <w:pPr>
                    <w:pStyle w:val="12"/>
                    <w:rPr>
                      <w:rFonts w:hint="eastAsia" w:cs="Times New Roman"/>
                    </w:rPr>
                  </w:pPr>
                  <w:bookmarkStart w:id="16" w:name="_Hlk205992800"/>
                  <w:r>
                    <w:rPr>
                      <w:rFonts w:hint="eastAsia" w:cs="Times New Roman"/>
                    </w:rPr>
                    <w:t>ZH51192320002</w:t>
                  </w:r>
                </w:p>
              </w:tc>
              <w:tc>
                <w:tcPr>
                  <w:tcW w:w="1485" w:type="pct"/>
                  <w:shd w:val="clear" w:color="auto" w:fill="auto"/>
                  <w:vAlign w:val="center"/>
                </w:tcPr>
                <w:p w14:paraId="641D8318">
                  <w:pPr>
                    <w:pStyle w:val="12"/>
                    <w:rPr>
                      <w:rFonts w:cs="Times New Roman"/>
                    </w:rPr>
                  </w:pPr>
                  <w:r>
                    <w:rPr>
                      <w:rFonts w:hint="eastAsia" w:cs="Times New Roman"/>
                    </w:rPr>
                    <w:t>平昌经济开发区（星光机械制造产业片区、金宝食品饮料产业片区、驷马清洁能源产业片区、石龙门化工园片区)</w:t>
                  </w:r>
                </w:p>
              </w:tc>
              <w:tc>
                <w:tcPr>
                  <w:tcW w:w="554" w:type="pct"/>
                  <w:shd w:val="clear" w:color="auto" w:fill="auto"/>
                  <w:vAlign w:val="center"/>
                </w:tcPr>
                <w:p w14:paraId="5B3B2521">
                  <w:pPr>
                    <w:pStyle w:val="12"/>
                    <w:rPr>
                      <w:rFonts w:cs="Times New Roman"/>
                    </w:rPr>
                  </w:pPr>
                  <w:r>
                    <w:rPr>
                      <w:rFonts w:cs="Times New Roman"/>
                    </w:rPr>
                    <w:t>巴中市</w:t>
                  </w:r>
                </w:p>
              </w:tc>
              <w:tc>
                <w:tcPr>
                  <w:tcW w:w="549" w:type="pct"/>
                  <w:shd w:val="clear" w:color="auto" w:fill="auto"/>
                  <w:vAlign w:val="center"/>
                </w:tcPr>
                <w:p w14:paraId="070C5508">
                  <w:pPr>
                    <w:pStyle w:val="12"/>
                    <w:rPr>
                      <w:rFonts w:hint="eastAsia" w:cs="Times New Roman"/>
                    </w:rPr>
                  </w:pPr>
                  <w:r>
                    <w:rPr>
                      <w:rFonts w:hint="eastAsia" w:cs="Times New Roman"/>
                    </w:rPr>
                    <w:t>平昌县</w:t>
                  </w:r>
                </w:p>
              </w:tc>
              <w:tc>
                <w:tcPr>
                  <w:tcW w:w="640" w:type="pct"/>
                  <w:shd w:val="clear" w:color="auto" w:fill="auto"/>
                  <w:vAlign w:val="center"/>
                </w:tcPr>
                <w:p w14:paraId="7F26D8E9">
                  <w:pPr>
                    <w:pStyle w:val="12"/>
                    <w:rPr>
                      <w:rFonts w:cs="Times New Roman"/>
                    </w:rPr>
                  </w:pPr>
                  <w:r>
                    <w:rPr>
                      <w:rFonts w:cs="Times New Roman"/>
                    </w:rPr>
                    <w:t>环境管控单元</w:t>
                  </w:r>
                </w:p>
              </w:tc>
              <w:tc>
                <w:tcPr>
                  <w:tcW w:w="1045" w:type="pct"/>
                  <w:shd w:val="clear" w:color="auto" w:fill="auto"/>
                  <w:vAlign w:val="center"/>
                </w:tcPr>
                <w:p w14:paraId="105C6E04">
                  <w:pPr>
                    <w:pStyle w:val="12"/>
                    <w:rPr>
                      <w:rFonts w:cs="Times New Roman"/>
                    </w:rPr>
                  </w:pPr>
                  <w:r>
                    <w:rPr>
                      <w:rFonts w:cs="Times New Roman"/>
                    </w:rPr>
                    <w:t>工业重点管控单元</w:t>
                  </w:r>
                </w:p>
              </w:tc>
            </w:tr>
            <w:bookmarkEnd w:id="16"/>
            <w:tr w14:paraId="7E0EC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7" w:type="pct"/>
                  <w:shd w:val="clear" w:color="auto" w:fill="auto"/>
                  <w:vAlign w:val="center"/>
                </w:tcPr>
                <w:p w14:paraId="0F3AFFF7">
                  <w:pPr>
                    <w:pStyle w:val="12"/>
                    <w:rPr>
                      <w:rFonts w:hint="eastAsia" w:cs="Times New Roman"/>
                    </w:rPr>
                  </w:pPr>
                  <w:r>
                    <w:rPr>
                      <w:rFonts w:hint="eastAsia" w:cs="Times New Roman"/>
                    </w:rPr>
                    <w:t>YS5119233110001</w:t>
                  </w:r>
                </w:p>
              </w:tc>
              <w:tc>
                <w:tcPr>
                  <w:tcW w:w="1485" w:type="pct"/>
                  <w:shd w:val="clear" w:color="auto" w:fill="auto"/>
                  <w:vAlign w:val="center"/>
                </w:tcPr>
                <w:p w14:paraId="657A600C">
                  <w:pPr>
                    <w:pStyle w:val="12"/>
                    <w:rPr>
                      <w:rFonts w:cs="Times New Roman"/>
                    </w:rPr>
                  </w:pPr>
                  <w:r>
                    <w:rPr>
                      <w:rFonts w:hint="eastAsia" w:cs="Times New Roman"/>
                    </w:rPr>
                    <w:t>平昌县其他区域</w:t>
                  </w:r>
                </w:p>
              </w:tc>
              <w:tc>
                <w:tcPr>
                  <w:tcW w:w="554" w:type="pct"/>
                  <w:shd w:val="clear" w:color="auto" w:fill="auto"/>
                  <w:vAlign w:val="center"/>
                </w:tcPr>
                <w:p w14:paraId="22C3AAD7">
                  <w:pPr>
                    <w:pStyle w:val="12"/>
                    <w:rPr>
                      <w:rFonts w:cs="Times New Roman"/>
                    </w:rPr>
                  </w:pPr>
                  <w:r>
                    <w:rPr>
                      <w:rFonts w:cs="Times New Roman"/>
                    </w:rPr>
                    <w:t>巴中市</w:t>
                  </w:r>
                </w:p>
              </w:tc>
              <w:tc>
                <w:tcPr>
                  <w:tcW w:w="549" w:type="pct"/>
                  <w:shd w:val="clear" w:color="auto" w:fill="auto"/>
                  <w:vAlign w:val="center"/>
                </w:tcPr>
                <w:p w14:paraId="477DC4F5">
                  <w:pPr>
                    <w:pStyle w:val="12"/>
                    <w:rPr>
                      <w:rFonts w:cs="Times New Roman"/>
                    </w:rPr>
                  </w:pPr>
                  <w:r>
                    <w:rPr>
                      <w:rFonts w:hint="eastAsia" w:cs="Times New Roman"/>
                    </w:rPr>
                    <w:t>平昌县</w:t>
                  </w:r>
                </w:p>
              </w:tc>
              <w:tc>
                <w:tcPr>
                  <w:tcW w:w="640" w:type="pct"/>
                  <w:shd w:val="clear" w:color="auto" w:fill="auto"/>
                  <w:vAlign w:val="center"/>
                </w:tcPr>
                <w:p w14:paraId="3EF9D674">
                  <w:pPr>
                    <w:pStyle w:val="12"/>
                    <w:rPr>
                      <w:rFonts w:cs="Times New Roman"/>
                    </w:rPr>
                  </w:pPr>
                  <w:r>
                    <w:rPr>
                      <w:rFonts w:hint="eastAsia" w:cs="Times New Roman"/>
                    </w:rPr>
                    <w:t>生态</w:t>
                  </w:r>
                </w:p>
              </w:tc>
              <w:tc>
                <w:tcPr>
                  <w:tcW w:w="1045" w:type="pct"/>
                  <w:shd w:val="clear" w:color="auto" w:fill="auto"/>
                  <w:vAlign w:val="center"/>
                </w:tcPr>
                <w:p w14:paraId="11A4E5C1">
                  <w:pPr>
                    <w:pStyle w:val="12"/>
                    <w:rPr>
                      <w:rFonts w:cs="Times New Roman"/>
                    </w:rPr>
                  </w:pPr>
                  <w:r>
                    <w:rPr>
                      <w:rFonts w:hint="eastAsia" w:cs="Times New Roman"/>
                    </w:rPr>
                    <w:t>一般管控区</w:t>
                  </w:r>
                </w:p>
              </w:tc>
            </w:tr>
            <w:tr w14:paraId="1D66A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7" w:type="pct"/>
                  <w:shd w:val="clear" w:color="auto" w:fill="auto"/>
                  <w:vAlign w:val="center"/>
                </w:tcPr>
                <w:p w14:paraId="17EC7379">
                  <w:pPr>
                    <w:pStyle w:val="12"/>
                    <w:rPr>
                      <w:rFonts w:hint="eastAsia" w:cs="Times New Roman"/>
                    </w:rPr>
                  </w:pPr>
                  <w:r>
                    <w:rPr>
                      <w:rFonts w:hint="eastAsia" w:cs="Times New Roman"/>
                    </w:rPr>
                    <w:t>YS5119232210001</w:t>
                  </w:r>
                </w:p>
              </w:tc>
              <w:tc>
                <w:tcPr>
                  <w:tcW w:w="1485" w:type="pct"/>
                  <w:shd w:val="clear" w:color="auto" w:fill="auto"/>
                  <w:vAlign w:val="center"/>
                </w:tcPr>
                <w:p w14:paraId="65169ED4">
                  <w:pPr>
                    <w:pStyle w:val="12"/>
                    <w:rPr>
                      <w:rFonts w:cs="Times New Roman"/>
                    </w:rPr>
                  </w:pPr>
                  <w:r>
                    <w:rPr>
                      <w:rFonts w:hint="eastAsia" w:cs="Times New Roman"/>
                    </w:rPr>
                    <w:t>巴河</w:t>
                  </w:r>
                  <w:r>
                    <w:rPr>
                      <w:rFonts w:cs="Times New Roman"/>
                    </w:rPr>
                    <w:t>-</w:t>
                  </w:r>
                  <w:r>
                    <w:rPr>
                      <w:rFonts w:hint="eastAsia" w:cs="Times New Roman"/>
                    </w:rPr>
                    <w:t>平昌县</w:t>
                  </w:r>
                  <w:r>
                    <w:rPr>
                      <w:rFonts w:cs="Times New Roman"/>
                    </w:rPr>
                    <w:t>-</w:t>
                  </w:r>
                  <w:r>
                    <w:rPr>
                      <w:rFonts w:hint="eastAsia" w:cs="Times New Roman"/>
                    </w:rPr>
                    <w:t>江陵</w:t>
                  </w:r>
                  <w:r>
                    <w:rPr>
                      <w:rFonts w:cs="Times New Roman"/>
                    </w:rPr>
                    <w:t>-</w:t>
                  </w:r>
                  <w:r>
                    <w:rPr>
                      <w:rFonts w:hint="eastAsia" w:cs="Times New Roman"/>
                    </w:rPr>
                    <w:t>控制单元</w:t>
                  </w:r>
                </w:p>
              </w:tc>
              <w:tc>
                <w:tcPr>
                  <w:tcW w:w="554" w:type="pct"/>
                  <w:shd w:val="clear" w:color="auto" w:fill="auto"/>
                  <w:vAlign w:val="center"/>
                </w:tcPr>
                <w:p w14:paraId="2FD81BDC">
                  <w:pPr>
                    <w:pStyle w:val="12"/>
                    <w:rPr>
                      <w:rFonts w:cs="Times New Roman"/>
                    </w:rPr>
                  </w:pPr>
                  <w:r>
                    <w:rPr>
                      <w:rFonts w:cs="Times New Roman"/>
                    </w:rPr>
                    <w:t>巴中市</w:t>
                  </w:r>
                </w:p>
              </w:tc>
              <w:tc>
                <w:tcPr>
                  <w:tcW w:w="549" w:type="pct"/>
                  <w:shd w:val="clear" w:color="auto" w:fill="auto"/>
                  <w:vAlign w:val="center"/>
                </w:tcPr>
                <w:p w14:paraId="10B18F88">
                  <w:pPr>
                    <w:pStyle w:val="12"/>
                    <w:rPr>
                      <w:rFonts w:cs="Times New Roman"/>
                    </w:rPr>
                  </w:pPr>
                  <w:r>
                    <w:rPr>
                      <w:rFonts w:hint="eastAsia" w:cs="Times New Roman"/>
                    </w:rPr>
                    <w:t>平昌县</w:t>
                  </w:r>
                </w:p>
              </w:tc>
              <w:tc>
                <w:tcPr>
                  <w:tcW w:w="640" w:type="pct"/>
                  <w:shd w:val="clear" w:color="auto" w:fill="auto"/>
                  <w:vAlign w:val="center"/>
                </w:tcPr>
                <w:p w14:paraId="06DC0843">
                  <w:pPr>
                    <w:pStyle w:val="12"/>
                    <w:rPr>
                      <w:rFonts w:cs="Times New Roman"/>
                    </w:rPr>
                  </w:pPr>
                  <w:r>
                    <w:rPr>
                      <w:rFonts w:hint="eastAsia" w:cs="Times New Roman"/>
                    </w:rPr>
                    <w:t>水</w:t>
                  </w:r>
                </w:p>
              </w:tc>
              <w:tc>
                <w:tcPr>
                  <w:tcW w:w="1045" w:type="pct"/>
                  <w:shd w:val="clear" w:color="auto" w:fill="auto"/>
                  <w:vAlign w:val="center"/>
                </w:tcPr>
                <w:p w14:paraId="42359A21">
                  <w:pPr>
                    <w:pStyle w:val="12"/>
                    <w:rPr>
                      <w:rFonts w:cs="Times New Roman"/>
                    </w:rPr>
                  </w:pPr>
                  <w:r>
                    <w:rPr>
                      <w:rFonts w:hint="eastAsia" w:cs="Times New Roman"/>
                    </w:rPr>
                    <w:t>水环境工业污染重点管控区</w:t>
                  </w:r>
                </w:p>
              </w:tc>
            </w:tr>
            <w:tr w14:paraId="63501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7" w:type="pct"/>
                  <w:shd w:val="clear" w:color="auto" w:fill="auto"/>
                  <w:vAlign w:val="center"/>
                </w:tcPr>
                <w:p w14:paraId="06658408">
                  <w:pPr>
                    <w:pStyle w:val="12"/>
                    <w:rPr>
                      <w:rFonts w:hint="eastAsia" w:cs="Times New Roman"/>
                    </w:rPr>
                  </w:pPr>
                  <w:r>
                    <w:rPr>
                      <w:rFonts w:hint="eastAsia" w:cs="Times New Roman"/>
                    </w:rPr>
                    <w:t>YS5119232310001</w:t>
                  </w:r>
                </w:p>
              </w:tc>
              <w:tc>
                <w:tcPr>
                  <w:tcW w:w="1485" w:type="pct"/>
                  <w:shd w:val="clear" w:color="auto" w:fill="auto"/>
                  <w:vAlign w:val="center"/>
                </w:tcPr>
                <w:p w14:paraId="7F86E10C">
                  <w:pPr>
                    <w:pStyle w:val="12"/>
                    <w:rPr>
                      <w:rFonts w:cs="Times New Roman"/>
                    </w:rPr>
                  </w:pPr>
                  <w:r>
                    <w:rPr>
                      <w:rFonts w:hint="eastAsia" w:cs="Times New Roman"/>
                    </w:rPr>
                    <w:t>平昌经济开发区（星光机械制造产业片区、金宝食品饮料产业片区、驷马清洁能源产业片区、石龙门化工园片区</w:t>
                  </w:r>
                  <w:r>
                    <w:rPr>
                      <w:rFonts w:cs="Times New Roman"/>
                    </w:rPr>
                    <w:t>)</w:t>
                  </w:r>
                </w:p>
              </w:tc>
              <w:tc>
                <w:tcPr>
                  <w:tcW w:w="554" w:type="pct"/>
                  <w:shd w:val="clear" w:color="auto" w:fill="auto"/>
                  <w:vAlign w:val="center"/>
                </w:tcPr>
                <w:p w14:paraId="747487C3">
                  <w:pPr>
                    <w:pStyle w:val="12"/>
                    <w:rPr>
                      <w:rFonts w:cs="Times New Roman"/>
                    </w:rPr>
                  </w:pPr>
                  <w:r>
                    <w:rPr>
                      <w:rFonts w:cs="Times New Roman"/>
                    </w:rPr>
                    <w:t>巴中市</w:t>
                  </w:r>
                </w:p>
              </w:tc>
              <w:tc>
                <w:tcPr>
                  <w:tcW w:w="549" w:type="pct"/>
                  <w:shd w:val="clear" w:color="auto" w:fill="auto"/>
                  <w:vAlign w:val="center"/>
                </w:tcPr>
                <w:p w14:paraId="35892E2A">
                  <w:pPr>
                    <w:pStyle w:val="12"/>
                    <w:rPr>
                      <w:rFonts w:cs="Times New Roman"/>
                    </w:rPr>
                  </w:pPr>
                  <w:r>
                    <w:rPr>
                      <w:rFonts w:hint="eastAsia" w:cs="Times New Roman"/>
                    </w:rPr>
                    <w:t>平昌县</w:t>
                  </w:r>
                </w:p>
              </w:tc>
              <w:tc>
                <w:tcPr>
                  <w:tcW w:w="640" w:type="pct"/>
                  <w:shd w:val="clear" w:color="auto" w:fill="auto"/>
                  <w:vAlign w:val="center"/>
                </w:tcPr>
                <w:p w14:paraId="6ABCD181">
                  <w:pPr>
                    <w:pStyle w:val="12"/>
                    <w:rPr>
                      <w:rFonts w:hint="eastAsia" w:cs="Times New Roman"/>
                    </w:rPr>
                  </w:pPr>
                  <w:r>
                    <w:rPr>
                      <w:rFonts w:hint="eastAsia" w:cs="Times New Roman"/>
                    </w:rPr>
                    <w:t>大气</w:t>
                  </w:r>
                </w:p>
              </w:tc>
              <w:tc>
                <w:tcPr>
                  <w:tcW w:w="1045" w:type="pct"/>
                  <w:shd w:val="clear" w:color="auto" w:fill="auto"/>
                  <w:vAlign w:val="center"/>
                </w:tcPr>
                <w:p w14:paraId="68BE304E">
                  <w:pPr>
                    <w:pStyle w:val="12"/>
                    <w:rPr>
                      <w:rFonts w:cs="Times New Roman"/>
                    </w:rPr>
                  </w:pPr>
                  <w:r>
                    <w:rPr>
                      <w:rFonts w:hint="eastAsia" w:cs="Times New Roman"/>
                    </w:rPr>
                    <w:t>大气环境高排放重点管控区</w:t>
                  </w:r>
                </w:p>
              </w:tc>
            </w:tr>
            <w:tr w14:paraId="3C9F5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7" w:type="pct"/>
                  <w:shd w:val="clear" w:color="auto" w:fill="auto"/>
                  <w:vAlign w:val="center"/>
                </w:tcPr>
                <w:p w14:paraId="127BF123">
                  <w:pPr>
                    <w:pStyle w:val="12"/>
                    <w:rPr>
                      <w:rFonts w:hint="eastAsia" w:cs="Times New Roman"/>
                    </w:rPr>
                  </w:pPr>
                  <w:r>
                    <w:rPr>
                      <w:rFonts w:hint="eastAsia" w:cs="Times New Roman"/>
                    </w:rPr>
                    <w:t>YS5119232510001</w:t>
                  </w:r>
                </w:p>
              </w:tc>
              <w:tc>
                <w:tcPr>
                  <w:tcW w:w="1485" w:type="pct"/>
                  <w:shd w:val="clear" w:color="auto" w:fill="auto"/>
                  <w:vAlign w:val="center"/>
                </w:tcPr>
                <w:p w14:paraId="37DE8DE1">
                  <w:pPr>
                    <w:pStyle w:val="12"/>
                    <w:rPr>
                      <w:rFonts w:cs="Times New Roman"/>
                    </w:rPr>
                  </w:pPr>
                  <w:r>
                    <w:rPr>
                      <w:rFonts w:hint="eastAsia" w:cs="Times New Roman"/>
                    </w:rPr>
                    <w:t>平昌县水资源重点管控区</w:t>
                  </w:r>
                </w:p>
              </w:tc>
              <w:tc>
                <w:tcPr>
                  <w:tcW w:w="554" w:type="pct"/>
                  <w:shd w:val="clear" w:color="auto" w:fill="auto"/>
                  <w:vAlign w:val="center"/>
                </w:tcPr>
                <w:p w14:paraId="6FF5B31F">
                  <w:pPr>
                    <w:pStyle w:val="12"/>
                    <w:rPr>
                      <w:rFonts w:cs="Times New Roman"/>
                    </w:rPr>
                  </w:pPr>
                  <w:r>
                    <w:rPr>
                      <w:rFonts w:cs="Times New Roman"/>
                    </w:rPr>
                    <w:t>巴中市</w:t>
                  </w:r>
                </w:p>
              </w:tc>
              <w:tc>
                <w:tcPr>
                  <w:tcW w:w="549" w:type="pct"/>
                  <w:shd w:val="clear" w:color="auto" w:fill="auto"/>
                  <w:vAlign w:val="center"/>
                </w:tcPr>
                <w:p w14:paraId="3FE5A9EB">
                  <w:pPr>
                    <w:pStyle w:val="12"/>
                    <w:rPr>
                      <w:rFonts w:cs="Times New Roman"/>
                    </w:rPr>
                  </w:pPr>
                  <w:r>
                    <w:rPr>
                      <w:rFonts w:hint="eastAsia" w:cs="Times New Roman"/>
                    </w:rPr>
                    <w:t>平昌县</w:t>
                  </w:r>
                </w:p>
              </w:tc>
              <w:tc>
                <w:tcPr>
                  <w:tcW w:w="640" w:type="pct"/>
                  <w:shd w:val="clear" w:color="auto" w:fill="auto"/>
                  <w:vAlign w:val="center"/>
                </w:tcPr>
                <w:p w14:paraId="68B4675F">
                  <w:pPr>
                    <w:pStyle w:val="12"/>
                    <w:rPr>
                      <w:rFonts w:cs="Times New Roman"/>
                    </w:rPr>
                  </w:pPr>
                  <w:r>
                    <w:rPr>
                      <w:rFonts w:hint="eastAsia" w:cs="Times New Roman"/>
                    </w:rPr>
                    <w:t>自然资源</w:t>
                  </w:r>
                </w:p>
              </w:tc>
              <w:tc>
                <w:tcPr>
                  <w:tcW w:w="1045" w:type="pct"/>
                  <w:shd w:val="clear" w:color="auto" w:fill="auto"/>
                  <w:vAlign w:val="center"/>
                </w:tcPr>
                <w:p w14:paraId="6BEEA0E5">
                  <w:pPr>
                    <w:pStyle w:val="12"/>
                    <w:rPr>
                      <w:rFonts w:cs="Times New Roman"/>
                    </w:rPr>
                  </w:pPr>
                  <w:r>
                    <w:rPr>
                      <w:rFonts w:hint="eastAsia" w:cs="Times New Roman"/>
                    </w:rPr>
                    <w:t>生态用水补给区</w:t>
                  </w:r>
                </w:p>
              </w:tc>
            </w:tr>
            <w:tr w14:paraId="6FD43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7" w:type="pct"/>
                  <w:shd w:val="clear" w:color="auto" w:fill="auto"/>
                  <w:vAlign w:val="center"/>
                </w:tcPr>
                <w:p w14:paraId="5E546470">
                  <w:pPr>
                    <w:pStyle w:val="12"/>
                    <w:rPr>
                      <w:rFonts w:hint="eastAsia" w:cs="Times New Roman"/>
                    </w:rPr>
                  </w:pPr>
                  <w:r>
                    <w:rPr>
                      <w:rFonts w:hint="eastAsia" w:cs="Times New Roman"/>
                    </w:rPr>
                    <w:t>YS5119232550001</w:t>
                  </w:r>
                </w:p>
              </w:tc>
              <w:tc>
                <w:tcPr>
                  <w:tcW w:w="1485" w:type="pct"/>
                  <w:shd w:val="clear" w:color="auto" w:fill="auto"/>
                  <w:vAlign w:val="center"/>
                </w:tcPr>
                <w:p w14:paraId="669DF27A">
                  <w:pPr>
                    <w:pStyle w:val="12"/>
                    <w:rPr>
                      <w:rFonts w:cs="Times New Roman"/>
                    </w:rPr>
                  </w:pPr>
                  <w:r>
                    <w:rPr>
                      <w:rFonts w:hint="eastAsia" w:cs="Times New Roman"/>
                    </w:rPr>
                    <w:t>平昌县自然资源重点管控区</w:t>
                  </w:r>
                </w:p>
              </w:tc>
              <w:tc>
                <w:tcPr>
                  <w:tcW w:w="554" w:type="pct"/>
                  <w:shd w:val="clear" w:color="auto" w:fill="auto"/>
                  <w:vAlign w:val="center"/>
                </w:tcPr>
                <w:p w14:paraId="546C31B3">
                  <w:pPr>
                    <w:pStyle w:val="12"/>
                    <w:rPr>
                      <w:rFonts w:cs="Times New Roman"/>
                    </w:rPr>
                  </w:pPr>
                  <w:r>
                    <w:rPr>
                      <w:rFonts w:cs="Times New Roman"/>
                    </w:rPr>
                    <w:t>巴中市</w:t>
                  </w:r>
                </w:p>
              </w:tc>
              <w:tc>
                <w:tcPr>
                  <w:tcW w:w="549" w:type="pct"/>
                  <w:shd w:val="clear" w:color="auto" w:fill="auto"/>
                  <w:vAlign w:val="center"/>
                </w:tcPr>
                <w:p w14:paraId="55BB71C6">
                  <w:pPr>
                    <w:pStyle w:val="12"/>
                    <w:rPr>
                      <w:rFonts w:cs="Times New Roman"/>
                    </w:rPr>
                  </w:pPr>
                  <w:r>
                    <w:rPr>
                      <w:rFonts w:hint="eastAsia" w:cs="Times New Roman"/>
                    </w:rPr>
                    <w:t>平昌县</w:t>
                  </w:r>
                </w:p>
              </w:tc>
              <w:tc>
                <w:tcPr>
                  <w:tcW w:w="640" w:type="pct"/>
                  <w:shd w:val="clear" w:color="auto" w:fill="auto"/>
                  <w:vAlign w:val="center"/>
                </w:tcPr>
                <w:p w14:paraId="1308994A">
                  <w:pPr>
                    <w:pStyle w:val="12"/>
                    <w:rPr>
                      <w:rFonts w:cs="Times New Roman"/>
                    </w:rPr>
                  </w:pPr>
                  <w:r>
                    <w:rPr>
                      <w:rFonts w:hint="eastAsia" w:cs="Times New Roman"/>
                    </w:rPr>
                    <w:t>自然资源</w:t>
                  </w:r>
                </w:p>
              </w:tc>
              <w:tc>
                <w:tcPr>
                  <w:tcW w:w="1045" w:type="pct"/>
                  <w:shd w:val="clear" w:color="auto" w:fill="auto"/>
                  <w:vAlign w:val="center"/>
                </w:tcPr>
                <w:p w14:paraId="4BED75FD">
                  <w:pPr>
                    <w:pStyle w:val="12"/>
                    <w:rPr>
                      <w:rFonts w:cs="Times New Roman"/>
                    </w:rPr>
                  </w:pPr>
                  <w:r>
                    <w:rPr>
                      <w:rFonts w:hint="eastAsia" w:cs="Times New Roman"/>
                    </w:rPr>
                    <w:t>自然资源重点管控区</w:t>
                  </w:r>
                </w:p>
              </w:tc>
            </w:tr>
            <w:tr w14:paraId="52C33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7" w:type="pct"/>
                  <w:shd w:val="clear" w:color="auto" w:fill="auto"/>
                  <w:vAlign w:val="center"/>
                </w:tcPr>
                <w:p w14:paraId="5F08725B">
                  <w:pPr>
                    <w:pStyle w:val="12"/>
                    <w:rPr>
                      <w:rFonts w:hint="eastAsia" w:cs="Times New Roman"/>
                    </w:rPr>
                  </w:pPr>
                  <w:r>
                    <w:rPr>
                      <w:rFonts w:hint="eastAsia" w:cs="Times New Roman"/>
                    </w:rPr>
                    <w:t>YS5119232530001</w:t>
                  </w:r>
                </w:p>
              </w:tc>
              <w:tc>
                <w:tcPr>
                  <w:tcW w:w="1485" w:type="pct"/>
                  <w:shd w:val="clear" w:color="auto" w:fill="auto"/>
                  <w:vAlign w:val="center"/>
                </w:tcPr>
                <w:p w14:paraId="6218052B">
                  <w:pPr>
                    <w:pStyle w:val="12"/>
                    <w:rPr>
                      <w:rFonts w:cs="Times New Roman"/>
                    </w:rPr>
                  </w:pPr>
                  <w:r>
                    <w:rPr>
                      <w:rFonts w:hint="eastAsia" w:cs="Times New Roman"/>
                    </w:rPr>
                    <w:t>平昌县城镇开发边界</w:t>
                  </w:r>
                </w:p>
              </w:tc>
              <w:tc>
                <w:tcPr>
                  <w:tcW w:w="554" w:type="pct"/>
                  <w:shd w:val="clear" w:color="auto" w:fill="auto"/>
                  <w:vAlign w:val="center"/>
                </w:tcPr>
                <w:p w14:paraId="4E8B22FA">
                  <w:pPr>
                    <w:pStyle w:val="12"/>
                    <w:rPr>
                      <w:rFonts w:cs="Times New Roman"/>
                    </w:rPr>
                  </w:pPr>
                  <w:r>
                    <w:rPr>
                      <w:rFonts w:cs="Times New Roman"/>
                    </w:rPr>
                    <w:t>巴中市</w:t>
                  </w:r>
                </w:p>
              </w:tc>
              <w:tc>
                <w:tcPr>
                  <w:tcW w:w="549" w:type="pct"/>
                  <w:shd w:val="clear" w:color="auto" w:fill="auto"/>
                  <w:vAlign w:val="center"/>
                </w:tcPr>
                <w:p w14:paraId="4AC9C14A">
                  <w:pPr>
                    <w:pStyle w:val="12"/>
                    <w:rPr>
                      <w:rFonts w:cs="Times New Roman"/>
                    </w:rPr>
                  </w:pPr>
                  <w:r>
                    <w:rPr>
                      <w:rFonts w:hint="eastAsia" w:cs="Times New Roman"/>
                    </w:rPr>
                    <w:t>平昌县</w:t>
                  </w:r>
                </w:p>
              </w:tc>
              <w:tc>
                <w:tcPr>
                  <w:tcW w:w="640" w:type="pct"/>
                  <w:shd w:val="clear" w:color="auto" w:fill="auto"/>
                  <w:vAlign w:val="center"/>
                </w:tcPr>
                <w:p w14:paraId="39090003">
                  <w:pPr>
                    <w:pStyle w:val="12"/>
                    <w:rPr>
                      <w:rFonts w:cs="Times New Roman"/>
                    </w:rPr>
                  </w:pPr>
                  <w:r>
                    <w:rPr>
                      <w:rFonts w:hint="eastAsia" w:cs="Times New Roman"/>
                    </w:rPr>
                    <w:t>自然资源</w:t>
                  </w:r>
                </w:p>
              </w:tc>
              <w:tc>
                <w:tcPr>
                  <w:tcW w:w="1045" w:type="pct"/>
                  <w:shd w:val="clear" w:color="auto" w:fill="auto"/>
                  <w:vAlign w:val="center"/>
                </w:tcPr>
                <w:p w14:paraId="29523B8C">
                  <w:pPr>
                    <w:pStyle w:val="12"/>
                    <w:rPr>
                      <w:rFonts w:cs="Times New Roman"/>
                    </w:rPr>
                  </w:pPr>
                  <w:r>
                    <w:rPr>
                      <w:rFonts w:hint="eastAsia" w:cs="Times New Roman"/>
                    </w:rPr>
                    <w:t>土地资源重点管控区</w:t>
                  </w:r>
                </w:p>
              </w:tc>
            </w:tr>
            <w:tr w14:paraId="5843B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7" w:type="pct"/>
                  <w:shd w:val="clear" w:color="auto" w:fill="auto"/>
                  <w:vAlign w:val="center"/>
                </w:tcPr>
                <w:p w14:paraId="2600B31C">
                  <w:pPr>
                    <w:pStyle w:val="12"/>
                    <w:rPr>
                      <w:rFonts w:hint="eastAsia" w:cs="Times New Roman"/>
                    </w:rPr>
                  </w:pPr>
                  <w:r>
                    <w:rPr>
                      <w:rFonts w:hint="eastAsia" w:cs="Times New Roman"/>
                    </w:rPr>
                    <w:t>YS5119232610001</w:t>
                  </w:r>
                </w:p>
              </w:tc>
              <w:tc>
                <w:tcPr>
                  <w:tcW w:w="1485" w:type="pct"/>
                  <w:shd w:val="clear" w:color="auto" w:fill="auto"/>
                  <w:vAlign w:val="center"/>
                </w:tcPr>
                <w:p w14:paraId="03E3FD36">
                  <w:pPr>
                    <w:pStyle w:val="12"/>
                    <w:rPr>
                      <w:rFonts w:cs="Times New Roman"/>
                    </w:rPr>
                  </w:pPr>
                  <w:r>
                    <w:rPr>
                      <w:rFonts w:hint="eastAsia" w:cs="Times New Roman"/>
                    </w:rPr>
                    <w:t>渠江江河湖库岸线重点管控区</w:t>
                  </w:r>
                </w:p>
              </w:tc>
              <w:tc>
                <w:tcPr>
                  <w:tcW w:w="554" w:type="pct"/>
                  <w:shd w:val="clear" w:color="auto" w:fill="auto"/>
                  <w:vAlign w:val="center"/>
                </w:tcPr>
                <w:p w14:paraId="5C75B165">
                  <w:pPr>
                    <w:pStyle w:val="12"/>
                    <w:rPr>
                      <w:rFonts w:cs="Times New Roman"/>
                    </w:rPr>
                  </w:pPr>
                  <w:r>
                    <w:rPr>
                      <w:rFonts w:cs="Times New Roman"/>
                    </w:rPr>
                    <w:t>巴中市</w:t>
                  </w:r>
                </w:p>
              </w:tc>
              <w:tc>
                <w:tcPr>
                  <w:tcW w:w="549" w:type="pct"/>
                  <w:shd w:val="clear" w:color="auto" w:fill="auto"/>
                  <w:vAlign w:val="center"/>
                </w:tcPr>
                <w:p w14:paraId="2A23530C">
                  <w:pPr>
                    <w:pStyle w:val="12"/>
                    <w:rPr>
                      <w:rFonts w:cs="Times New Roman"/>
                    </w:rPr>
                  </w:pPr>
                  <w:r>
                    <w:rPr>
                      <w:rFonts w:hint="eastAsia" w:cs="Times New Roman"/>
                    </w:rPr>
                    <w:t>平昌县</w:t>
                  </w:r>
                </w:p>
              </w:tc>
              <w:tc>
                <w:tcPr>
                  <w:tcW w:w="640" w:type="pct"/>
                  <w:shd w:val="clear" w:color="auto" w:fill="auto"/>
                  <w:vAlign w:val="center"/>
                </w:tcPr>
                <w:p w14:paraId="2835C7A8">
                  <w:pPr>
                    <w:pStyle w:val="12"/>
                    <w:rPr>
                      <w:rFonts w:hint="eastAsia" w:cs="Times New Roman"/>
                    </w:rPr>
                  </w:pPr>
                  <w:r>
                    <w:rPr>
                      <w:rFonts w:hint="eastAsia" w:cs="Times New Roman"/>
                    </w:rPr>
                    <w:t>岸线</w:t>
                  </w:r>
                </w:p>
              </w:tc>
              <w:tc>
                <w:tcPr>
                  <w:tcW w:w="1045" w:type="pct"/>
                  <w:shd w:val="clear" w:color="auto" w:fill="auto"/>
                  <w:vAlign w:val="center"/>
                </w:tcPr>
                <w:p w14:paraId="323938C5">
                  <w:pPr>
                    <w:pStyle w:val="12"/>
                    <w:rPr>
                      <w:rFonts w:cs="Times New Roman"/>
                    </w:rPr>
                  </w:pPr>
                  <w:r>
                    <w:rPr>
                      <w:rFonts w:hint="eastAsia" w:cs="Times New Roman"/>
                    </w:rPr>
                    <w:t>江河湖</w:t>
                  </w:r>
                  <w:r>
                    <w:rPr>
                      <w:rFonts w:hint="eastAsia" w:cs="Times New Roman"/>
                      <w:lang w:val="en-US" w:eastAsia="zh-CN"/>
                    </w:rPr>
                    <w:t>库</w:t>
                  </w:r>
                  <w:r>
                    <w:rPr>
                      <w:rFonts w:hint="eastAsia" w:cs="Times New Roman"/>
                    </w:rPr>
                    <w:t>岸线重点管控区</w:t>
                  </w:r>
                </w:p>
              </w:tc>
            </w:tr>
          </w:tbl>
          <w:p w14:paraId="5BFF1391">
            <w:pPr>
              <w:ind w:firstLine="480"/>
              <w:rPr>
                <w:rFonts w:cs="Times New Roman"/>
              </w:rPr>
            </w:pPr>
            <w:r>
              <w:rPr>
                <w:rFonts w:cs="Times New Roman"/>
              </w:rPr>
              <w:t>综合而言，本项目位于</w:t>
            </w:r>
            <w:r>
              <w:rPr>
                <w:rFonts w:hint="eastAsia" w:cs="Times New Roman"/>
              </w:rPr>
              <w:t>平昌经济开发区（星光机械制造产业片区、金宝食品饮料产业片区、驷马清洁能源产业片区、石龙门化工园片区)</w:t>
            </w:r>
            <w:r>
              <w:rPr>
                <w:rFonts w:cs="Times New Roman"/>
              </w:rPr>
              <w:t>的工业重点管控单元，不涉及生态红线。</w:t>
            </w:r>
          </w:p>
          <w:p w14:paraId="295457B9">
            <w:pPr>
              <w:pStyle w:val="12"/>
              <w:rPr>
                <w:rFonts w:hint="eastAsia" w:cs="Times New Roman"/>
              </w:rPr>
            </w:pPr>
            <w:r>
              <w:drawing>
                <wp:inline distT="0" distB="0" distL="114300" distR="114300">
                  <wp:extent cx="3362325" cy="2519680"/>
                  <wp:effectExtent l="0" t="0" r="9525" b="13970"/>
                  <wp:docPr id="2"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9"/>
                          <pic:cNvPicPr>
                            <a:picLocks noChangeAspect="1"/>
                          </pic:cNvPicPr>
                        </pic:nvPicPr>
                        <pic:blipFill>
                          <a:blip r:embed="rId14"/>
                          <a:stretch>
                            <a:fillRect/>
                          </a:stretch>
                        </pic:blipFill>
                        <pic:spPr>
                          <a:xfrm>
                            <a:off x="0" y="0"/>
                            <a:ext cx="3362325" cy="2519680"/>
                          </a:xfrm>
                          <a:prstGeom prst="rect">
                            <a:avLst/>
                          </a:prstGeom>
                          <a:noFill/>
                          <a:ln>
                            <a:noFill/>
                          </a:ln>
                        </pic:spPr>
                      </pic:pic>
                    </a:graphicData>
                  </a:graphic>
                </wp:inline>
              </w:drawing>
            </w:r>
            <w:r>
              <w:rPr>
                <w:rFonts w:hint="eastAsia" w:cs="Times New Roman"/>
              </w:rPr>
              <w:t xml:space="preserve"> </w:t>
            </w:r>
          </w:p>
          <w:p w14:paraId="4E81C891">
            <w:pPr>
              <w:pStyle w:val="12"/>
              <w:rPr>
                <w:rFonts w:hint="eastAsia" w:cs="Times New Roman"/>
              </w:rPr>
            </w:pPr>
          </w:p>
          <w:p w14:paraId="053A0FA4">
            <w:pPr>
              <w:pStyle w:val="12"/>
              <w:rPr>
                <w:rFonts w:hint="eastAsia" w:cs="Times New Roman"/>
              </w:rPr>
            </w:pPr>
          </w:p>
          <w:p w14:paraId="0FCC521C">
            <w:pPr>
              <w:pStyle w:val="12"/>
              <w:rPr>
                <w:rFonts w:hint="eastAsia" w:cs="Times New Roman"/>
              </w:rPr>
            </w:pPr>
          </w:p>
          <w:p w14:paraId="4351BF42">
            <w:pPr>
              <w:pStyle w:val="12"/>
              <w:rPr>
                <w:rFonts w:hint="eastAsia" w:cs="Times New Roman"/>
              </w:rPr>
            </w:pPr>
          </w:p>
          <w:p w14:paraId="685C39A2">
            <w:pPr>
              <w:pStyle w:val="12"/>
              <w:rPr>
                <w:rFonts w:hint="eastAsia" w:cs="Times New Roman"/>
              </w:rPr>
            </w:pPr>
          </w:p>
          <w:p w14:paraId="66109082">
            <w:pPr>
              <w:pStyle w:val="12"/>
              <w:rPr>
                <w:rFonts w:hint="eastAsia" w:cs="Times New Roman"/>
              </w:rPr>
            </w:pPr>
          </w:p>
          <w:p w14:paraId="07656795">
            <w:pPr>
              <w:pStyle w:val="12"/>
            </w:pPr>
            <w:r>
              <w:drawing>
                <wp:inline distT="0" distB="0" distL="114300" distR="114300">
                  <wp:extent cx="3297555" cy="3024505"/>
                  <wp:effectExtent l="0" t="0" r="17145" b="4445"/>
                  <wp:docPr id="15"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0"/>
                          <pic:cNvPicPr>
                            <a:picLocks noChangeAspect="1"/>
                          </pic:cNvPicPr>
                        </pic:nvPicPr>
                        <pic:blipFill>
                          <a:blip r:embed="rId15"/>
                          <a:stretch>
                            <a:fillRect/>
                          </a:stretch>
                        </pic:blipFill>
                        <pic:spPr>
                          <a:xfrm>
                            <a:off x="0" y="0"/>
                            <a:ext cx="3297555" cy="3024505"/>
                          </a:xfrm>
                          <a:prstGeom prst="rect">
                            <a:avLst/>
                          </a:prstGeom>
                          <a:noFill/>
                          <a:ln>
                            <a:noFill/>
                          </a:ln>
                        </pic:spPr>
                      </pic:pic>
                    </a:graphicData>
                  </a:graphic>
                </wp:inline>
              </w:drawing>
            </w:r>
            <w:r>
              <w:t xml:space="preserve"> </w:t>
            </w:r>
          </w:p>
          <w:p w14:paraId="4581E712">
            <w:pPr>
              <w:pStyle w:val="12"/>
            </w:pPr>
            <w:r>
              <w:drawing>
                <wp:inline distT="0" distB="0" distL="114300" distR="114300">
                  <wp:extent cx="3343910" cy="4228465"/>
                  <wp:effectExtent l="0" t="0" r="8890" b="635"/>
                  <wp:docPr id="2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1"/>
                          <pic:cNvPicPr>
                            <a:picLocks noChangeAspect="1"/>
                          </pic:cNvPicPr>
                        </pic:nvPicPr>
                        <pic:blipFill>
                          <a:blip r:embed="rId16"/>
                          <a:stretch>
                            <a:fillRect/>
                          </a:stretch>
                        </pic:blipFill>
                        <pic:spPr>
                          <a:xfrm>
                            <a:off x="0" y="0"/>
                            <a:ext cx="3343910" cy="4228465"/>
                          </a:xfrm>
                          <a:prstGeom prst="rect">
                            <a:avLst/>
                          </a:prstGeom>
                          <a:noFill/>
                          <a:ln>
                            <a:noFill/>
                          </a:ln>
                        </pic:spPr>
                      </pic:pic>
                    </a:graphicData>
                  </a:graphic>
                </wp:inline>
              </w:drawing>
            </w:r>
          </w:p>
          <w:p w14:paraId="0B5916E5">
            <w:pPr>
              <w:pStyle w:val="12"/>
            </w:pPr>
          </w:p>
          <w:p w14:paraId="4DFB6C18">
            <w:pPr>
              <w:pStyle w:val="12"/>
            </w:pPr>
          </w:p>
          <w:p w14:paraId="5096F541">
            <w:pPr>
              <w:pStyle w:val="12"/>
            </w:pPr>
          </w:p>
          <w:p w14:paraId="099FB9FE">
            <w:pPr>
              <w:pStyle w:val="12"/>
            </w:pPr>
          </w:p>
          <w:p w14:paraId="212BDEBC">
            <w:pPr>
              <w:pStyle w:val="12"/>
            </w:pPr>
          </w:p>
          <w:p w14:paraId="635443B8">
            <w:pPr>
              <w:pStyle w:val="12"/>
            </w:pPr>
          </w:p>
          <w:p w14:paraId="01B872C3">
            <w:pPr>
              <w:pStyle w:val="12"/>
            </w:pPr>
          </w:p>
          <w:p w14:paraId="460FBC6B">
            <w:pPr>
              <w:pStyle w:val="12"/>
            </w:pPr>
          </w:p>
          <w:p w14:paraId="0168BB79">
            <w:pPr>
              <w:pStyle w:val="12"/>
            </w:pPr>
          </w:p>
          <w:p w14:paraId="315D24A9">
            <w:pPr>
              <w:pStyle w:val="12"/>
              <w:jc w:val="both"/>
            </w:pPr>
          </w:p>
          <w:p w14:paraId="5C4E2D28">
            <w:pPr>
              <w:pStyle w:val="12"/>
            </w:pPr>
            <w:r>
              <w:drawing>
                <wp:inline distT="0" distB="0" distL="114300" distR="114300">
                  <wp:extent cx="3080385" cy="3960495"/>
                  <wp:effectExtent l="0" t="0" r="5715" b="1905"/>
                  <wp:docPr id="2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2"/>
                          <pic:cNvPicPr>
                            <a:picLocks noChangeAspect="1"/>
                          </pic:cNvPicPr>
                        </pic:nvPicPr>
                        <pic:blipFill>
                          <a:blip r:embed="rId17"/>
                          <a:stretch>
                            <a:fillRect/>
                          </a:stretch>
                        </pic:blipFill>
                        <pic:spPr>
                          <a:xfrm>
                            <a:off x="0" y="0"/>
                            <a:ext cx="3080385" cy="3960495"/>
                          </a:xfrm>
                          <a:prstGeom prst="rect">
                            <a:avLst/>
                          </a:prstGeom>
                          <a:noFill/>
                          <a:ln>
                            <a:noFill/>
                          </a:ln>
                        </pic:spPr>
                      </pic:pic>
                    </a:graphicData>
                  </a:graphic>
                </wp:inline>
              </w:drawing>
            </w:r>
          </w:p>
          <w:p w14:paraId="0B9044E4">
            <w:pPr>
              <w:pStyle w:val="11"/>
              <w:rPr>
                <w:rFonts w:cs="Times New Roman"/>
                <w:bCs/>
              </w:rPr>
            </w:pPr>
            <w:r>
              <w:rPr>
                <w:rFonts w:cs="Times New Roman"/>
              </w:rPr>
              <w:t xml:space="preserve">图 </w:t>
            </w:r>
            <w:r>
              <w:rPr>
                <w:rFonts w:hint="eastAsia" w:cs="Times New Roman"/>
                <w:lang w:val="en-US" w:eastAsia="zh-CN"/>
              </w:rPr>
              <w:t>1-</w:t>
            </w:r>
            <w:r>
              <w:rPr>
                <w:rFonts w:cs="Times New Roman"/>
              </w:rPr>
              <w:fldChar w:fldCharType="begin"/>
            </w:r>
            <w:r>
              <w:rPr>
                <w:rFonts w:cs="Times New Roman"/>
              </w:rPr>
              <w:instrText xml:space="preserve"> SEQ 图 \* ARABIC \s 1 </w:instrText>
            </w:r>
            <w:r>
              <w:rPr>
                <w:rFonts w:cs="Times New Roman"/>
              </w:rPr>
              <w:fldChar w:fldCharType="separate"/>
            </w:r>
            <w:r>
              <w:rPr>
                <w:rFonts w:cs="Times New Roman"/>
              </w:rPr>
              <w:t>1</w:t>
            </w:r>
            <w:r>
              <w:rPr>
                <w:rFonts w:cs="Times New Roman"/>
              </w:rPr>
              <w:fldChar w:fldCharType="end"/>
            </w:r>
            <w:r>
              <w:rPr>
                <w:rFonts w:cs="Times New Roman"/>
              </w:rPr>
              <w:t xml:space="preserve"> </w:t>
            </w:r>
            <w:r>
              <w:rPr>
                <w:rFonts w:cs="Times New Roman"/>
                <w:bCs/>
              </w:rPr>
              <w:t>四川政务服务网生态环境</w:t>
            </w:r>
            <w:r>
              <w:rPr>
                <w:rFonts w:cs="Times New Roman"/>
              </w:rPr>
              <w:t>分区</w:t>
            </w:r>
            <w:r>
              <w:rPr>
                <w:rFonts w:cs="Times New Roman"/>
                <w:bCs/>
              </w:rPr>
              <w:t>管控公众服务系统查询</w:t>
            </w:r>
            <w:r>
              <w:rPr>
                <w:rFonts w:hint="eastAsia" w:cs="Times New Roman"/>
                <w:bCs/>
              </w:rPr>
              <w:t>结果截图</w:t>
            </w:r>
          </w:p>
          <w:p w14:paraId="4F66AD15">
            <w:pPr>
              <w:ind w:firstLine="480"/>
              <w:rPr>
                <w:rFonts w:cs="Times New Roman"/>
              </w:rPr>
            </w:pPr>
            <w:r>
              <w:rPr>
                <w:rFonts w:cs="Times New Roman"/>
              </w:rPr>
              <w:t>项目与管控单元位置关系如下图所示：</w:t>
            </w:r>
          </w:p>
          <w:p w14:paraId="77A66DDC">
            <w:pPr>
              <w:pStyle w:val="24"/>
              <w:keepNext/>
              <w:rPr>
                <w:rFonts w:cs="Times New Roman"/>
              </w:rPr>
            </w:pPr>
            <w:r>
              <w:drawing>
                <wp:inline distT="0" distB="0" distL="0" distR="0">
                  <wp:extent cx="5253355" cy="3785235"/>
                  <wp:effectExtent l="0" t="0" r="4445" b="5715"/>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pic:cNvPicPr>
                        </pic:nvPicPr>
                        <pic:blipFill>
                          <a:blip r:embed="rId18"/>
                          <a:stretch>
                            <a:fillRect/>
                          </a:stretch>
                        </pic:blipFill>
                        <pic:spPr>
                          <a:xfrm>
                            <a:off x="0" y="0"/>
                            <a:ext cx="5253355" cy="3785235"/>
                          </a:xfrm>
                          <a:prstGeom prst="rect">
                            <a:avLst/>
                          </a:prstGeom>
                        </pic:spPr>
                      </pic:pic>
                    </a:graphicData>
                  </a:graphic>
                </wp:inline>
              </w:drawing>
            </w:r>
          </w:p>
          <w:p w14:paraId="46D17CF8">
            <w:pPr>
              <w:pStyle w:val="11"/>
              <w:rPr>
                <w:rFonts w:cs="Times New Roman"/>
              </w:rPr>
            </w:pPr>
            <w:r>
              <w:rPr>
                <w:rFonts w:cs="Times New Roman"/>
              </w:rPr>
              <w:t xml:space="preserve">图 </w:t>
            </w:r>
            <w:r>
              <w:rPr>
                <w:rFonts w:hint="eastAsia" w:cs="Times New Roman"/>
                <w:lang w:val="en-US" w:eastAsia="zh-CN"/>
              </w:rPr>
              <w:t>1</w:t>
            </w:r>
            <w:r>
              <w:rPr>
                <w:rFonts w:cs="Times New Roman"/>
              </w:rPr>
              <w:noBreakHyphen/>
            </w:r>
            <w:r>
              <w:rPr>
                <w:rFonts w:cs="Times New Roman"/>
              </w:rPr>
              <w:fldChar w:fldCharType="begin"/>
            </w:r>
            <w:r>
              <w:rPr>
                <w:rFonts w:cs="Times New Roman"/>
              </w:rPr>
              <w:instrText xml:space="preserve"> SEQ 图 \* ARABIC \s 1 </w:instrText>
            </w:r>
            <w:r>
              <w:rPr>
                <w:rFonts w:cs="Times New Roman"/>
              </w:rPr>
              <w:fldChar w:fldCharType="separate"/>
            </w:r>
            <w:r>
              <w:rPr>
                <w:rFonts w:cs="Times New Roman"/>
              </w:rPr>
              <w:t>2</w:t>
            </w:r>
            <w:r>
              <w:rPr>
                <w:rFonts w:cs="Times New Roman"/>
              </w:rPr>
              <w:fldChar w:fldCharType="end"/>
            </w:r>
            <w:r>
              <w:rPr>
                <w:rFonts w:cs="Times New Roman"/>
              </w:rPr>
              <w:t xml:space="preserve"> 本项目所在环境管控单元图</w:t>
            </w:r>
          </w:p>
          <w:p w14:paraId="3D1DD541">
            <w:pPr>
              <w:keepNext/>
              <w:ind w:firstLine="0" w:firstLineChars="0"/>
              <w:jc w:val="center"/>
              <w:rPr>
                <w:rFonts w:cs="Times New Roman"/>
              </w:rPr>
            </w:pPr>
            <w:r>
              <w:drawing>
                <wp:inline distT="0" distB="0" distL="0" distR="0">
                  <wp:extent cx="5250180" cy="3765550"/>
                  <wp:effectExtent l="0" t="0" r="7620" b="635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pic:cNvPicPr>
                            <a:picLocks noChangeAspect="1"/>
                          </pic:cNvPicPr>
                        </pic:nvPicPr>
                        <pic:blipFill>
                          <a:blip r:embed="rId19"/>
                          <a:stretch>
                            <a:fillRect/>
                          </a:stretch>
                        </pic:blipFill>
                        <pic:spPr>
                          <a:xfrm>
                            <a:off x="0" y="0"/>
                            <a:ext cx="5250180" cy="3765550"/>
                          </a:xfrm>
                          <a:prstGeom prst="rect">
                            <a:avLst/>
                          </a:prstGeom>
                        </pic:spPr>
                      </pic:pic>
                    </a:graphicData>
                  </a:graphic>
                </wp:inline>
              </w:drawing>
            </w:r>
          </w:p>
          <w:p w14:paraId="247C4AA9">
            <w:pPr>
              <w:pStyle w:val="11"/>
              <w:rPr>
                <w:rFonts w:hint="eastAsia" w:eastAsia="宋体" w:cs="Times New Roman"/>
                <w:lang w:eastAsia="zh-CN"/>
              </w:rPr>
            </w:pPr>
            <w:r>
              <w:rPr>
                <w:sz w:val="21"/>
              </w:rPr>
              <mc:AlternateContent>
                <mc:Choice Requires="wps">
                  <w:drawing>
                    <wp:anchor distT="0" distB="0" distL="114300" distR="114300" simplePos="0" relativeHeight="251659264" behindDoc="0" locked="0" layoutInCell="1" allowOverlap="1">
                      <wp:simplePos x="0" y="0"/>
                      <wp:positionH relativeFrom="column">
                        <wp:posOffset>3141980</wp:posOffset>
                      </wp:positionH>
                      <wp:positionV relativeFrom="paragraph">
                        <wp:posOffset>334645</wp:posOffset>
                      </wp:positionV>
                      <wp:extent cx="1090930" cy="346710"/>
                      <wp:effectExtent l="490855" t="6350" r="18415" b="408940"/>
                      <wp:wrapNone/>
                      <wp:docPr id="19" name="矩形标注 19"/>
                      <wp:cNvGraphicFramePr/>
                      <a:graphic xmlns:a="http://schemas.openxmlformats.org/drawingml/2006/main">
                        <a:graphicData uri="http://schemas.microsoft.com/office/word/2010/wordprocessingShape">
                          <wps:wsp>
                            <wps:cNvSpPr/>
                            <wps:spPr>
                              <a:xfrm>
                                <a:off x="4833620" y="5188585"/>
                                <a:ext cx="1090930" cy="346710"/>
                              </a:xfrm>
                              <a:prstGeom prst="wedgeRectCallout">
                                <a:avLst>
                                  <a:gd name="adj1" fmla="val -90745"/>
                                  <a:gd name="adj2" fmla="val 159890"/>
                                </a:avLst>
                              </a:prstGeom>
                              <a:no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1EFF1B61">
                                  <w:pPr>
                                    <w:ind w:left="0" w:leftChars="0" w:firstLine="0" w:firstLineChars="0"/>
                                    <w:jc w:val="both"/>
                                    <w:rPr>
                                      <w:rFonts w:hint="default" w:eastAsia="宋体"/>
                                      <w:color w:val="FF0000"/>
                                      <w:sz w:val="21"/>
                                      <w:szCs w:val="20"/>
                                      <w:lang w:val="en-US" w:eastAsia="zh-CN"/>
                                    </w:rPr>
                                  </w:pPr>
                                  <w:r>
                                    <w:rPr>
                                      <w:rFonts w:hint="eastAsia"/>
                                      <w:color w:val="FF0000"/>
                                      <w:sz w:val="21"/>
                                      <w:szCs w:val="20"/>
                                      <w:lang w:val="en-US" w:eastAsia="zh-CN"/>
                                    </w:rPr>
                                    <w:t>本项目所在地</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247.4pt;margin-top:26.35pt;height:27.3pt;width:85.9pt;z-index:251659264;v-text-anchor:middle;mso-width-relative:page;mso-height-relative:page;" filled="f" stroked="t" coordsize="21600,21600" o:gfxdata="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" adj="-8801,45336">
                      <v:fill on="f" focussize="0,0"/>
                      <v:stroke weight="1pt" color="#FF0000 [2404]" miterlimit="8" joinstyle="miter"/>
                      <v:imagedata o:title=""/>
                      <o:lock v:ext="edit" aspectratio="f"/>
                      <v:textbox>
                        <w:txbxContent>
                          <w:p w14:paraId="1EFF1B61">
                            <w:pPr>
                              <w:ind w:left="0" w:leftChars="0" w:firstLine="0" w:firstLineChars="0"/>
                              <w:jc w:val="both"/>
                              <w:rPr>
                                <w:rFonts w:hint="default" w:eastAsia="宋体"/>
                                <w:color w:val="FF0000"/>
                                <w:sz w:val="21"/>
                                <w:szCs w:val="20"/>
                                <w:lang w:val="en-US" w:eastAsia="zh-CN"/>
                              </w:rPr>
                            </w:pPr>
                            <w:r>
                              <w:rPr>
                                <w:rFonts w:hint="eastAsia"/>
                                <w:color w:val="FF0000"/>
                                <w:sz w:val="21"/>
                                <w:szCs w:val="20"/>
                                <w:lang w:val="en-US" w:eastAsia="zh-CN"/>
                              </w:rPr>
                              <w:t>本项目所在地</w:t>
                            </w:r>
                          </w:p>
                        </w:txbxContent>
                      </v:textbox>
                    </v:shape>
                  </w:pict>
                </mc:Fallback>
              </mc:AlternateContent>
            </w:r>
            <w:r>
              <w:rPr>
                <w:rFonts w:hint="eastAsia" w:eastAsia="宋体" w:cs="Times New Roman"/>
                <w:lang w:eastAsia="zh-CN"/>
              </w:rPr>
              <w:drawing>
                <wp:inline distT="0" distB="0" distL="114300" distR="114300">
                  <wp:extent cx="5250180" cy="2361565"/>
                  <wp:effectExtent l="0" t="0" r="7620" b="635"/>
                  <wp:docPr id="1" name="图片 1" descr="地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地图"/>
                          <pic:cNvPicPr>
                            <a:picLocks noChangeAspect="1"/>
                          </pic:cNvPicPr>
                        </pic:nvPicPr>
                        <pic:blipFill>
                          <a:blip r:embed="rId20"/>
                          <a:stretch>
                            <a:fillRect/>
                          </a:stretch>
                        </pic:blipFill>
                        <pic:spPr>
                          <a:xfrm>
                            <a:off x="0" y="0"/>
                            <a:ext cx="5250180" cy="2361565"/>
                          </a:xfrm>
                          <a:prstGeom prst="rect">
                            <a:avLst/>
                          </a:prstGeom>
                        </pic:spPr>
                      </pic:pic>
                    </a:graphicData>
                  </a:graphic>
                </wp:inline>
              </w:drawing>
            </w:r>
          </w:p>
          <w:p w14:paraId="3C8AEB44">
            <w:pPr>
              <w:pStyle w:val="11"/>
              <w:rPr>
                <w:rFonts w:cs="Times New Roman"/>
              </w:rPr>
            </w:pPr>
            <w:r>
              <w:rPr>
                <w:rFonts w:cs="Times New Roman"/>
              </w:rPr>
              <w:t xml:space="preserve">图 </w:t>
            </w:r>
            <w:r>
              <w:rPr>
                <w:rFonts w:hint="eastAsia" w:cs="Times New Roman"/>
                <w:lang w:val="en-US" w:eastAsia="zh-CN"/>
              </w:rPr>
              <w:t>1</w:t>
            </w:r>
            <w:r>
              <w:rPr>
                <w:rFonts w:cs="Times New Roman"/>
              </w:rPr>
              <w:noBreakHyphen/>
            </w:r>
            <w:r>
              <w:rPr>
                <w:rFonts w:cs="Times New Roman"/>
              </w:rPr>
              <w:fldChar w:fldCharType="begin"/>
            </w:r>
            <w:r>
              <w:rPr>
                <w:rFonts w:cs="Times New Roman"/>
              </w:rPr>
              <w:instrText xml:space="preserve"> SEQ 图 \* ARABIC \s 1 </w:instrText>
            </w:r>
            <w:r>
              <w:rPr>
                <w:rFonts w:cs="Times New Roman"/>
              </w:rPr>
              <w:fldChar w:fldCharType="separate"/>
            </w:r>
            <w:r>
              <w:rPr>
                <w:rFonts w:cs="Times New Roman"/>
              </w:rPr>
              <w:t>3</w:t>
            </w:r>
            <w:r>
              <w:rPr>
                <w:rFonts w:cs="Times New Roman"/>
              </w:rPr>
              <w:fldChar w:fldCharType="end"/>
            </w:r>
            <w:r>
              <w:rPr>
                <w:rFonts w:cs="Times New Roman"/>
              </w:rPr>
              <w:t xml:space="preserve"> 本项目与管控单元相对位置图</w:t>
            </w:r>
          </w:p>
          <w:p w14:paraId="032E38B9">
            <w:pPr>
              <w:ind w:firstLine="482"/>
              <w:rPr>
                <w:rFonts w:cs="Times New Roman"/>
                <w:b/>
              </w:rPr>
            </w:pPr>
            <w:r>
              <w:rPr>
                <w:rFonts w:cs="Times New Roman"/>
                <w:b/>
              </w:rPr>
              <w:t>（2）与巴中市及</w:t>
            </w:r>
            <w:r>
              <w:rPr>
                <w:rFonts w:hint="eastAsia" w:cs="Times New Roman"/>
                <w:b/>
              </w:rPr>
              <w:t>平昌县</w:t>
            </w:r>
            <w:r>
              <w:rPr>
                <w:rFonts w:cs="Times New Roman"/>
                <w:b/>
              </w:rPr>
              <w:t>总体生态环境管控要求符合性分析</w:t>
            </w:r>
          </w:p>
          <w:p w14:paraId="04664A15">
            <w:pPr>
              <w:ind w:firstLine="480"/>
              <w:rPr>
                <w:rFonts w:cs="Times New Roman"/>
              </w:rPr>
            </w:pPr>
            <w:r>
              <w:rPr>
                <w:rFonts w:cs="Times New Roman"/>
              </w:rPr>
              <w:t>根据《巴中市生态环境保护委员会办公室关于加强生态环境分区管控的通知》（</w:t>
            </w:r>
            <w:r>
              <w:rPr>
                <w:rFonts w:cs="Times New Roman"/>
                <w:szCs w:val="24"/>
              </w:rPr>
              <w:t>巴环委办〔2024〕3号</w:t>
            </w:r>
            <w:r>
              <w:rPr>
                <w:rFonts w:cs="Times New Roman"/>
              </w:rPr>
              <w:t>），项目与巴中市及</w:t>
            </w:r>
            <w:r>
              <w:rPr>
                <w:rFonts w:hint="eastAsia" w:cs="Times New Roman"/>
                <w:lang w:val="en-US" w:eastAsia="zh-CN"/>
              </w:rPr>
              <w:t>平昌县</w:t>
            </w:r>
            <w:r>
              <w:rPr>
                <w:rFonts w:cs="Times New Roman"/>
              </w:rPr>
              <w:t>总体生态环境管控要求符合性分析如下：</w:t>
            </w:r>
          </w:p>
          <w:p w14:paraId="1402EDF3">
            <w:pPr>
              <w:pStyle w:val="11"/>
              <w:keepNext/>
              <w:rPr>
                <w:rFonts w:cs="Times New Roman"/>
                <w:szCs w:val="21"/>
              </w:rPr>
            </w:pPr>
            <w:r>
              <w:rPr>
                <w:rFonts w:cs="Times New Roman"/>
                <w:szCs w:val="21"/>
              </w:rPr>
              <w:t>表</w:t>
            </w:r>
            <w:r>
              <w:rPr>
                <w:rFonts w:hint="eastAsia" w:cs="Times New Roman"/>
                <w:szCs w:val="21"/>
                <w:lang w:val="en-US" w:eastAsia="zh-CN"/>
              </w:rPr>
              <w:t>1</w:t>
            </w:r>
            <w:r>
              <w:rPr>
                <w:rFonts w:cs="Times New Roman"/>
                <w:szCs w:val="21"/>
              </w:rPr>
              <w:noBreakHyphen/>
            </w:r>
            <w:r>
              <w:rPr>
                <w:rFonts w:cs="Times New Roman"/>
                <w:szCs w:val="21"/>
              </w:rPr>
              <w:fldChar w:fldCharType="begin"/>
            </w:r>
            <w:r>
              <w:rPr>
                <w:rFonts w:cs="Times New Roman"/>
                <w:szCs w:val="21"/>
              </w:rPr>
              <w:instrText xml:space="preserve"> SEQ 表 \* ARABIC \s 1 </w:instrText>
            </w:r>
            <w:r>
              <w:rPr>
                <w:rFonts w:cs="Times New Roman"/>
                <w:szCs w:val="21"/>
              </w:rPr>
              <w:fldChar w:fldCharType="separate"/>
            </w:r>
            <w:r>
              <w:rPr>
                <w:rFonts w:cs="Times New Roman"/>
                <w:szCs w:val="21"/>
              </w:rPr>
              <w:t>5</w:t>
            </w:r>
            <w:r>
              <w:rPr>
                <w:rFonts w:cs="Times New Roman"/>
                <w:szCs w:val="21"/>
              </w:rPr>
              <w:fldChar w:fldCharType="end"/>
            </w:r>
            <w:r>
              <w:rPr>
                <w:rFonts w:hint="eastAsia" w:cs="Times New Roman"/>
                <w:szCs w:val="21"/>
                <w:lang w:val="en-US" w:eastAsia="zh-CN"/>
              </w:rPr>
              <w:t xml:space="preserve">  </w:t>
            </w:r>
            <w:r>
              <w:rPr>
                <w:rFonts w:cs="Times New Roman"/>
                <w:sz w:val="21"/>
                <w:szCs w:val="21"/>
              </w:rPr>
              <w:t>与巴中市及</w:t>
            </w:r>
            <w:r>
              <w:rPr>
                <w:rFonts w:hint="eastAsia" w:cs="Times New Roman"/>
                <w:sz w:val="21"/>
                <w:szCs w:val="21"/>
                <w:lang w:val="en-US" w:eastAsia="zh-CN"/>
              </w:rPr>
              <w:t>平昌县</w:t>
            </w:r>
            <w:r>
              <w:rPr>
                <w:rFonts w:cs="Times New Roman"/>
                <w:sz w:val="21"/>
                <w:szCs w:val="21"/>
              </w:rPr>
              <w:t>总体生态环境管控要求符合性分析表</w:t>
            </w:r>
          </w:p>
          <w:tbl>
            <w:tblPr>
              <w:tblStyle w:val="26"/>
              <w:tblW w:w="493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9"/>
              <w:gridCol w:w="3786"/>
              <w:gridCol w:w="2484"/>
              <w:gridCol w:w="876"/>
            </w:tblGrid>
            <w:tr w14:paraId="555A7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68" w:type="dxa"/>
                  <w:shd w:val="clear" w:color="auto" w:fill="auto"/>
                  <w:vAlign w:val="center"/>
                </w:tcPr>
                <w:p w14:paraId="392BCBF2">
                  <w:pPr>
                    <w:pStyle w:val="45"/>
                    <w:rPr>
                      <w:rFonts w:cs="Times New Roman"/>
                    </w:rPr>
                  </w:pPr>
                  <w:r>
                    <w:rPr>
                      <w:rFonts w:cs="Times New Roman"/>
                    </w:rPr>
                    <w:t>行政区划</w:t>
                  </w:r>
                </w:p>
              </w:tc>
              <w:tc>
                <w:tcPr>
                  <w:tcW w:w="4131" w:type="dxa"/>
                  <w:shd w:val="clear" w:color="auto" w:fill="auto"/>
                  <w:vAlign w:val="center"/>
                </w:tcPr>
                <w:p w14:paraId="603BD615">
                  <w:pPr>
                    <w:pStyle w:val="45"/>
                    <w:rPr>
                      <w:rFonts w:cs="Times New Roman"/>
                    </w:rPr>
                  </w:pPr>
                  <w:r>
                    <w:rPr>
                      <w:rFonts w:cs="Times New Roman"/>
                    </w:rPr>
                    <w:t>总体管控要求</w:t>
                  </w:r>
                </w:p>
              </w:tc>
              <w:tc>
                <w:tcPr>
                  <w:tcW w:w="2705" w:type="dxa"/>
                  <w:shd w:val="clear" w:color="auto" w:fill="auto"/>
                  <w:vAlign w:val="center"/>
                </w:tcPr>
                <w:p w14:paraId="7290D54B">
                  <w:pPr>
                    <w:pStyle w:val="45"/>
                    <w:rPr>
                      <w:rFonts w:cs="Times New Roman"/>
                    </w:rPr>
                  </w:pPr>
                  <w:r>
                    <w:rPr>
                      <w:rFonts w:cs="Times New Roman"/>
                    </w:rPr>
                    <w:t>本项目情况</w:t>
                  </w:r>
                </w:p>
              </w:tc>
              <w:tc>
                <w:tcPr>
                  <w:tcW w:w="945" w:type="dxa"/>
                  <w:shd w:val="clear" w:color="auto" w:fill="auto"/>
                  <w:vAlign w:val="center"/>
                </w:tcPr>
                <w:p w14:paraId="39538D24">
                  <w:pPr>
                    <w:pStyle w:val="45"/>
                    <w:rPr>
                      <w:rFonts w:cs="Times New Roman"/>
                    </w:rPr>
                  </w:pPr>
                  <w:r>
                    <w:rPr>
                      <w:rFonts w:cs="Times New Roman"/>
                    </w:rPr>
                    <w:t>符合性</w:t>
                  </w:r>
                </w:p>
              </w:tc>
            </w:tr>
            <w:tr w14:paraId="1BC08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68" w:type="dxa"/>
                  <w:vMerge w:val="restart"/>
                  <w:shd w:val="clear" w:color="auto" w:fill="auto"/>
                  <w:vAlign w:val="center"/>
                </w:tcPr>
                <w:p w14:paraId="09BA4F6D">
                  <w:pPr>
                    <w:pStyle w:val="12"/>
                    <w:rPr>
                      <w:rFonts w:cs="Times New Roman"/>
                      <w:bCs/>
                    </w:rPr>
                  </w:pPr>
                  <w:r>
                    <w:rPr>
                      <w:rFonts w:cs="Times New Roman"/>
                      <w:bCs/>
                    </w:rPr>
                    <w:t>巴中市</w:t>
                  </w:r>
                </w:p>
              </w:tc>
              <w:tc>
                <w:tcPr>
                  <w:tcW w:w="4131" w:type="dxa"/>
                  <w:shd w:val="clear" w:color="auto" w:fill="auto"/>
                  <w:vAlign w:val="center"/>
                </w:tcPr>
                <w:p w14:paraId="4B85CD02">
                  <w:pPr>
                    <w:pStyle w:val="12"/>
                    <w:rPr>
                      <w:rFonts w:cs="Times New Roman"/>
                    </w:rPr>
                  </w:pPr>
                  <w:r>
                    <w:rPr>
                      <w:rFonts w:cs="Times New Roman"/>
                    </w:rPr>
                    <w:t>1.培育和引入产业必须符合国家产业政策，严控新建</w:t>
                  </w:r>
                  <w:r>
                    <w:rPr>
                      <w:rFonts w:hint="eastAsia" w:ascii="宋体" w:hAnsi="宋体" w:eastAsia="宋体" w:cs="宋体"/>
                    </w:rPr>
                    <w:t>、扩建“两高”项</w:t>
                  </w:r>
                  <w:r>
                    <w:rPr>
                      <w:rFonts w:cs="Times New Roman"/>
                    </w:rPr>
                    <w:t>目，强化企业环境管理；</w:t>
                  </w:r>
                </w:p>
              </w:tc>
              <w:tc>
                <w:tcPr>
                  <w:tcW w:w="2705" w:type="dxa"/>
                  <w:shd w:val="clear" w:color="auto" w:fill="auto"/>
                  <w:vAlign w:val="center"/>
                </w:tcPr>
                <w:p w14:paraId="67169958">
                  <w:pPr>
                    <w:pStyle w:val="12"/>
                    <w:rPr>
                      <w:rFonts w:cs="Times New Roman"/>
                    </w:rPr>
                  </w:pPr>
                  <w:r>
                    <w:rPr>
                      <w:rFonts w:cs="Times New Roman"/>
                    </w:rPr>
                    <w:t>符合国家产业政策，不属</w:t>
                  </w:r>
                  <w:r>
                    <w:rPr>
                      <w:rFonts w:hint="eastAsia" w:ascii="宋体" w:hAnsi="宋体" w:eastAsia="宋体" w:cs="宋体"/>
                    </w:rPr>
                    <w:t>于“两高”项目</w:t>
                  </w:r>
                  <w:r>
                    <w:rPr>
                      <w:rFonts w:cs="Times New Roman"/>
                    </w:rPr>
                    <w:t>。</w:t>
                  </w:r>
                </w:p>
              </w:tc>
              <w:tc>
                <w:tcPr>
                  <w:tcW w:w="945" w:type="dxa"/>
                  <w:shd w:val="clear" w:color="auto" w:fill="auto"/>
                  <w:vAlign w:val="center"/>
                </w:tcPr>
                <w:p w14:paraId="6905BA14">
                  <w:pPr>
                    <w:pStyle w:val="12"/>
                    <w:rPr>
                      <w:rFonts w:cs="Times New Roman"/>
                      <w:bCs/>
                    </w:rPr>
                  </w:pPr>
                  <w:r>
                    <w:rPr>
                      <w:rFonts w:cs="Times New Roman"/>
                      <w:bCs/>
                    </w:rPr>
                    <w:t>相符</w:t>
                  </w:r>
                </w:p>
              </w:tc>
            </w:tr>
            <w:tr w14:paraId="7573F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68" w:type="dxa"/>
                  <w:vMerge w:val="continue"/>
                  <w:shd w:val="clear" w:color="auto" w:fill="auto"/>
                  <w:vAlign w:val="center"/>
                </w:tcPr>
                <w:p w14:paraId="450CA09A">
                  <w:pPr>
                    <w:pStyle w:val="12"/>
                    <w:rPr>
                      <w:rFonts w:cs="Times New Roman"/>
                      <w:bCs/>
                    </w:rPr>
                  </w:pPr>
                </w:p>
              </w:tc>
              <w:tc>
                <w:tcPr>
                  <w:tcW w:w="4131" w:type="dxa"/>
                  <w:shd w:val="clear" w:color="auto" w:fill="auto"/>
                  <w:vAlign w:val="center"/>
                </w:tcPr>
                <w:p w14:paraId="107A1774">
                  <w:pPr>
                    <w:pStyle w:val="12"/>
                    <w:rPr>
                      <w:rFonts w:cs="Times New Roman"/>
                    </w:rPr>
                  </w:pPr>
                  <w:r>
                    <w:rPr>
                      <w:rFonts w:cs="Times New Roman"/>
                    </w:rPr>
                    <w:t>2.强化水、大气、土壤等污染源头管控，深化环境污染治理，完善污染治理基础设施，巩固提升环境质量；</w:t>
                  </w:r>
                </w:p>
              </w:tc>
              <w:tc>
                <w:tcPr>
                  <w:tcW w:w="2705" w:type="dxa"/>
                  <w:shd w:val="clear" w:color="auto" w:fill="auto"/>
                  <w:vAlign w:val="center"/>
                </w:tcPr>
                <w:p w14:paraId="36E27902">
                  <w:pPr>
                    <w:pStyle w:val="12"/>
                    <w:rPr>
                      <w:rFonts w:cs="Times New Roman"/>
                    </w:rPr>
                  </w:pPr>
                  <w:r>
                    <w:rPr>
                      <w:rFonts w:cs="Times New Roman"/>
                    </w:rPr>
                    <w:t>针对水、大气、土壤等污染均提出了明确的措施。</w:t>
                  </w:r>
                </w:p>
              </w:tc>
              <w:tc>
                <w:tcPr>
                  <w:tcW w:w="945" w:type="dxa"/>
                  <w:shd w:val="clear" w:color="auto" w:fill="auto"/>
                  <w:vAlign w:val="center"/>
                </w:tcPr>
                <w:p w14:paraId="29492096">
                  <w:pPr>
                    <w:pStyle w:val="12"/>
                    <w:rPr>
                      <w:rFonts w:cs="Times New Roman"/>
                      <w:bCs/>
                    </w:rPr>
                  </w:pPr>
                  <w:r>
                    <w:rPr>
                      <w:rFonts w:cs="Times New Roman"/>
                      <w:bCs/>
                    </w:rPr>
                    <w:t>相符</w:t>
                  </w:r>
                </w:p>
              </w:tc>
            </w:tr>
            <w:tr w14:paraId="1D663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68" w:type="dxa"/>
                  <w:vMerge w:val="continue"/>
                  <w:shd w:val="clear" w:color="auto" w:fill="auto"/>
                  <w:vAlign w:val="center"/>
                </w:tcPr>
                <w:p w14:paraId="7C31F564">
                  <w:pPr>
                    <w:pStyle w:val="12"/>
                    <w:rPr>
                      <w:rFonts w:cs="Times New Roman"/>
                      <w:bCs/>
                    </w:rPr>
                  </w:pPr>
                </w:p>
              </w:tc>
              <w:tc>
                <w:tcPr>
                  <w:tcW w:w="4131" w:type="dxa"/>
                  <w:shd w:val="clear" w:color="auto" w:fill="auto"/>
                  <w:vAlign w:val="center"/>
                </w:tcPr>
                <w:p w14:paraId="23A00B05">
                  <w:pPr>
                    <w:pStyle w:val="12"/>
                    <w:rPr>
                      <w:rFonts w:cs="Times New Roman"/>
                    </w:rPr>
                  </w:pPr>
                  <w:r>
                    <w:rPr>
                      <w:rFonts w:cs="Times New Roman"/>
                    </w:rPr>
                    <w:t>3.合理控制并优化生态环境敏感区内的旅游开发建设活动，合理开发利用水利资源，大力发展生态康养旅游产业。严格落实自然保护地、生态保护红线、集中式饮用水水源保护区等管控要求；</w:t>
                  </w:r>
                </w:p>
              </w:tc>
              <w:tc>
                <w:tcPr>
                  <w:tcW w:w="2705" w:type="dxa"/>
                  <w:shd w:val="clear" w:color="auto" w:fill="auto"/>
                  <w:vAlign w:val="center"/>
                </w:tcPr>
                <w:p w14:paraId="4DD384E0">
                  <w:pPr>
                    <w:pStyle w:val="12"/>
                    <w:rPr>
                      <w:rFonts w:cs="Times New Roman"/>
                    </w:rPr>
                  </w:pPr>
                  <w:r>
                    <w:rPr>
                      <w:rFonts w:cs="Times New Roman"/>
                    </w:rPr>
                    <w:t>不涉及自然保护地、生态保护红线、集中式饮用水水源保护区等生态环境敏感区。</w:t>
                  </w:r>
                </w:p>
              </w:tc>
              <w:tc>
                <w:tcPr>
                  <w:tcW w:w="945" w:type="dxa"/>
                  <w:shd w:val="clear" w:color="auto" w:fill="auto"/>
                  <w:vAlign w:val="center"/>
                </w:tcPr>
                <w:p w14:paraId="469D58D8">
                  <w:pPr>
                    <w:pStyle w:val="12"/>
                    <w:rPr>
                      <w:rFonts w:cs="Times New Roman"/>
                      <w:bCs/>
                    </w:rPr>
                  </w:pPr>
                  <w:r>
                    <w:rPr>
                      <w:rFonts w:cs="Times New Roman"/>
                      <w:bCs/>
                    </w:rPr>
                    <w:t>相符</w:t>
                  </w:r>
                </w:p>
              </w:tc>
            </w:tr>
            <w:tr w14:paraId="4A83A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68" w:type="dxa"/>
                  <w:vMerge w:val="continue"/>
                  <w:shd w:val="clear" w:color="auto" w:fill="auto"/>
                  <w:vAlign w:val="center"/>
                </w:tcPr>
                <w:p w14:paraId="7657C159">
                  <w:pPr>
                    <w:pStyle w:val="12"/>
                    <w:rPr>
                      <w:rFonts w:cs="Times New Roman"/>
                      <w:bCs/>
                    </w:rPr>
                  </w:pPr>
                </w:p>
              </w:tc>
              <w:tc>
                <w:tcPr>
                  <w:tcW w:w="4131" w:type="dxa"/>
                  <w:shd w:val="clear" w:color="auto" w:fill="auto"/>
                  <w:vAlign w:val="center"/>
                </w:tcPr>
                <w:p w14:paraId="1FA16E71">
                  <w:pPr>
                    <w:pStyle w:val="12"/>
                    <w:rPr>
                      <w:rFonts w:cs="Times New Roman"/>
                    </w:rPr>
                  </w:pPr>
                  <w:r>
                    <w:rPr>
                      <w:rFonts w:cs="Times New Roman"/>
                    </w:rPr>
                    <w:t>4.加强农村环境综合治理，积极发展生态农业和有机农业，严格控制化肥、农药、农膜使用量，合理布局畜禽养殖，持续推进畜禽粪污综合利用；</w:t>
                  </w:r>
                </w:p>
              </w:tc>
              <w:tc>
                <w:tcPr>
                  <w:tcW w:w="2705" w:type="dxa"/>
                  <w:shd w:val="clear" w:color="auto" w:fill="auto"/>
                  <w:vAlign w:val="center"/>
                </w:tcPr>
                <w:p w14:paraId="0F16A950">
                  <w:pPr>
                    <w:pStyle w:val="12"/>
                    <w:rPr>
                      <w:rFonts w:cs="Times New Roman"/>
                    </w:rPr>
                  </w:pPr>
                  <w:r>
                    <w:rPr>
                      <w:rFonts w:cs="Times New Roman"/>
                    </w:rPr>
                    <w:t>不涉及畜禽养殖。</w:t>
                  </w:r>
                </w:p>
              </w:tc>
              <w:tc>
                <w:tcPr>
                  <w:tcW w:w="945" w:type="dxa"/>
                  <w:shd w:val="clear" w:color="auto" w:fill="auto"/>
                  <w:vAlign w:val="center"/>
                </w:tcPr>
                <w:p w14:paraId="736A27BE">
                  <w:pPr>
                    <w:pStyle w:val="12"/>
                    <w:rPr>
                      <w:rFonts w:cs="Times New Roman"/>
                      <w:bCs/>
                    </w:rPr>
                  </w:pPr>
                  <w:r>
                    <w:rPr>
                      <w:rFonts w:cs="Times New Roman"/>
                      <w:bCs/>
                    </w:rPr>
                    <w:t>相符</w:t>
                  </w:r>
                </w:p>
              </w:tc>
            </w:tr>
            <w:tr w14:paraId="26B47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68" w:type="dxa"/>
                  <w:vMerge w:val="continue"/>
                  <w:shd w:val="clear" w:color="auto" w:fill="auto"/>
                  <w:vAlign w:val="center"/>
                </w:tcPr>
                <w:p w14:paraId="36D2DBBB">
                  <w:pPr>
                    <w:pStyle w:val="12"/>
                    <w:rPr>
                      <w:rFonts w:cs="Times New Roman"/>
                      <w:bCs/>
                    </w:rPr>
                  </w:pPr>
                </w:p>
              </w:tc>
              <w:tc>
                <w:tcPr>
                  <w:tcW w:w="4131" w:type="dxa"/>
                  <w:shd w:val="clear" w:color="auto" w:fill="auto"/>
                  <w:vAlign w:val="center"/>
                </w:tcPr>
                <w:p w14:paraId="52447870">
                  <w:pPr>
                    <w:pStyle w:val="12"/>
                    <w:rPr>
                      <w:rFonts w:cs="Times New Roman"/>
                    </w:rPr>
                  </w:pPr>
                  <w:r>
                    <w:rPr>
                      <w:rFonts w:cs="Times New Roman"/>
                    </w:rPr>
                    <w:t>5.加强城乡集中式饮用水水源保护，确保饮用水水源安全；</w:t>
                  </w:r>
                </w:p>
              </w:tc>
              <w:tc>
                <w:tcPr>
                  <w:tcW w:w="2705" w:type="dxa"/>
                  <w:shd w:val="clear" w:color="auto" w:fill="auto"/>
                  <w:vAlign w:val="center"/>
                </w:tcPr>
                <w:p w14:paraId="27CD42EC">
                  <w:pPr>
                    <w:pStyle w:val="12"/>
                    <w:rPr>
                      <w:rFonts w:cs="Times New Roman"/>
                    </w:rPr>
                  </w:pPr>
                  <w:r>
                    <w:rPr>
                      <w:rFonts w:cs="Times New Roman"/>
                    </w:rPr>
                    <w:t>不涉及饮用水水源地。</w:t>
                  </w:r>
                </w:p>
              </w:tc>
              <w:tc>
                <w:tcPr>
                  <w:tcW w:w="945" w:type="dxa"/>
                  <w:shd w:val="clear" w:color="auto" w:fill="auto"/>
                  <w:vAlign w:val="center"/>
                </w:tcPr>
                <w:p w14:paraId="088D103C">
                  <w:pPr>
                    <w:pStyle w:val="12"/>
                    <w:rPr>
                      <w:rFonts w:cs="Times New Roman"/>
                      <w:bCs/>
                    </w:rPr>
                  </w:pPr>
                  <w:r>
                    <w:rPr>
                      <w:rFonts w:cs="Times New Roman"/>
                      <w:bCs/>
                    </w:rPr>
                    <w:t>相符</w:t>
                  </w:r>
                </w:p>
              </w:tc>
            </w:tr>
            <w:tr w14:paraId="1A77B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68" w:type="dxa"/>
                  <w:vMerge w:val="continue"/>
                  <w:shd w:val="clear" w:color="auto" w:fill="auto"/>
                  <w:vAlign w:val="center"/>
                </w:tcPr>
                <w:p w14:paraId="7590EEF2">
                  <w:pPr>
                    <w:pStyle w:val="12"/>
                    <w:rPr>
                      <w:rFonts w:cs="Times New Roman"/>
                      <w:bCs/>
                    </w:rPr>
                  </w:pPr>
                </w:p>
              </w:tc>
              <w:tc>
                <w:tcPr>
                  <w:tcW w:w="4131" w:type="dxa"/>
                  <w:shd w:val="clear" w:color="auto" w:fill="auto"/>
                  <w:vAlign w:val="center"/>
                </w:tcPr>
                <w:p w14:paraId="542BA13D">
                  <w:pPr>
                    <w:pStyle w:val="12"/>
                    <w:rPr>
                      <w:rFonts w:cs="Times New Roman"/>
                    </w:rPr>
                  </w:pPr>
                  <w:r>
                    <w:rPr>
                      <w:rFonts w:cs="Times New Roman"/>
                    </w:rPr>
                    <w:t>6.加强与相邻省、市的环境风险联防联控。</w:t>
                  </w:r>
                </w:p>
              </w:tc>
              <w:tc>
                <w:tcPr>
                  <w:tcW w:w="2705" w:type="dxa"/>
                  <w:shd w:val="clear" w:color="auto" w:fill="auto"/>
                  <w:vAlign w:val="center"/>
                </w:tcPr>
                <w:p w14:paraId="28D58D95">
                  <w:pPr>
                    <w:pStyle w:val="12"/>
                    <w:rPr>
                      <w:rFonts w:cs="Times New Roman"/>
                    </w:rPr>
                  </w:pPr>
                  <w:r>
                    <w:rPr>
                      <w:rFonts w:cs="Times New Roman"/>
                    </w:rPr>
                    <w:t>在落实了环评提出的相关要求后，环境风险可控。</w:t>
                  </w:r>
                </w:p>
              </w:tc>
              <w:tc>
                <w:tcPr>
                  <w:tcW w:w="945" w:type="dxa"/>
                  <w:shd w:val="clear" w:color="auto" w:fill="auto"/>
                  <w:vAlign w:val="center"/>
                </w:tcPr>
                <w:p w14:paraId="23A5609A">
                  <w:pPr>
                    <w:pStyle w:val="12"/>
                    <w:rPr>
                      <w:rFonts w:cs="Times New Roman"/>
                      <w:bCs/>
                    </w:rPr>
                  </w:pPr>
                  <w:r>
                    <w:rPr>
                      <w:rFonts w:cs="Times New Roman"/>
                      <w:bCs/>
                    </w:rPr>
                    <w:t>相符</w:t>
                  </w:r>
                </w:p>
              </w:tc>
            </w:tr>
            <w:tr w14:paraId="39DE3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68" w:type="dxa"/>
                  <w:vMerge w:val="restart"/>
                  <w:shd w:val="clear" w:color="auto" w:fill="auto"/>
                  <w:vAlign w:val="center"/>
                </w:tcPr>
                <w:p w14:paraId="7D5E54E2">
                  <w:pPr>
                    <w:pStyle w:val="12"/>
                    <w:rPr>
                      <w:rFonts w:cs="Times New Roman"/>
                      <w:bCs/>
                    </w:rPr>
                  </w:pPr>
                  <w:r>
                    <w:rPr>
                      <w:rFonts w:hint="eastAsia" w:cs="Times New Roman"/>
                      <w:bCs/>
                    </w:rPr>
                    <w:t>平昌县</w:t>
                  </w:r>
                </w:p>
              </w:tc>
              <w:tc>
                <w:tcPr>
                  <w:tcW w:w="4131" w:type="dxa"/>
                  <w:shd w:val="clear" w:color="auto" w:fill="auto"/>
                  <w:vAlign w:val="center"/>
                </w:tcPr>
                <w:p w14:paraId="26EB5D36">
                  <w:pPr>
                    <w:pStyle w:val="12"/>
                    <w:rPr>
                      <w:rFonts w:cs="Times New Roman"/>
                    </w:rPr>
                  </w:pPr>
                  <w:r>
                    <w:rPr>
                      <w:rFonts w:cs="Times New Roman"/>
                    </w:rPr>
                    <w:t>1.</w:t>
                  </w:r>
                  <w:r>
                    <w:rPr>
                      <w:rFonts w:hint="eastAsia" w:cs="Times New Roman"/>
                    </w:rPr>
                    <w:t>统筹生态环境保护与经济社会发展的关系，落实农产品主产区的功能定位要求；</w:t>
                  </w:r>
                </w:p>
              </w:tc>
              <w:tc>
                <w:tcPr>
                  <w:tcW w:w="2705" w:type="dxa"/>
                  <w:vMerge w:val="restart"/>
                  <w:shd w:val="clear" w:color="auto" w:fill="auto"/>
                  <w:vAlign w:val="center"/>
                </w:tcPr>
                <w:p w14:paraId="2E63A4E1">
                  <w:pPr>
                    <w:pStyle w:val="12"/>
                    <w:rPr>
                      <w:rFonts w:hint="eastAsia" w:cs="Times New Roman"/>
                      <w:bCs/>
                    </w:rPr>
                  </w:pPr>
                  <w:bookmarkStart w:id="17" w:name="OLE_LINK16"/>
                  <w:bookmarkStart w:id="18" w:name="OLE_LINK14"/>
                  <w:r>
                    <w:rPr>
                      <w:rFonts w:cs="Times New Roman"/>
                    </w:rPr>
                    <w:t>针对水、大气、土壤等污染均提出了明确的措施</w:t>
                  </w:r>
                  <w:r>
                    <w:rPr>
                      <w:rFonts w:hint="eastAsia" w:cs="Times New Roman"/>
                    </w:rPr>
                    <w:t>，不会对环境造成明显影响。</w:t>
                  </w:r>
                  <w:bookmarkEnd w:id="17"/>
                  <w:bookmarkEnd w:id="18"/>
                </w:p>
              </w:tc>
              <w:tc>
                <w:tcPr>
                  <w:tcW w:w="945" w:type="dxa"/>
                  <w:shd w:val="clear" w:color="auto" w:fill="auto"/>
                  <w:vAlign w:val="center"/>
                </w:tcPr>
                <w:p w14:paraId="3FB9116C">
                  <w:pPr>
                    <w:pStyle w:val="12"/>
                    <w:rPr>
                      <w:rFonts w:cs="Times New Roman"/>
                      <w:bCs/>
                    </w:rPr>
                  </w:pPr>
                  <w:r>
                    <w:rPr>
                      <w:rFonts w:cs="Times New Roman"/>
                      <w:bCs/>
                    </w:rPr>
                    <w:t>相符</w:t>
                  </w:r>
                </w:p>
              </w:tc>
            </w:tr>
            <w:tr w14:paraId="74860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68" w:type="dxa"/>
                  <w:vMerge w:val="continue"/>
                  <w:shd w:val="clear" w:color="auto" w:fill="auto"/>
                  <w:vAlign w:val="center"/>
                </w:tcPr>
                <w:p w14:paraId="1C600D7E">
                  <w:pPr>
                    <w:pStyle w:val="12"/>
                    <w:rPr>
                      <w:rFonts w:cs="Times New Roman"/>
                      <w:bCs/>
                    </w:rPr>
                  </w:pPr>
                </w:p>
              </w:tc>
              <w:tc>
                <w:tcPr>
                  <w:tcW w:w="4131" w:type="dxa"/>
                  <w:shd w:val="clear" w:color="auto" w:fill="auto"/>
                  <w:vAlign w:val="center"/>
                </w:tcPr>
                <w:p w14:paraId="2BF250F3">
                  <w:pPr>
                    <w:pStyle w:val="12"/>
                    <w:rPr>
                      <w:rFonts w:cs="Times New Roman"/>
                    </w:rPr>
                  </w:pPr>
                  <w:r>
                    <w:rPr>
                      <w:rFonts w:cs="Times New Roman"/>
                    </w:rPr>
                    <w:t>2.</w:t>
                  </w:r>
                  <w:r>
                    <w:rPr>
                      <w:rFonts w:hint="eastAsia" w:cs="Times New Roman"/>
                    </w:rPr>
                    <w:t>持续推进流域水生态环境修复与治理，更加注重城乡生态环境保护基础设施建设与管理；</w:t>
                  </w:r>
                </w:p>
              </w:tc>
              <w:tc>
                <w:tcPr>
                  <w:tcW w:w="2705" w:type="dxa"/>
                  <w:vMerge w:val="continue"/>
                  <w:shd w:val="clear" w:color="auto" w:fill="auto"/>
                  <w:vAlign w:val="center"/>
                </w:tcPr>
                <w:p w14:paraId="0A183A45">
                  <w:pPr>
                    <w:pStyle w:val="12"/>
                    <w:rPr>
                      <w:rFonts w:cs="Times New Roman"/>
                      <w:bCs/>
                    </w:rPr>
                  </w:pPr>
                </w:p>
              </w:tc>
              <w:tc>
                <w:tcPr>
                  <w:tcW w:w="945" w:type="dxa"/>
                  <w:shd w:val="clear" w:color="auto" w:fill="auto"/>
                  <w:vAlign w:val="center"/>
                </w:tcPr>
                <w:p w14:paraId="5E802130">
                  <w:pPr>
                    <w:pStyle w:val="12"/>
                    <w:rPr>
                      <w:rFonts w:cs="Times New Roman"/>
                      <w:bCs/>
                    </w:rPr>
                  </w:pPr>
                  <w:r>
                    <w:rPr>
                      <w:rFonts w:cs="Times New Roman"/>
                      <w:bCs/>
                    </w:rPr>
                    <w:t>相符</w:t>
                  </w:r>
                </w:p>
              </w:tc>
            </w:tr>
            <w:tr w14:paraId="68109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68" w:type="dxa"/>
                  <w:vMerge w:val="continue"/>
                  <w:shd w:val="clear" w:color="auto" w:fill="auto"/>
                  <w:vAlign w:val="center"/>
                </w:tcPr>
                <w:p w14:paraId="55403A3B">
                  <w:pPr>
                    <w:pStyle w:val="12"/>
                    <w:rPr>
                      <w:rFonts w:cs="Times New Roman"/>
                      <w:bCs/>
                    </w:rPr>
                  </w:pPr>
                </w:p>
              </w:tc>
              <w:tc>
                <w:tcPr>
                  <w:tcW w:w="4131" w:type="dxa"/>
                  <w:shd w:val="clear" w:color="auto" w:fill="auto"/>
                  <w:vAlign w:val="center"/>
                </w:tcPr>
                <w:p w14:paraId="1C06CEF7">
                  <w:pPr>
                    <w:pStyle w:val="12"/>
                    <w:rPr>
                      <w:rFonts w:cs="Times New Roman"/>
                    </w:rPr>
                  </w:pPr>
                  <w:r>
                    <w:rPr>
                      <w:rFonts w:cs="Times New Roman"/>
                    </w:rPr>
                    <w:t>3.</w:t>
                  </w:r>
                  <w:r>
                    <w:rPr>
                      <w:rFonts w:hint="eastAsia" w:cs="Times New Roman"/>
                    </w:rPr>
                    <w:t>注重生态种养业发展，减少农药、农膜、化肥使用量，更加强化畜禽粪污综合利用；</w:t>
                  </w:r>
                </w:p>
              </w:tc>
              <w:tc>
                <w:tcPr>
                  <w:tcW w:w="2705" w:type="dxa"/>
                  <w:shd w:val="clear" w:color="auto" w:fill="auto"/>
                  <w:vAlign w:val="center"/>
                </w:tcPr>
                <w:p w14:paraId="4C3E91ED">
                  <w:pPr>
                    <w:pStyle w:val="12"/>
                    <w:rPr>
                      <w:rFonts w:cs="Times New Roman"/>
                      <w:bCs/>
                    </w:rPr>
                  </w:pPr>
                  <w:r>
                    <w:rPr>
                      <w:rFonts w:hint="eastAsia" w:cs="Times New Roman"/>
                      <w:bCs/>
                    </w:rPr>
                    <w:t>不涉及种养业。</w:t>
                  </w:r>
                </w:p>
              </w:tc>
              <w:tc>
                <w:tcPr>
                  <w:tcW w:w="945" w:type="dxa"/>
                  <w:shd w:val="clear" w:color="auto" w:fill="auto"/>
                  <w:vAlign w:val="center"/>
                </w:tcPr>
                <w:p w14:paraId="177113C8">
                  <w:pPr>
                    <w:pStyle w:val="12"/>
                    <w:rPr>
                      <w:rFonts w:cs="Times New Roman"/>
                      <w:bCs/>
                    </w:rPr>
                  </w:pPr>
                  <w:r>
                    <w:rPr>
                      <w:rFonts w:cs="Times New Roman"/>
                      <w:bCs/>
                    </w:rPr>
                    <w:t>相符</w:t>
                  </w:r>
                </w:p>
              </w:tc>
            </w:tr>
            <w:tr w14:paraId="7900A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68" w:type="dxa"/>
                  <w:vMerge w:val="continue"/>
                  <w:shd w:val="clear" w:color="auto" w:fill="auto"/>
                  <w:vAlign w:val="center"/>
                </w:tcPr>
                <w:p w14:paraId="602E2268">
                  <w:pPr>
                    <w:pStyle w:val="12"/>
                    <w:rPr>
                      <w:rFonts w:cs="Times New Roman"/>
                      <w:bCs/>
                    </w:rPr>
                  </w:pPr>
                </w:p>
              </w:tc>
              <w:tc>
                <w:tcPr>
                  <w:tcW w:w="4131" w:type="dxa"/>
                  <w:shd w:val="clear" w:color="auto" w:fill="auto"/>
                  <w:vAlign w:val="center"/>
                </w:tcPr>
                <w:p w14:paraId="64EAEA36">
                  <w:pPr>
                    <w:pStyle w:val="12"/>
                    <w:rPr>
                      <w:rFonts w:cs="Times New Roman"/>
                    </w:rPr>
                  </w:pPr>
                  <w:r>
                    <w:rPr>
                      <w:rFonts w:cs="Times New Roman"/>
                    </w:rPr>
                    <w:t>4.</w:t>
                  </w:r>
                  <w:r>
                    <w:rPr>
                      <w:rFonts w:hint="eastAsia" w:cs="Times New Roman"/>
                    </w:rPr>
                    <w:t>严格环境准入条件，加强工业企业污染防治；</w:t>
                  </w:r>
                </w:p>
              </w:tc>
              <w:tc>
                <w:tcPr>
                  <w:tcW w:w="2705" w:type="dxa"/>
                  <w:shd w:val="clear" w:color="auto" w:fill="auto"/>
                  <w:vAlign w:val="center"/>
                </w:tcPr>
                <w:p w14:paraId="2328122E">
                  <w:pPr>
                    <w:pStyle w:val="12"/>
                    <w:rPr>
                      <w:rFonts w:cs="Times New Roman"/>
                      <w:bCs/>
                    </w:rPr>
                  </w:pPr>
                  <w:r>
                    <w:rPr>
                      <w:rFonts w:cs="Times New Roman"/>
                    </w:rPr>
                    <w:t>针对水、大气、土壤等污染均提出了明确的措施</w:t>
                  </w:r>
                  <w:r>
                    <w:rPr>
                      <w:rFonts w:hint="eastAsia" w:cs="Times New Roman"/>
                    </w:rPr>
                    <w:t>，不会对环境造成明显影响。</w:t>
                  </w:r>
                </w:p>
              </w:tc>
              <w:tc>
                <w:tcPr>
                  <w:tcW w:w="945" w:type="dxa"/>
                  <w:shd w:val="clear" w:color="auto" w:fill="auto"/>
                  <w:vAlign w:val="center"/>
                </w:tcPr>
                <w:p w14:paraId="534E2C27">
                  <w:pPr>
                    <w:pStyle w:val="12"/>
                    <w:rPr>
                      <w:rFonts w:cs="Times New Roman"/>
                      <w:bCs/>
                    </w:rPr>
                  </w:pPr>
                  <w:r>
                    <w:rPr>
                      <w:rFonts w:cs="Times New Roman"/>
                      <w:bCs/>
                    </w:rPr>
                    <w:t>符合</w:t>
                  </w:r>
                </w:p>
              </w:tc>
            </w:tr>
            <w:tr w14:paraId="458BD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68" w:type="dxa"/>
                  <w:vMerge w:val="continue"/>
                  <w:shd w:val="clear" w:color="auto" w:fill="auto"/>
                  <w:vAlign w:val="center"/>
                </w:tcPr>
                <w:p w14:paraId="29CFD805">
                  <w:pPr>
                    <w:pStyle w:val="12"/>
                    <w:rPr>
                      <w:rFonts w:cs="Times New Roman"/>
                      <w:bCs/>
                    </w:rPr>
                  </w:pPr>
                </w:p>
              </w:tc>
              <w:tc>
                <w:tcPr>
                  <w:tcW w:w="4131" w:type="dxa"/>
                  <w:shd w:val="clear" w:color="auto" w:fill="auto"/>
                  <w:vAlign w:val="center"/>
                </w:tcPr>
                <w:p w14:paraId="259F11A8">
                  <w:pPr>
                    <w:pStyle w:val="12"/>
                    <w:rPr>
                      <w:rFonts w:cs="Times New Roman"/>
                    </w:rPr>
                  </w:pPr>
                  <w:r>
                    <w:rPr>
                      <w:rFonts w:cs="Times New Roman"/>
                    </w:rPr>
                    <w:t>5.</w:t>
                  </w:r>
                  <w:r>
                    <w:rPr>
                      <w:rFonts w:hint="eastAsia" w:cs="Times New Roman"/>
                    </w:rPr>
                    <w:t>鼓励发展绿色农产品园区建设。</w:t>
                  </w:r>
                </w:p>
              </w:tc>
              <w:tc>
                <w:tcPr>
                  <w:tcW w:w="2705" w:type="dxa"/>
                  <w:shd w:val="clear" w:color="auto" w:fill="auto"/>
                  <w:vAlign w:val="center"/>
                </w:tcPr>
                <w:p w14:paraId="62752BB4">
                  <w:pPr>
                    <w:pStyle w:val="12"/>
                    <w:rPr>
                      <w:rFonts w:cs="Times New Roman"/>
                      <w:bCs/>
                    </w:rPr>
                  </w:pPr>
                  <w:r>
                    <w:rPr>
                      <w:rFonts w:hint="eastAsia" w:cs="Times New Roman"/>
                      <w:bCs/>
                    </w:rPr>
                    <w:t>不涉及农产品园区</w:t>
                  </w:r>
                  <w:r>
                    <w:rPr>
                      <w:rFonts w:cs="Times New Roman"/>
                      <w:bCs/>
                    </w:rPr>
                    <w:t>。</w:t>
                  </w:r>
                </w:p>
              </w:tc>
              <w:tc>
                <w:tcPr>
                  <w:tcW w:w="945" w:type="dxa"/>
                  <w:shd w:val="clear" w:color="auto" w:fill="auto"/>
                  <w:vAlign w:val="center"/>
                </w:tcPr>
                <w:p w14:paraId="441A71C8">
                  <w:pPr>
                    <w:pStyle w:val="12"/>
                    <w:rPr>
                      <w:rFonts w:cs="Times New Roman"/>
                      <w:bCs/>
                    </w:rPr>
                  </w:pPr>
                  <w:r>
                    <w:rPr>
                      <w:rFonts w:cs="Times New Roman"/>
                      <w:bCs/>
                    </w:rPr>
                    <w:t>符合</w:t>
                  </w:r>
                </w:p>
              </w:tc>
            </w:tr>
          </w:tbl>
          <w:p w14:paraId="2FA021BB">
            <w:pPr>
              <w:ind w:firstLine="480"/>
              <w:rPr>
                <w:rFonts w:cs="Times New Roman"/>
              </w:rPr>
            </w:pPr>
            <w:r>
              <w:rPr>
                <w:rFonts w:cs="Times New Roman"/>
              </w:rPr>
              <w:t>综上，本项目符合巴中市及</w:t>
            </w:r>
            <w:r>
              <w:rPr>
                <w:rFonts w:hint="eastAsia" w:cs="Times New Roman"/>
              </w:rPr>
              <w:t>平昌县</w:t>
            </w:r>
            <w:r>
              <w:rPr>
                <w:rFonts w:cs="Times New Roman"/>
              </w:rPr>
              <w:t>总体生态环境管控要求。</w:t>
            </w:r>
          </w:p>
          <w:p w14:paraId="046EE9D4">
            <w:pPr>
              <w:ind w:firstLine="480"/>
              <w:rPr>
                <w:rFonts w:cs="Times New Roman"/>
              </w:rPr>
            </w:pPr>
          </w:p>
          <w:p w14:paraId="7694302B">
            <w:pPr>
              <w:ind w:firstLine="480"/>
              <w:rPr>
                <w:rFonts w:cs="Times New Roman"/>
              </w:rPr>
            </w:pPr>
          </w:p>
          <w:p w14:paraId="0492A153">
            <w:pPr>
              <w:ind w:firstLine="480"/>
              <w:rPr>
                <w:rFonts w:cs="Times New Roman"/>
              </w:rPr>
            </w:pPr>
          </w:p>
          <w:p w14:paraId="64A58C77">
            <w:pPr>
              <w:ind w:firstLine="480"/>
              <w:rPr>
                <w:rFonts w:cs="Times New Roman"/>
              </w:rPr>
            </w:pPr>
          </w:p>
          <w:p w14:paraId="64177964">
            <w:pPr>
              <w:ind w:left="0" w:leftChars="0" w:firstLine="0" w:firstLineChars="0"/>
              <w:rPr>
                <w:rFonts w:hint="eastAsia" w:eastAsia="宋体" w:cs="Times New Roman"/>
                <w:lang w:eastAsia="zh-CN"/>
              </w:rPr>
            </w:pPr>
          </w:p>
          <w:p w14:paraId="56864165">
            <w:pPr>
              <w:ind w:firstLine="480"/>
              <w:rPr>
                <w:rFonts w:cs="Times New Roman"/>
              </w:rPr>
            </w:pPr>
          </w:p>
          <w:p w14:paraId="39DEDFD1">
            <w:pPr>
              <w:ind w:firstLine="480"/>
              <w:rPr>
                <w:rFonts w:cs="Times New Roman"/>
              </w:rPr>
            </w:pPr>
          </w:p>
          <w:p w14:paraId="143D3476">
            <w:pPr>
              <w:ind w:firstLine="480"/>
              <w:rPr>
                <w:rFonts w:cs="Times New Roman"/>
              </w:rPr>
            </w:pPr>
          </w:p>
          <w:p w14:paraId="45CB63DF">
            <w:pPr>
              <w:pStyle w:val="24"/>
              <w:jc w:val="both"/>
              <w:rPr>
                <w:rFonts w:cs="Times New Roman"/>
              </w:rPr>
            </w:pPr>
          </w:p>
        </w:tc>
      </w:tr>
    </w:tbl>
    <w:p w14:paraId="1F9AC45E">
      <w:pPr>
        <w:ind w:firstLine="0" w:firstLineChars="0"/>
        <w:rPr>
          <w:rFonts w:cs="Times New Roman"/>
        </w:rPr>
        <w:sectPr>
          <w:footerReference r:id="rId11" w:type="default"/>
          <w:pgSz w:w="11906" w:h="16838"/>
          <w:pgMar w:top="1440" w:right="1080" w:bottom="1440" w:left="1080" w:header="851" w:footer="567" w:gutter="0"/>
          <w:pgNumType w:start="1"/>
          <w:cols w:space="425" w:num="1"/>
          <w:docGrid w:type="lines" w:linePitch="326" w:charSpace="0"/>
        </w:sectPr>
      </w:pPr>
    </w:p>
    <w:tbl>
      <w:tblPr>
        <w:tblStyle w:val="26"/>
        <w:tblW w:w="4999" w:type="pct"/>
        <w:tblInd w:w="0" w:type="dxa"/>
        <w:tblLayout w:type="fixed"/>
        <w:tblCellMar>
          <w:top w:w="0" w:type="dxa"/>
          <w:left w:w="108" w:type="dxa"/>
          <w:bottom w:w="0" w:type="dxa"/>
          <w:right w:w="108" w:type="dxa"/>
        </w:tblCellMar>
      </w:tblPr>
      <w:tblGrid>
        <w:gridCol w:w="678"/>
        <w:gridCol w:w="12773"/>
      </w:tblGrid>
      <w:tr w14:paraId="01F6C60A">
        <w:tblPrEx>
          <w:tblCellMar>
            <w:top w:w="0" w:type="dxa"/>
            <w:left w:w="108" w:type="dxa"/>
            <w:bottom w:w="0" w:type="dxa"/>
            <w:right w:w="108" w:type="dxa"/>
          </w:tblCellMar>
        </w:tblPrEx>
        <w:trPr>
          <w:trHeight w:val="9282" w:hRule="atLeast"/>
        </w:trPr>
        <w:tc>
          <w:tcPr>
            <w:tcW w:w="252" w:type="pct"/>
            <w:tcBorders>
              <w:top w:val="single" w:color="auto" w:sz="4" w:space="0"/>
              <w:left w:val="single" w:color="auto" w:sz="4" w:space="0"/>
              <w:bottom w:val="single" w:color="auto" w:sz="4" w:space="0"/>
              <w:right w:val="single" w:color="auto" w:sz="4" w:space="0"/>
            </w:tcBorders>
            <w:vAlign w:val="center"/>
          </w:tcPr>
          <w:p w14:paraId="09175181">
            <w:pPr>
              <w:pStyle w:val="24"/>
              <w:rPr>
                <w:rFonts w:cs="Times New Roman"/>
              </w:rPr>
            </w:pPr>
            <w:r>
              <w:rPr>
                <w:rFonts w:cs="Times New Roman"/>
              </w:rPr>
              <w:t>其他符合性分析</w:t>
            </w:r>
          </w:p>
        </w:tc>
        <w:tc>
          <w:tcPr>
            <w:tcW w:w="4747" w:type="pct"/>
            <w:tcBorders>
              <w:top w:val="single" w:color="auto" w:sz="4" w:space="0"/>
              <w:left w:val="single" w:color="auto" w:sz="4" w:space="0"/>
              <w:bottom w:val="single" w:color="auto" w:sz="4" w:space="0"/>
              <w:right w:val="single" w:color="auto" w:sz="4" w:space="0"/>
            </w:tcBorders>
            <w:vAlign w:val="center"/>
          </w:tcPr>
          <w:p w14:paraId="25F3CA78">
            <w:pPr>
              <w:ind w:firstLine="482"/>
              <w:rPr>
                <w:rFonts w:cs="Times New Roman"/>
                <w:b/>
              </w:rPr>
            </w:pPr>
            <w:r>
              <w:rPr>
                <w:rFonts w:cs="Times New Roman"/>
                <w:b/>
              </w:rPr>
              <w:t>（3）与生态准入清单符合性分析</w:t>
            </w:r>
          </w:p>
          <w:p w14:paraId="047548CB">
            <w:pPr>
              <w:ind w:firstLine="480"/>
              <w:rPr>
                <w:rFonts w:cs="Times New Roman"/>
                <w:bCs/>
              </w:rPr>
            </w:pPr>
            <w:r>
              <w:rPr>
                <w:rFonts w:cs="Times New Roman"/>
                <w:bCs/>
              </w:rPr>
              <w:t>本项目与生态环境准入清单符合性分析如下：</w:t>
            </w:r>
          </w:p>
          <w:p w14:paraId="792DF498">
            <w:pPr>
              <w:pStyle w:val="11"/>
              <w:keepNext/>
              <w:rPr>
                <w:rFonts w:cs="Times New Roman"/>
              </w:rPr>
            </w:pPr>
            <w:r>
              <w:rPr>
                <w:rFonts w:cs="Times New Roman"/>
              </w:rPr>
              <w:t>表</w:t>
            </w:r>
            <w:r>
              <w:rPr>
                <w:rFonts w:hint="eastAsia" w:cs="Times New Roman"/>
                <w:lang w:val="en-US" w:eastAsia="zh-CN"/>
              </w:rPr>
              <w:t>1</w:t>
            </w:r>
            <w:r>
              <w:rPr>
                <w:rFonts w:cs="Times New Roman"/>
              </w:rPr>
              <w:noBreakHyphen/>
            </w:r>
            <w:r>
              <w:rPr>
                <w:rFonts w:cs="Times New Roman"/>
              </w:rPr>
              <w:fldChar w:fldCharType="begin"/>
            </w:r>
            <w:r>
              <w:rPr>
                <w:rFonts w:cs="Times New Roman"/>
              </w:rPr>
              <w:instrText xml:space="preserve"> SEQ 表 \* ARABIC \s 1 </w:instrText>
            </w:r>
            <w:r>
              <w:rPr>
                <w:rFonts w:cs="Times New Roman"/>
              </w:rPr>
              <w:fldChar w:fldCharType="separate"/>
            </w:r>
            <w:r>
              <w:rPr>
                <w:rFonts w:cs="Times New Roman"/>
              </w:rPr>
              <w:t>6</w:t>
            </w:r>
            <w:r>
              <w:rPr>
                <w:rFonts w:cs="Times New Roman"/>
              </w:rPr>
              <w:fldChar w:fldCharType="end"/>
            </w:r>
            <w:r>
              <w:rPr>
                <w:rFonts w:cs="Times New Roman"/>
              </w:rPr>
              <w:t xml:space="preserve"> 与生态准入清单符合性对照表</w:t>
            </w:r>
          </w:p>
          <w:tbl>
            <w:tblPr>
              <w:tblStyle w:val="26"/>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51"/>
              <w:gridCol w:w="652"/>
              <w:gridCol w:w="592"/>
              <w:gridCol w:w="1036"/>
              <w:gridCol w:w="6083"/>
              <w:gridCol w:w="1814"/>
              <w:gridCol w:w="714"/>
            </w:tblGrid>
            <w:tr w14:paraId="6D67D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1154" w:type="pct"/>
                  <w:gridSpan w:val="3"/>
                  <w:vAlign w:val="center"/>
                </w:tcPr>
                <w:p w14:paraId="3283506C">
                  <w:pPr>
                    <w:pStyle w:val="45"/>
                    <w:rPr>
                      <w:rFonts w:cs="Times New Roman"/>
                    </w:rPr>
                  </w:pPr>
                  <w:r>
                    <w:rPr>
                      <w:rFonts w:cs="Times New Roman"/>
                    </w:rPr>
                    <w:t>类别</w:t>
                  </w:r>
                </w:p>
              </w:tc>
              <w:tc>
                <w:tcPr>
                  <w:tcW w:w="2837" w:type="pct"/>
                  <w:gridSpan w:val="2"/>
                  <w:vAlign w:val="center"/>
                </w:tcPr>
                <w:p w14:paraId="72B118B2">
                  <w:pPr>
                    <w:pStyle w:val="45"/>
                    <w:rPr>
                      <w:rFonts w:cs="Times New Roman"/>
                    </w:rPr>
                  </w:pPr>
                  <w:r>
                    <w:rPr>
                      <w:rFonts w:cs="Times New Roman"/>
                    </w:rPr>
                    <w:t>管控要求</w:t>
                  </w:r>
                </w:p>
              </w:tc>
              <w:tc>
                <w:tcPr>
                  <w:tcW w:w="723" w:type="pct"/>
                  <w:vAlign w:val="center"/>
                </w:tcPr>
                <w:p w14:paraId="0F0D6039">
                  <w:pPr>
                    <w:pStyle w:val="45"/>
                    <w:rPr>
                      <w:rFonts w:cs="Times New Roman"/>
                    </w:rPr>
                  </w:pPr>
                  <w:r>
                    <w:rPr>
                      <w:rFonts w:cs="Times New Roman"/>
                    </w:rPr>
                    <w:t>本项目情况</w:t>
                  </w:r>
                </w:p>
              </w:tc>
              <w:tc>
                <w:tcPr>
                  <w:tcW w:w="284" w:type="pct"/>
                  <w:vAlign w:val="center"/>
                </w:tcPr>
                <w:p w14:paraId="0F31326B">
                  <w:pPr>
                    <w:pStyle w:val="45"/>
                    <w:rPr>
                      <w:rFonts w:cs="Times New Roman"/>
                    </w:rPr>
                  </w:pPr>
                  <w:r>
                    <w:rPr>
                      <w:rFonts w:cs="Times New Roman"/>
                    </w:rPr>
                    <w:t>符合性</w:t>
                  </w:r>
                </w:p>
              </w:tc>
            </w:tr>
            <w:tr w14:paraId="1B15C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658" w:type="pct"/>
                  <w:vMerge w:val="restart"/>
                  <w:vAlign w:val="center"/>
                </w:tcPr>
                <w:p w14:paraId="171E084E">
                  <w:pPr>
                    <w:pStyle w:val="12"/>
                    <w:wordWrap w:val="0"/>
                    <w:rPr>
                      <w:rFonts w:hint="default" w:eastAsia="宋体" w:cs="Times New Roman"/>
                      <w:lang w:val="en-US" w:eastAsia="zh-CN"/>
                    </w:rPr>
                  </w:pPr>
                  <w:r>
                    <w:rPr>
                      <w:rFonts w:hint="eastAsia" w:cs="Times New Roman"/>
                      <w:lang w:val="en-US" w:eastAsia="zh-CN"/>
                    </w:rPr>
                    <w:t>工业重点管控单元</w:t>
                  </w:r>
                </w:p>
              </w:tc>
              <w:tc>
                <w:tcPr>
                  <w:tcW w:w="260" w:type="pct"/>
                  <w:vMerge w:val="restart"/>
                  <w:vAlign w:val="center"/>
                </w:tcPr>
                <w:p w14:paraId="76316223">
                  <w:pPr>
                    <w:pStyle w:val="12"/>
                    <w:rPr>
                      <w:rFonts w:cs="Times New Roman"/>
                    </w:rPr>
                  </w:pPr>
                  <w:r>
                    <w:rPr>
                      <w:rFonts w:hint="eastAsia" w:cs="Times New Roman"/>
                      <w:lang w:val="en-US" w:eastAsia="zh-CN"/>
                    </w:rPr>
                    <w:t>巴中市</w:t>
                  </w:r>
                  <w:r>
                    <w:rPr>
                      <w:rFonts w:cs="Times New Roman"/>
                    </w:rPr>
                    <w:t>管控要求</w:t>
                  </w:r>
                </w:p>
              </w:tc>
              <w:tc>
                <w:tcPr>
                  <w:tcW w:w="236" w:type="pct"/>
                  <w:vMerge w:val="restart"/>
                  <w:vAlign w:val="center"/>
                </w:tcPr>
                <w:p w14:paraId="5F8ED5B2">
                  <w:pPr>
                    <w:pStyle w:val="12"/>
                    <w:rPr>
                      <w:rFonts w:cs="Times New Roman"/>
                    </w:rPr>
                  </w:pPr>
                  <w:r>
                    <w:rPr>
                      <w:rFonts w:cs="Times New Roman"/>
                    </w:rPr>
                    <w:t>空间布局约束</w:t>
                  </w:r>
                </w:p>
              </w:tc>
              <w:tc>
                <w:tcPr>
                  <w:tcW w:w="413" w:type="pct"/>
                  <w:vAlign w:val="center"/>
                </w:tcPr>
                <w:p w14:paraId="18176B86">
                  <w:pPr>
                    <w:pStyle w:val="12"/>
                    <w:rPr>
                      <w:rFonts w:cs="Times New Roman"/>
                    </w:rPr>
                  </w:pPr>
                  <w:r>
                    <w:rPr>
                      <w:rFonts w:cs="Times New Roman"/>
                    </w:rPr>
                    <w:t>禁止开发建设活动的要求</w:t>
                  </w:r>
                </w:p>
              </w:tc>
              <w:tc>
                <w:tcPr>
                  <w:tcW w:w="2423" w:type="pct"/>
                  <w:vAlign w:val="center"/>
                </w:tcPr>
                <w:p w14:paraId="39FA83CB">
                  <w:pPr>
                    <w:pStyle w:val="12"/>
                    <w:jc w:val="left"/>
                    <w:rPr>
                      <w:rFonts w:cs="Times New Roman"/>
                    </w:rPr>
                  </w:pPr>
                  <w:r>
                    <w:rPr>
                      <w:rFonts w:cs="Times New Roman"/>
                    </w:rPr>
                    <w:t>（1）禁止在长江干支流、重要湖泊岸线一公里范围内新建、扩建化工园区和化工项目。禁止在长江干流岸线三公里范围内和重要支流岸线一公里范围内新建、改建、扩建尾矿库（以提升安全、生态环境保护水平为目的的改建除外。</w:t>
                  </w:r>
                </w:p>
                <w:p w14:paraId="3918BEB0">
                  <w:pPr>
                    <w:pStyle w:val="12"/>
                    <w:jc w:val="left"/>
                    <w:rPr>
                      <w:rFonts w:cs="Times New Roman"/>
                    </w:rPr>
                  </w:pPr>
                  <w:r>
                    <w:rPr>
                      <w:rFonts w:cs="Times New Roman"/>
                    </w:rPr>
                    <w:t>（2）禁止在长江流域河湖管理范围内倾倒、填埋、堆放、弃置、处理固体废物。</w:t>
                  </w:r>
                </w:p>
                <w:p w14:paraId="152ACF54">
                  <w:pPr>
                    <w:pStyle w:val="12"/>
                    <w:jc w:val="left"/>
                    <w:rPr>
                      <w:rFonts w:cs="Times New Roman"/>
                    </w:rPr>
                  </w:pPr>
                  <w:r>
                    <w:rPr>
                      <w:rFonts w:cs="Times New Roman"/>
                    </w:rPr>
                    <w:t>（3）在禁燃区内禁止销售、燃用高污染燃料。禁燃区内禁止新建、扩建燃用高污染燃料的设施。</w:t>
                  </w:r>
                </w:p>
                <w:p w14:paraId="05A8E69C">
                  <w:pPr>
                    <w:pStyle w:val="12"/>
                    <w:jc w:val="left"/>
                    <w:rPr>
                      <w:rFonts w:cs="Times New Roman"/>
                    </w:rPr>
                  </w:pPr>
                  <w:r>
                    <w:rPr>
                      <w:rFonts w:cs="Times New Roman"/>
                    </w:rPr>
                    <w:t>（4）未通过认定的化工园区，不得新建、改扩建化工项目（安全、环保、节能和智能化改造项目除外），按属地原则依法依规妥善做好未通过认定化工园区及园内企业的转型、关闭、处置及监管工作。</w:t>
                  </w:r>
                </w:p>
              </w:tc>
              <w:tc>
                <w:tcPr>
                  <w:tcW w:w="723" w:type="pct"/>
                  <w:vAlign w:val="center"/>
                </w:tcPr>
                <w:p w14:paraId="3BA39316">
                  <w:pPr>
                    <w:pStyle w:val="12"/>
                    <w:rPr>
                      <w:rFonts w:cs="Times New Roman"/>
                    </w:rPr>
                  </w:pPr>
                  <w:r>
                    <w:rPr>
                      <w:rFonts w:cs="Times New Roman"/>
                    </w:rPr>
                    <w:t>本项目不属于化工项目，不在河湖管理范围内倾倒、填埋、堆放、弃置、处理固体废物，不使用高污染燃料</w:t>
                  </w:r>
                  <w:r>
                    <w:rPr>
                      <w:rFonts w:hint="eastAsia" w:cs="Times New Roman"/>
                      <w:lang w:eastAsia="zh-CN"/>
                    </w:rPr>
                    <w:t>，</w:t>
                  </w:r>
                  <w:r>
                    <w:rPr>
                      <w:rFonts w:hint="eastAsia" w:cs="Times New Roman"/>
                      <w:lang w:val="en-US" w:eastAsia="zh-CN"/>
                    </w:rPr>
                    <w:t>不属于化工项目</w:t>
                  </w:r>
                  <w:r>
                    <w:rPr>
                      <w:rFonts w:cs="Times New Roman"/>
                    </w:rPr>
                    <w:t>。</w:t>
                  </w:r>
                </w:p>
              </w:tc>
              <w:tc>
                <w:tcPr>
                  <w:tcW w:w="284" w:type="pct"/>
                  <w:vAlign w:val="center"/>
                </w:tcPr>
                <w:p w14:paraId="0D4E9779">
                  <w:pPr>
                    <w:pStyle w:val="12"/>
                    <w:rPr>
                      <w:rFonts w:cs="Times New Roman"/>
                    </w:rPr>
                  </w:pPr>
                  <w:r>
                    <w:rPr>
                      <w:rFonts w:cs="Times New Roman"/>
                    </w:rPr>
                    <w:t>符合</w:t>
                  </w:r>
                </w:p>
              </w:tc>
            </w:tr>
            <w:tr w14:paraId="4AA8B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658" w:type="pct"/>
                  <w:vMerge w:val="continue"/>
                  <w:vAlign w:val="center"/>
                </w:tcPr>
                <w:p w14:paraId="57D985D2">
                  <w:pPr>
                    <w:pStyle w:val="12"/>
                    <w:rPr>
                      <w:rFonts w:cs="Times New Roman"/>
                    </w:rPr>
                  </w:pPr>
                </w:p>
              </w:tc>
              <w:tc>
                <w:tcPr>
                  <w:tcW w:w="260" w:type="pct"/>
                  <w:vMerge w:val="continue"/>
                  <w:vAlign w:val="center"/>
                </w:tcPr>
                <w:p w14:paraId="4EEFBBEE">
                  <w:pPr>
                    <w:pStyle w:val="12"/>
                    <w:rPr>
                      <w:rFonts w:cs="Times New Roman"/>
                    </w:rPr>
                  </w:pPr>
                </w:p>
              </w:tc>
              <w:tc>
                <w:tcPr>
                  <w:tcW w:w="236" w:type="pct"/>
                  <w:vMerge w:val="continue"/>
                  <w:vAlign w:val="center"/>
                </w:tcPr>
                <w:p w14:paraId="5E096FDA">
                  <w:pPr>
                    <w:pStyle w:val="12"/>
                    <w:rPr>
                      <w:rFonts w:cs="Times New Roman"/>
                    </w:rPr>
                  </w:pPr>
                </w:p>
              </w:tc>
              <w:tc>
                <w:tcPr>
                  <w:tcW w:w="413" w:type="pct"/>
                  <w:vAlign w:val="center"/>
                </w:tcPr>
                <w:p w14:paraId="60719425">
                  <w:pPr>
                    <w:pStyle w:val="12"/>
                    <w:rPr>
                      <w:rFonts w:cs="Times New Roman"/>
                    </w:rPr>
                  </w:pPr>
                  <w:r>
                    <w:rPr>
                      <w:rFonts w:cs="Times New Roman"/>
                    </w:rPr>
                    <w:t>限制开发建设活动的要求</w:t>
                  </w:r>
                </w:p>
              </w:tc>
              <w:tc>
                <w:tcPr>
                  <w:tcW w:w="2423" w:type="pct"/>
                  <w:vAlign w:val="center"/>
                </w:tcPr>
                <w:p w14:paraId="5DA793D5">
                  <w:pPr>
                    <w:pStyle w:val="12"/>
                    <w:jc w:val="left"/>
                    <w:rPr>
                      <w:rFonts w:cs="Times New Roman"/>
                    </w:rPr>
                  </w:pPr>
                  <w:r>
                    <w:rPr>
                      <w:rFonts w:cs="Times New Roman"/>
                    </w:rPr>
                    <w:t>（1）继续化解过剩产能，严禁钢铁、水泥、电解铝、平板玻璃等行业新增产能，对确有必要新建的必须实施等量或减量置换。</w:t>
                  </w:r>
                </w:p>
                <w:p w14:paraId="2B14E898">
                  <w:pPr>
                    <w:pStyle w:val="12"/>
                    <w:jc w:val="left"/>
                    <w:rPr>
                      <w:rFonts w:cs="Times New Roman"/>
                    </w:rPr>
                  </w:pPr>
                  <w:r>
                    <w:rPr>
                      <w:rFonts w:cs="Times New Roman"/>
                    </w:rPr>
                    <w:t>（2）严格执行《矿产资源开采</w:t>
                  </w:r>
                  <w:r>
                    <w:rPr>
                      <w:rFonts w:hint="eastAsia" w:cs="Times New Roman"/>
                      <w:lang w:eastAsia="zh-CN"/>
                    </w:rPr>
                    <w:t>登记</w:t>
                  </w:r>
                  <w:bookmarkStart w:id="90" w:name="_GoBack"/>
                  <w:bookmarkEnd w:id="90"/>
                  <w:r>
                    <w:rPr>
                      <w:rFonts w:cs="Times New Roman"/>
                    </w:rPr>
                    <w:t>管理办法》的相关规定。</w:t>
                  </w:r>
                </w:p>
              </w:tc>
              <w:tc>
                <w:tcPr>
                  <w:tcW w:w="723" w:type="pct"/>
                  <w:vAlign w:val="center"/>
                </w:tcPr>
                <w:p w14:paraId="5C2BE65C">
                  <w:pPr>
                    <w:pStyle w:val="12"/>
                    <w:rPr>
                      <w:rFonts w:cs="Times New Roman"/>
                    </w:rPr>
                  </w:pPr>
                  <w:r>
                    <w:rPr>
                      <w:rFonts w:cs="Times New Roman"/>
                    </w:rPr>
                    <w:t>本项目不属于产能过剩行业，不涉及矿产资源开采。</w:t>
                  </w:r>
                </w:p>
              </w:tc>
              <w:tc>
                <w:tcPr>
                  <w:tcW w:w="284" w:type="pct"/>
                  <w:vAlign w:val="center"/>
                </w:tcPr>
                <w:p w14:paraId="1B313AC8">
                  <w:pPr>
                    <w:pStyle w:val="12"/>
                    <w:rPr>
                      <w:rFonts w:cs="Times New Roman"/>
                    </w:rPr>
                  </w:pPr>
                  <w:r>
                    <w:rPr>
                      <w:rFonts w:cs="Times New Roman"/>
                    </w:rPr>
                    <w:t>符合</w:t>
                  </w:r>
                </w:p>
              </w:tc>
            </w:tr>
            <w:tr w14:paraId="4B32B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658" w:type="pct"/>
                  <w:vMerge w:val="continue"/>
                  <w:vAlign w:val="center"/>
                </w:tcPr>
                <w:p w14:paraId="45BE3998">
                  <w:pPr>
                    <w:pStyle w:val="12"/>
                    <w:rPr>
                      <w:rFonts w:cs="Times New Roman"/>
                    </w:rPr>
                  </w:pPr>
                </w:p>
              </w:tc>
              <w:tc>
                <w:tcPr>
                  <w:tcW w:w="260" w:type="pct"/>
                  <w:vMerge w:val="continue"/>
                  <w:vAlign w:val="center"/>
                </w:tcPr>
                <w:p w14:paraId="2DB453A9">
                  <w:pPr>
                    <w:pStyle w:val="12"/>
                    <w:rPr>
                      <w:rFonts w:cs="Times New Roman"/>
                    </w:rPr>
                  </w:pPr>
                </w:p>
              </w:tc>
              <w:tc>
                <w:tcPr>
                  <w:tcW w:w="236" w:type="pct"/>
                  <w:vMerge w:val="continue"/>
                  <w:vAlign w:val="center"/>
                </w:tcPr>
                <w:p w14:paraId="79FA5342">
                  <w:pPr>
                    <w:pStyle w:val="12"/>
                    <w:rPr>
                      <w:rFonts w:cs="Times New Roman"/>
                    </w:rPr>
                  </w:pPr>
                </w:p>
              </w:tc>
              <w:tc>
                <w:tcPr>
                  <w:tcW w:w="413" w:type="pct"/>
                  <w:vAlign w:val="center"/>
                </w:tcPr>
                <w:p w14:paraId="2E5A5C9E">
                  <w:pPr>
                    <w:pStyle w:val="12"/>
                    <w:rPr>
                      <w:rFonts w:cs="Times New Roman"/>
                    </w:rPr>
                  </w:pPr>
                  <w:r>
                    <w:rPr>
                      <w:rFonts w:cs="Times New Roman"/>
                    </w:rPr>
                    <w:t>不符合空间布局要求活动的退出要求</w:t>
                  </w:r>
                </w:p>
              </w:tc>
              <w:tc>
                <w:tcPr>
                  <w:tcW w:w="2423" w:type="pct"/>
                  <w:vAlign w:val="center"/>
                </w:tcPr>
                <w:p w14:paraId="4D76EEE7">
                  <w:pPr>
                    <w:pStyle w:val="12"/>
                    <w:jc w:val="left"/>
                    <w:rPr>
                      <w:rFonts w:cs="Times New Roman"/>
                    </w:rPr>
                  </w:pPr>
                  <w:r>
                    <w:rPr>
                      <w:rFonts w:cs="Times New Roman"/>
                    </w:rPr>
                    <w:t>（1）现有属于园区禁止引入产业门类的企业，原则上限制发展，污染物排放只降不增，允许以提升安全、生态环境保护水平为目的的改建，引导企业结合产业升级等适时搬迁。</w:t>
                  </w:r>
                </w:p>
                <w:p w14:paraId="1358F527">
                  <w:pPr>
                    <w:pStyle w:val="12"/>
                    <w:jc w:val="left"/>
                    <w:rPr>
                      <w:rFonts w:cs="Times New Roman"/>
                    </w:rPr>
                  </w:pPr>
                  <w:r>
                    <w:rPr>
                      <w:rFonts w:cs="Times New Roman"/>
                    </w:rPr>
                    <w:t>（2）加强流域水污染防治，推进流域水生态环境修复与治理；加强城市精细化管理，提升市民对环境的幸福感、获得感。</w:t>
                  </w:r>
                </w:p>
              </w:tc>
              <w:tc>
                <w:tcPr>
                  <w:tcW w:w="723" w:type="pct"/>
                  <w:vAlign w:val="center"/>
                </w:tcPr>
                <w:p w14:paraId="56C19B7A">
                  <w:pPr>
                    <w:pStyle w:val="12"/>
                    <w:rPr>
                      <w:rFonts w:cs="Times New Roman"/>
                    </w:rPr>
                  </w:pPr>
                  <w:r>
                    <w:rPr>
                      <w:rFonts w:hint="eastAsia" w:cs="Times New Roman"/>
                      <w:lang w:val="en-US" w:eastAsia="zh-CN"/>
                    </w:rPr>
                    <w:t>本项目属于新引进企业，且属于园区允许类产业。</w:t>
                  </w:r>
                </w:p>
              </w:tc>
              <w:tc>
                <w:tcPr>
                  <w:tcW w:w="284" w:type="pct"/>
                  <w:vAlign w:val="center"/>
                </w:tcPr>
                <w:p w14:paraId="5C768E01">
                  <w:pPr>
                    <w:pStyle w:val="12"/>
                    <w:rPr>
                      <w:rFonts w:cs="Times New Roman"/>
                    </w:rPr>
                  </w:pPr>
                  <w:r>
                    <w:rPr>
                      <w:rFonts w:cs="Times New Roman"/>
                    </w:rPr>
                    <w:t>符合</w:t>
                  </w:r>
                </w:p>
              </w:tc>
            </w:tr>
            <w:tr w14:paraId="3DD13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658" w:type="pct"/>
                  <w:vMerge w:val="continue"/>
                  <w:vAlign w:val="center"/>
                </w:tcPr>
                <w:p w14:paraId="4D78A093">
                  <w:pPr>
                    <w:pStyle w:val="12"/>
                    <w:rPr>
                      <w:rFonts w:cs="Times New Roman"/>
                    </w:rPr>
                  </w:pPr>
                </w:p>
              </w:tc>
              <w:tc>
                <w:tcPr>
                  <w:tcW w:w="260" w:type="pct"/>
                  <w:vMerge w:val="continue"/>
                  <w:vAlign w:val="center"/>
                </w:tcPr>
                <w:p w14:paraId="7B49B79C">
                  <w:pPr>
                    <w:pStyle w:val="12"/>
                    <w:rPr>
                      <w:rFonts w:cs="Times New Roman"/>
                    </w:rPr>
                  </w:pPr>
                </w:p>
              </w:tc>
              <w:tc>
                <w:tcPr>
                  <w:tcW w:w="236" w:type="pct"/>
                  <w:vMerge w:val="restart"/>
                  <w:vAlign w:val="center"/>
                </w:tcPr>
                <w:p w14:paraId="4BEA26C8">
                  <w:pPr>
                    <w:pStyle w:val="12"/>
                    <w:rPr>
                      <w:rFonts w:cs="Times New Roman"/>
                    </w:rPr>
                  </w:pPr>
                  <w:r>
                    <w:rPr>
                      <w:rFonts w:cs="Times New Roman"/>
                    </w:rPr>
                    <w:t>污染物排放管控</w:t>
                  </w:r>
                </w:p>
              </w:tc>
              <w:tc>
                <w:tcPr>
                  <w:tcW w:w="413" w:type="pct"/>
                  <w:vAlign w:val="center"/>
                </w:tcPr>
                <w:p w14:paraId="75CFD44C">
                  <w:pPr>
                    <w:pStyle w:val="12"/>
                    <w:rPr>
                      <w:rFonts w:hint="default" w:eastAsia="宋体" w:cs="Times New Roman"/>
                      <w:lang w:val="en-US" w:eastAsia="zh-CN"/>
                    </w:rPr>
                  </w:pPr>
                  <w:r>
                    <w:rPr>
                      <w:rFonts w:hint="eastAsia" w:cs="Times New Roman"/>
                      <w:lang w:val="en-US" w:eastAsia="zh-CN"/>
                    </w:rPr>
                    <w:t>允许排放量要求</w:t>
                  </w:r>
                </w:p>
              </w:tc>
              <w:tc>
                <w:tcPr>
                  <w:tcW w:w="2423" w:type="pct"/>
                  <w:vAlign w:val="center"/>
                </w:tcPr>
                <w:p w14:paraId="5A953950">
                  <w:pPr>
                    <w:pStyle w:val="12"/>
                    <w:jc w:val="left"/>
                    <w:rPr>
                      <w:rFonts w:ascii="Times New Roman" w:hAnsi="Times New Roman" w:eastAsia="宋体" w:cs="Times New Roman"/>
                    </w:rPr>
                  </w:pPr>
                  <w:r>
                    <w:rPr>
                      <w:rFonts w:ascii="Times New Roman" w:hAnsi="Times New Roman" w:eastAsia="宋体" w:cs="Times New Roman"/>
                    </w:rPr>
                    <w:t>（1）为达2025年及2035年环境空气质量目标，14个工业重点管控单元大气污染物允许排放量2025年为：PM</w:t>
                  </w:r>
                  <w:r>
                    <w:rPr>
                      <w:rFonts w:ascii="Times New Roman" w:hAnsi="Times New Roman" w:eastAsia="宋体" w:cs="Times New Roman"/>
                      <w:vertAlign w:val="subscript"/>
                    </w:rPr>
                    <w:t>2.5</w:t>
                  </w:r>
                  <w:r>
                    <w:rPr>
                      <w:rFonts w:ascii="Times New Roman" w:hAnsi="Times New Roman" w:eastAsia="宋体" w:cs="Times New Roman"/>
                    </w:rPr>
                    <w:t>允许排放量4950吨、SO</w:t>
                  </w:r>
                  <w:r>
                    <w:rPr>
                      <w:rFonts w:ascii="Times New Roman" w:hAnsi="Times New Roman" w:eastAsia="宋体" w:cs="Times New Roman"/>
                      <w:vertAlign w:val="subscript"/>
                    </w:rPr>
                    <w:t>2</w:t>
                  </w:r>
                  <w:r>
                    <w:rPr>
                      <w:rFonts w:ascii="Times New Roman" w:hAnsi="Times New Roman" w:eastAsia="宋体" w:cs="Times New Roman"/>
                    </w:rPr>
                    <w:t>允许排放量3502吨、NOx允许排放量8906吨、VOCs允许排放量12506吨，2035年为：PM</w:t>
                  </w:r>
                  <w:r>
                    <w:rPr>
                      <w:rFonts w:ascii="Times New Roman" w:hAnsi="Times New Roman" w:eastAsia="宋体" w:cs="Times New Roman"/>
                      <w:vertAlign w:val="subscript"/>
                    </w:rPr>
                    <w:t>2.5</w:t>
                  </w:r>
                  <w:r>
                    <w:rPr>
                      <w:rFonts w:ascii="Times New Roman" w:hAnsi="Times New Roman" w:eastAsia="宋体" w:cs="Times New Roman"/>
                    </w:rPr>
                    <w:t>允许排放量4595吨、SO</w:t>
                  </w:r>
                  <w:r>
                    <w:rPr>
                      <w:rFonts w:ascii="Times New Roman" w:hAnsi="Times New Roman" w:eastAsia="宋体" w:cs="Times New Roman"/>
                      <w:vertAlign w:val="subscript"/>
                    </w:rPr>
                    <w:t>2</w:t>
                  </w:r>
                  <w:r>
                    <w:rPr>
                      <w:rFonts w:ascii="Times New Roman" w:hAnsi="Times New Roman" w:eastAsia="宋体" w:cs="Times New Roman"/>
                    </w:rPr>
                    <w:t>允许排放量3133吨、NOx允许排放量8656吨、VOCs允许排放量12098吨。</w:t>
                  </w:r>
                </w:p>
                <w:p w14:paraId="3A44E1CD">
                  <w:pPr>
                    <w:pStyle w:val="12"/>
                    <w:jc w:val="left"/>
                    <w:rPr>
                      <w:rFonts w:cs="Times New Roman"/>
                    </w:rPr>
                  </w:pPr>
                  <w:r>
                    <w:rPr>
                      <w:rFonts w:ascii="Times New Roman" w:hAnsi="Times New Roman" w:eastAsia="宋体" w:cs="Times New Roman"/>
                    </w:rPr>
                    <w:t>（2）为保证2025、2035年区域地表水控制断面达标，15个工业重点管控单元COD、氨氮、总磷允许排放量2025年控制在233465.09吨、2863.81吨、409.92吨以下，2035年控制在24638.35吨、3007.02吨、430.41吨以下。</w:t>
                  </w:r>
                </w:p>
              </w:tc>
              <w:tc>
                <w:tcPr>
                  <w:tcW w:w="723" w:type="pct"/>
                  <w:vAlign w:val="center"/>
                </w:tcPr>
                <w:p w14:paraId="08D0BB94">
                  <w:pPr>
                    <w:pStyle w:val="12"/>
                    <w:rPr>
                      <w:rFonts w:hint="eastAsia"/>
                      <w:lang w:val="en-US" w:eastAsia="zh-CN"/>
                    </w:rPr>
                  </w:pPr>
                  <w:r>
                    <w:rPr>
                      <w:rFonts w:hint="eastAsia" w:cs="Times New Roman"/>
                      <w:lang w:val="en-US" w:eastAsia="zh-CN"/>
                    </w:rPr>
                    <w:t>本项目位于工业重点管控单元，经核算本项目废气中颗粒物排放量为</w:t>
                  </w:r>
                  <w:r>
                    <w:rPr>
                      <w:rFonts w:hint="eastAsia" w:cs="Times New Roman"/>
                      <w:kern w:val="21"/>
                      <w:szCs w:val="21"/>
                      <w:lang w:val="en-US" w:eastAsia="zh-CN"/>
                    </w:rPr>
                    <w:t>0.8802</w:t>
                  </w:r>
                  <w:r>
                    <w:rPr>
                      <w:rFonts w:hint="eastAsia" w:cs="Times New Roman"/>
                      <w:lang w:val="en-US" w:eastAsia="zh-CN"/>
                    </w:rPr>
                    <w:t>t/a、SO</w:t>
                  </w:r>
                  <w:r>
                    <w:rPr>
                      <w:rFonts w:hint="eastAsia" w:cs="Times New Roman"/>
                      <w:vertAlign w:val="subscript"/>
                      <w:lang w:val="en-US" w:eastAsia="zh-CN"/>
                    </w:rPr>
                    <w:t>2</w:t>
                  </w:r>
                  <w:r>
                    <w:rPr>
                      <w:rFonts w:hint="eastAsia" w:cs="Times New Roman"/>
                      <w:lang w:val="en-US" w:eastAsia="zh-CN"/>
                    </w:rPr>
                    <w:t>排放量为1.034t/a、NOx排放量为0.2257t/a、VOCs排放量为0.2694t/a</w:t>
                  </w:r>
                  <w:r>
                    <w:rPr>
                      <w:rFonts w:hint="eastAsia"/>
                      <w:lang w:eastAsia="zh-CN"/>
                    </w:rPr>
                    <w:t>；</w:t>
                  </w:r>
                  <w:r>
                    <w:rPr>
                      <w:rFonts w:hint="eastAsia"/>
                      <w:lang w:val="en-US" w:eastAsia="zh-CN"/>
                    </w:rPr>
                    <w:t>废水中COD排放量为0.3861t/a。</w:t>
                  </w:r>
                </w:p>
                <w:p w14:paraId="11C0DDE4">
                  <w:pPr>
                    <w:pStyle w:val="12"/>
                    <w:rPr>
                      <w:rFonts w:hint="default"/>
                      <w:lang w:val="en-US" w:eastAsia="zh-CN"/>
                    </w:rPr>
                  </w:pPr>
                  <w:r>
                    <w:rPr>
                      <w:rFonts w:hint="eastAsia" w:ascii="Times New Roman" w:hAnsi="Times New Roman" w:eastAsia="宋体" w:cs="Times New Roman"/>
                      <w:lang w:val="en-US" w:eastAsia="zh-CN"/>
                    </w:rPr>
                    <w:t>各污染物均经有效处理后排放，总体排放量较小，占区域比例极小，不会对区域环境质量的达标造成明显影响。</w:t>
                  </w:r>
                </w:p>
              </w:tc>
              <w:tc>
                <w:tcPr>
                  <w:tcW w:w="284" w:type="pct"/>
                  <w:vAlign w:val="center"/>
                </w:tcPr>
                <w:p w14:paraId="7BA18C20">
                  <w:pPr>
                    <w:pStyle w:val="12"/>
                    <w:rPr>
                      <w:rFonts w:hint="eastAsia" w:eastAsia="宋体" w:cs="Times New Roman"/>
                      <w:lang w:val="en-US" w:eastAsia="zh-CN"/>
                    </w:rPr>
                  </w:pPr>
                  <w:r>
                    <w:rPr>
                      <w:rFonts w:hint="eastAsia" w:cs="Times New Roman"/>
                      <w:lang w:val="en-US" w:eastAsia="zh-CN"/>
                    </w:rPr>
                    <w:t>符合</w:t>
                  </w:r>
                </w:p>
              </w:tc>
            </w:tr>
            <w:tr w14:paraId="749CC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658" w:type="pct"/>
                  <w:vMerge w:val="continue"/>
                  <w:vAlign w:val="center"/>
                </w:tcPr>
                <w:p w14:paraId="194650D3">
                  <w:pPr>
                    <w:pStyle w:val="12"/>
                    <w:rPr>
                      <w:rFonts w:cs="Times New Roman"/>
                    </w:rPr>
                  </w:pPr>
                </w:p>
              </w:tc>
              <w:tc>
                <w:tcPr>
                  <w:tcW w:w="260" w:type="pct"/>
                  <w:vMerge w:val="continue"/>
                  <w:vAlign w:val="center"/>
                </w:tcPr>
                <w:p w14:paraId="27B50211">
                  <w:pPr>
                    <w:pStyle w:val="12"/>
                    <w:rPr>
                      <w:rFonts w:cs="Times New Roman"/>
                    </w:rPr>
                  </w:pPr>
                </w:p>
              </w:tc>
              <w:tc>
                <w:tcPr>
                  <w:tcW w:w="236" w:type="pct"/>
                  <w:vMerge w:val="continue"/>
                  <w:vAlign w:val="center"/>
                </w:tcPr>
                <w:p w14:paraId="661D17C5">
                  <w:pPr>
                    <w:pStyle w:val="12"/>
                    <w:rPr>
                      <w:rFonts w:cs="Times New Roman"/>
                    </w:rPr>
                  </w:pPr>
                </w:p>
              </w:tc>
              <w:tc>
                <w:tcPr>
                  <w:tcW w:w="413" w:type="pct"/>
                  <w:vAlign w:val="center"/>
                </w:tcPr>
                <w:p w14:paraId="0525D95B">
                  <w:pPr>
                    <w:pStyle w:val="12"/>
                    <w:rPr>
                      <w:rFonts w:cs="Times New Roman"/>
                    </w:rPr>
                  </w:pPr>
                  <w:r>
                    <w:rPr>
                      <w:rFonts w:cs="Times New Roman"/>
                    </w:rPr>
                    <w:t>现有源提标升级改造</w:t>
                  </w:r>
                </w:p>
              </w:tc>
              <w:tc>
                <w:tcPr>
                  <w:tcW w:w="2423" w:type="pct"/>
                  <w:vAlign w:val="center"/>
                </w:tcPr>
                <w:p w14:paraId="2935995E">
                  <w:pPr>
                    <w:pStyle w:val="12"/>
                    <w:jc w:val="left"/>
                    <w:rPr>
                      <w:rFonts w:cs="Times New Roman"/>
                    </w:rPr>
                  </w:pPr>
                  <w:r>
                    <w:rPr>
                      <w:rFonts w:cs="Times New Roman"/>
                    </w:rPr>
                    <w:t>（1）污水收集处理率达100%。</w:t>
                  </w:r>
                </w:p>
                <w:p w14:paraId="08497C86">
                  <w:pPr>
                    <w:pStyle w:val="12"/>
                    <w:jc w:val="left"/>
                    <w:rPr>
                      <w:rFonts w:cs="Times New Roman"/>
                    </w:rPr>
                  </w:pPr>
                  <w:r>
                    <w:rPr>
                      <w:rFonts w:cs="Times New Roman"/>
                    </w:rPr>
                    <w:t>（2）推进工业园区污水处理设施建设，确保园区工业废水达标排放。</w:t>
                  </w:r>
                </w:p>
                <w:p w14:paraId="1810240B">
                  <w:pPr>
                    <w:pStyle w:val="12"/>
                    <w:jc w:val="left"/>
                    <w:rPr>
                      <w:rFonts w:cs="Times New Roman"/>
                    </w:rPr>
                  </w:pPr>
                  <w:r>
                    <w:rPr>
                      <w:rFonts w:cs="Times New Roman"/>
                    </w:rPr>
                    <w:t>（3）完善园区及企业雨污</w:t>
                  </w:r>
                  <w:r>
                    <w:rPr>
                      <w:rFonts w:hint="eastAsia" w:ascii="宋体" w:hAnsi="宋体" w:eastAsia="宋体" w:cs="宋体"/>
                    </w:rPr>
                    <w:t>分流系统，全面推进医药、化工等行业初期雨水收集处理，推动有条件的园区实施入园企业“一企一管、明管输送、实时监测”。</w:t>
                  </w:r>
                  <w:r>
                    <w:rPr>
                      <w:rFonts w:cs="Times New Roman"/>
                    </w:rPr>
                    <w:t>加强企业废水预处理和排水管理，鼓励纳管企业与园区污水处理厂运营单位通过签订委托处理合同等方式协同处理废水。</w:t>
                  </w:r>
                </w:p>
              </w:tc>
              <w:tc>
                <w:tcPr>
                  <w:tcW w:w="723" w:type="pct"/>
                  <w:vAlign w:val="center"/>
                </w:tcPr>
                <w:p w14:paraId="3E438560">
                  <w:pPr>
                    <w:pStyle w:val="12"/>
                    <w:rPr>
                      <w:rFonts w:cs="Times New Roman"/>
                    </w:rPr>
                  </w:pPr>
                  <w:r>
                    <w:rPr>
                      <w:rFonts w:cs="Times New Roman"/>
                    </w:rPr>
                    <w:t>本项目</w:t>
                  </w:r>
                  <w:r>
                    <w:rPr>
                      <w:rFonts w:hint="eastAsia" w:cs="Times New Roman"/>
                    </w:rPr>
                    <w:t>为新建项目，不涉及现有源</w:t>
                  </w:r>
                  <w:r>
                    <w:rPr>
                      <w:rFonts w:hint="eastAsia" w:cs="Times New Roman"/>
                      <w:lang w:eastAsia="zh-CN"/>
                    </w:rPr>
                    <w:t>；</w:t>
                  </w:r>
                  <w:r>
                    <w:rPr>
                      <w:rFonts w:hint="eastAsia" w:cs="Times New Roman"/>
                      <w:lang w:val="en-US" w:eastAsia="zh-CN"/>
                    </w:rPr>
                    <w:t>本项目厂区雨污分流，市政管网设施完善；外排废水为生活污水，经预处理后排入市政管网</w:t>
                  </w:r>
                  <w:r>
                    <w:rPr>
                      <w:rFonts w:cs="Times New Roman"/>
                    </w:rPr>
                    <w:t>。</w:t>
                  </w:r>
                </w:p>
              </w:tc>
              <w:tc>
                <w:tcPr>
                  <w:tcW w:w="284" w:type="pct"/>
                  <w:vAlign w:val="center"/>
                </w:tcPr>
                <w:p w14:paraId="3F608360">
                  <w:pPr>
                    <w:pStyle w:val="12"/>
                    <w:rPr>
                      <w:rFonts w:cs="Times New Roman"/>
                    </w:rPr>
                  </w:pPr>
                  <w:r>
                    <w:rPr>
                      <w:rFonts w:cs="Times New Roman"/>
                    </w:rPr>
                    <w:t>符合</w:t>
                  </w:r>
                </w:p>
              </w:tc>
            </w:tr>
            <w:tr w14:paraId="4D2B1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658" w:type="pct"/>
                  <w:vMerge w:val="continue"/>
                  <w:vAlign w:val="center"/>
                </w:tcPr>
                <w:p w14:paraId="16E56C2D">
                  <w:pPr>
                    <w:pStyle w:val="12"/>
                    <w:rPr>
                      <w:rFonts w:cs="Times New Roman"/>
                    </w:rPr>
                  </w:pPr>
                </w:p>
              </w:tc>
              <w:tc>
                <w:tcPr>
                  <w:tcW w:w="260" w:type="pct"/>
                  <w:vMerge w:val="continue"/>
                  <w:vAlign w:val="center"/>
                </w:tcPr>
                <w:p w14:paraId="7A73BC35">
                  <w:pPr>
                    <w:pStyle w:val="12"/>
                    <w:rPr>
                      <w:rFonts w:cs="Times New Roman"/>
                    </w:rPr>
                  </w:pPr>
                </w:p>
              </w:tc>
              <w:tc>
                <w:tcPr>
                  <w:tcW w:w="236" w:type="pct"/>
                  <w:vMerge w:val="continue"/>
                  <w:vAlign w:val="center"/>
                </w:tcPr>
                <w:p w14:paraId="45083BFF">
                  <w:pPr>
                    <w:pStyle w:val="12"/>
                    <w:rPr>
                      <w:rFonts w:cs="Times New Roman"/>
                    </w:rPr>
                  </w:pPr>
                </w:p>
              </w:tc>
              <w:tc>
                <w:tcPr>
                  <w:tcW w:w="413" w:type="pct"/>
                  <w:vAlign w:val="center"/>
                </w:tcPr>
                <w:p w14:paraId="67F275BC">
                  <w:pPr>
                    <w:pStyle w:val="12"/>
                    <w:rPr>
                      <w:rFonts w:cs="Times New Roman"/>
                    </w:rPr>
                  </w:pPr>
                  <w:r>
                    <w:rPr>
                      <w:rFonts w:cs="Times New Roman"/>
                    </w:rPr>
                    <w:t>污染物排放绩效水平准入要求</w:t>
                  </w:r>
                </w:p>
              </w:tc>
              <w:tc>
                <w:tcPr>
                  <w:tcW w:w="2423" w:type="pct"/>
                  <w:vAlign w:val="center"/>
                </w:tcPr>
                <w:p w14:paraId="5FCE7E76">
                  <w:pPr>
                    <w:pStyle w:val="12"/>
                    <w:jc w:val="left"/>
                    <w:rPr>
                      <w:rFonts w:cs="Times New Roman"/>
                    </w:rPr>
                  </w:pPr>
                  <w:r>
                    <w:rPr>
                      <w:rFonts w:cs="Times New Roman"/>
                    </w:rPr>
                    <w:t>（1）新、改、扩建涉及VOCs排放项目，从原辅材料和工艺过程大力推广使用低（无）VOCs含量的涂料、有机溶剂、胶黏剂、油墨等原辅材料，配套改进生产工艺。</w:t>
                  </w:r>
                </w:p>
                <w:p w14:paraId="68B0FC8B">
                  <w:pPr>
                    <w:pStyle w:val="12"/>
                    <w:jc w:val="left"/>
                    <w:rPr>
                      <w:rFonts w:cs="Times New Roman"/>
                    </w:rPr>
                  </w:pPr>
                  <w:r>
                    <w:rPr>
                      <w:rFonts w:cs="Times New Roman"/>
                    </w:rPr>
                    <w:t>（2）重点对工业涂装、包装印刷、制鞋、电子信息、木材加工、化纤等重点行业实施源头替代。推进木质家具制造行业水性、紫外光固化等低挥发性涂料替代比例达到60%以上、水性胶粘剂替代比例达到100%，钢结构制造行业高固体分涂料替代比例达到50%以上，包装印刷企业低VOCs含量绿色原辅材料替代比例达到60%以上。</w:t>
                  </w:r>
                </w:p>
                <w:p w14:paraId="5B9B8DCE">
                  <w:pPr>
                    <w:pStyle w:val="12"/>
                    <w:jc w:val="left"/>
                    <w:rPr>
                      <w:rFonts w:hint="eastAsia" w:cs="Times New Roman"/>
                    </w:rPr>
                  </w:pPr>
                  <w:r>
                    <w:rPr>
                      <w:rFonts w:cs="Times New Roman"/>
                    </w:rPr>
                    <w:t>（3）到2030年巴中中心城区污水处理率达到100%，工业废水排放达标率100%。</w:t>
                  </w:r>
                </w:p>
              </w:tc>
              <w:tc>
                <w:tcPr>
                  <w:tcW w:w="723" w:type="pct"/>
                  <w:vAlign w:val="center"/>
                </w:tcPr>
                <w:p w14:paraId="799BEFE0">
                  <w:pPr>
                    <w:pStyle w:val="12"/>
                    <w:rPr>
                      <w:rFonts w:cs="Times New Roman"/>
                    </w:rPr>
                  </w:pPr>
                  <w:r>
                    <w:rPr>
                      <w:rFonts w:hint="eastAsia" w:cs="Times New Roman"/>
                    </w:rPr>
                    <w:t>本项目</w:t>
                  </w:r>
                  <w:r>
                    <w:rPr>
                      <w:rFonts w:hint="eastAsia" w:cs="Times New Roman"/>
                      <w:color w:val="000000" w:themeColor="text1"/>
                      <w:sz w:val="21"/>
                      <w:szCs w:val="21"/>
                      <w:highlight w:val="none"/>
                      <w:lang w:val="en-US" w:eastAsia="zh-CN"/>
                      <w14:textFill>
                        <w14:solidFill>
                          <w14:schemeClr w14:val="tx1"/>
                        </w14:solidFill>
                      </w14:textFill>
                    </w:rPr>
                    <w:t>含烃类物质随水基岩屑和热脱附干渣煅烧而直接焚烧处理后，经1根25m高排气筒（DA001）排放</w:t>
                  </w:r>
                  <w:r>
                    <w:rPr>
                      <w:rFonts w:cs="Times New Roman"/>
                    </w:rPr>
                    <w:t>；</w:t>
                  </w:r>
                  <w:r>
                    <w:rPr>
                      <w:rFonts w:hint="eastAsia" w:cs="Times New Roman"/>
                      <w:lang w:val="en-US" w:eastAsia="zh-CN"/>
                    </w:rPr>
                    <w:t>生活污水</w:t>
                  </w:r>
                  <w:r>
                    <w:rPr>
                      <w:rFonts w:cs="Times New Roman"/>
                    </w:rPr>
                    <w:t>预处理后通过市政管网送至</w:t>
                  </w:r>
                  <w:r>
                    <w:rPr>
                      <w:rFonts w:hint="eastAsia" w:cs="Times New Roman"/>
                      <w:lang w:val="en-US" w:eastAsia="zh-CN"/>
                    </w:rPr>
                    <w:t>星光工业</w:t>
                  </w:r>
                  <w:r>
                    <w:rPr>
                      <w:rFonts w:cs="Times New Roman"/>
                    </w:rPr>
                    <w:t>园区污水处理</w:t>
                  </w:r>
                  <w:r>
                    <w:rPr>
                      <w:rFonts w:hint="eastAsia" w:cs="Times New Roman"/>
                      <w:lang w:val="en-US" w:eastAsia="zh-CN"/>
                    </w:rPr>
                    <w:t>厂</w:t>
                  </w:r>
                  <w:r>
                    <w:rPr>
                      <w:rFonts w:cs="Times New Roman"/>
                    </w:rPr>
                    <w:t>处理后达标排放</w:t>
                  </w:r>
                  <w:r>
                    <w:rPr>
                      <w:rFonts w:hint="eastAsia" w:cs="Times New Roman"/>
                      <w:lang w:eastAsia="zh-CN"/>
                    </w:rPr>
                    <w:t>；</w:t>
                  </w:r>
                  <w:r>
                    <w:rPr>
                      <w:rFonts w:hint="eastAsia" w:cs="Times New Roman"/>
                      <w:lang w:val="en-US" w:eastAsia="zh-CN"/>
                    </w:rPr>
                    <w:t>生产废水部分回用，不能回用部分委托四川洁安环境科技有限公司清运处理</w:t>
                  </w:r>
                  <w:r>
                    <w:rPr>
                      <w:rFonts w:cs="Times New Roman"/>
                    </w:rPr>
                    <w:t>。</w:t>
                  </w:r>
                </w:p>
              </w:tc>
              <w:tc>
                <w:tcPr>
                  <w:tcW w:w="284" w:type="pct"/>
                  <w:vAlign w:val="center"/>
                </w:tcPr>
                <w:p w14:paraId="6E4E4E9F">
                  <w:pPr>
                    <w:pStyle w:val="12"/>
                    <w:rPr>
                      <w:rFonts w:cs="Times New Roman"/>
                    </w:rPr>
                  </w:pPr>
                  <w:r>
                    <w:rPr>
                      <w:rFonts w:cs="Times New Roman"/>
                    </w:rPr>
                    <w:t>符合</w:t>
                  </w:r>
                </w:p>
              </w:tc>
            </w:tr>
            <w:tr w14:paraId="195E5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658" w:type="pct"/>
                  <w:vMerge w:val="continue"/>
                  <w:vAlign w:val="center"/>
                </w:tcPr>
                <w:p w14:paraId="79E87FA2">
                  <w:pPr>
                    <w:pStyle w:val="12"/>
                    <w:rPr>
                      <w:rFonts w:cs="Times New Roman"/>
                    </w:rPr>
                  </w:pPr>
                </w:p>
              </w:tc>
              <w:tc>
                <w:tcPr>
                  <w:tcW w:w="260" w:type="pct"/>
                  <w:vMerge w:val="continue"/>
                  <w:vAlign w:val="center"/>
                </w:tcPr>
                <w:p w14:paraId="67755AD7">
                  <w:pPr>
                    <w:pStyle w:val="12"/>
                    <w:rPr>
                      <w:rFonts w:cs="Times New Roman"/>
                    </w:rPr>
                  </w:pPr>
                </w:p>
              </w:tc>
              <w:tc>
                <w:tcPr>
                  <w:tcW w:w="236" w:type="pct"/>
                  <w:vMerge w:val="continue"/>
                  <w:vAlign w:val="center"/>
                </w:tcPr>
                <w:p w14:paraId="1C2AE703">
                  <w:pPr>
                    <w:pStyle w:val="12"/>
                    <w:rPr>
                      <w:rFonts w:cs="Times New Roman"/>
                    </w:rPr>
                  </w:pPr>
                </w:p>
              </w:tc>
              <w:tc>
                <w:tcPr>
                  <w:tcW w:w="413" w:type="pct"/>
                  <w:vAlign w:val="center"/>
                </w:tcPr>
                <w:p w14:paraId="0AB4A57A">
                  <w:pPr>
                    <w:pStyle w:val="12"/>
                    <w:rPr>
                      <w:rFonts w:cs="Times New Roman"/>
                    </w:rPr>
                  </w:pPr>
                  <w:r>
                    <w:rPr>
                      <w:rFonts w:cs="Times New Roman"/>
                    </w:rPr>
                    <w:t>其他污染物排放管控要求</w:t>
                  </w:r>
                </w:p>
              </w:tc>
              <w:tc>
                <w:tcPr>
                  <w:tcW w:w="2423" w:type="pct"/>
                  <w:vAlign w:val="center"/>
                </w:tcPr>
                <w:p w14:paraId="38EB371A">
                  <w:pPr>
                    <w:pStyle w:val="12"/>
                    <w:jc w:val="left"/>
                    <w:rPr>
                      <w:rFonts w:cs="Times New Roman"/>
                    </w:rPr>
                  </w:pPr>
                  <w:r>
                    <w:rPr>
                      <w:rFonts w:cs="Times New Roman"/>
                    </w:rPr>
                    <w:t>（1）化工园区应按照分类收集，分质处理的要求，配备专业化工生产废水集中处理设施（独立建设或依托骨干企业）及专管或明管输送的配套管网，化工生产废水纳管率达到100%。入河排污口设置应符合相关规定。</w:t>
                  </w:r>
                </w:p>
                <w:p w14:paraId="2DB0FA6B">
                  <w:pPr>
                    <w:pStyle w:val="12"/>
                    <w:jc w:val="left"/>
                    <w:rPr>
                      <w:rFonts w:hint="eastAsia" w:ascii="宋体" w:hAnsi="宋体" w:eastAsia="宋体" w:cs="宋体"/>
                    </w:rPr>
                  </w:pPr>
                  <w:r>
                    <w:rPr>
                      <w:rFonts w:cs="Times New Roman"/>
                    </w:rPr>
                    <w:t>（2）重点行业建设项目应遵循重点重金属污染物排</w:t>
                  </w:r>
                  <w:r>
                    <w:rPr>
                      <w:rFonts w:hint="eastAsia" w:ascii="宋体" w:hAnsi="宋体" w:eastAsia="宋体" w:cs="宋体"/>
                    </w:rPr>
                    <w:t>放“等量替代”</w:t>
                  </w:r>
                  <w:r>
                    <w:rPr>
                      <w:rFonts w:cs="Times New Roman"/>
                    </w:rPr>
                    <w:t>原则。按国家规定，建设单位在提交环境影响评价文件时应明确重点重金属污染物排放总量及来源，无明确具体总量来源的，各级生态环境部门不得批准相关环境影响评价文件。重金属污染物排放总量替代管理豁免的情形参见《四</w:t>
                  </w:r>
                  <w:r>
                    <w:rPr>
                      <w:rFonts w:hint="eastAsia" w:ascii="宋体" w:hAnsi="宋体" w:eastAsia="宋体" w:cs="宋体"/>
                    </w:rPr>
                    <w:t>川省“十四五”重金属污染防控工作方案》；重点行业、重点重金属的界定参见《四川省“十四五”重金属污染防控工作方案》。</w:t>
                  </w:r>
                </w:p>
                <w:p w14:paraId="34ED3010">
                  <w:pPr>
                    <w:pStyle w:val="12"/>
                    <w:jc w:val="left"/>
                    <w:rPr>
                      <w:rFonts w:cs="Times New Roman"/>
                    </w:rPr>
                  </w:pPr>
                  <w:r>
                    <w:rPr>
                      <w:rFonts w:cs="Times New Roman"/>
                    </w:rPr>
                    <w:t>（3）落实《四川省深入打好重污染天气消除、臭氧污染防治和柴油货车污染治理攻坚战实施方案》要求，推进重点行业超低排放改造和深度治理，加快实施低VOCs含量原辅材料替代，持续开展VOCs治理设施提级增效，强化VOCs无组织排放整治，加强非正常工况废气排放管控，推进涉VOCs产业集群治理提升，推进油品VOCs综合管控。</w:t>
                  </w:r>
                </w:p>
              </w:tc>
              <w:tc>
                <w:tcPr>
                  <w:tcW w:w="723" w:type="pct"/>
                  <w:vAlign w:val="center"/>
                </w:tcPr>
                <w:p w14:paraId="3423A18B">
                  <w:pPr>
                    <w:pStyle w:val="12"/>
                    <w:rPr>
                      <w:rFonts w:hint="eastAsia" w:cs="Times New Roman"/>
                      <w:lang w:eastAsia="zh-CN"/>
                    </w:rPr>
                  </w:pPr>
                  <w:r>
                    <w:rPr>
                      <w:rFonts w:cs="Times New Roman"/>
                    </w:rPr>
                    <w:t>本项目</w:t>
                  </w:r>
                  <w:r>
                    <w:rPr>
                      <w:rFonts w:hint="eastAsia" w:cs="Times New Roman"/>
                      <w:lang w:eastAsia="zh-CN"/>
                    </w:rPr>
                    <w:t>属于</w:t>
                  </w:r>
                  <w:r>
                    <w:rPr>
                      <w:rFonts w:hint="eastAsia" w:cs="Times New Roman"/>
                    </w:rPr>
                    <w:t>固体废物治理</w:t>
                  </w:r>
                  <w:r>
                    <w:rPr>
                      <w:rFonts w:hint="eastAsia" w:cs="Times New Roman"/>
                      <w:lang w:eastAsia="zh-CN"/>
                    </w:rPr>
                    <w:t>；</w:t>
                  </w:r>
                  <w:r>
                    <w:rPr>
                      <w:rFonts w:cs="Times New Roman"/>
                    </w:rPr>
                    <w:t>不属于重点行业，</w:t>
                  </w:r>
                  <w:r>
                    <w:rPr>
                      <w:rFonts w:hint="eastAsia" w:cs="Times New Roman"/>
                      <w:lang w:val="en-US" w:eastAsia="zh-CN"/>
                    </w:rPr>
                    <w:t>本项目重金属排放浓度低于方法检出限（0.1</w:t>
                  </w:r>
                  <w:r>
                    <w:rPr>
                      <w:rFonts w:hint="default" w:ascii="Times New Roman" w:hAnsi="Times New Roman" w:cs="Times New Roman"/>
                      <w:lang w:val="en-US" w:eastAsia="zh-CN"/>
                    </w:rPr>
                    <w:t>μ</w:t>
                  </w:r>
                  <w:r>
                    <w:rPr>
                      <w:rFonts w:hint="eastAsia" w:cs="Times New Roman"/>
                      <w:lang w:val="en-US" w:eastAsia="zh-CN"/>
                    </w:rPr>
                    <w:t>g/m</w:t>
                  </w:r>
                  <w:r>
                    <w:rPr>
                      <w:rFonts w:hint="eastAsia" w:cs="Times New Roman"/>
                      <w:vertAlign w:val="superscript"/>
                      <w:lang w:val="en-US" w:eastAsia="zh-CN"/>
                    </w:rPr>
                    <w:t>3</w:t>
                  </w:r>
                  <w:r>
                    <w:rPr>
                      <w:rFonts w:hint="eastAsia"/>
                      <w:lang w:eastAsia="zh-CN"/>
                    </w:rPr>
                    <w:t>，</w:t>
                  </w:r>
                  <w:r>
                    <w:rPr>
                      <w:rFonts w:hint="eastAsia"/>
                      <w:lang w:val="en-US" w:eastAsia="zh-CN"/>
                    </w:rPr>
                    <w:t>具体源强见大气专项报告</w:t>
                  </w:r>
                  <w:r>
                    <w:rPr>
                      <w:rFonts w:hint="eastAsia" w:cs="Times New Roman"/>
                      <w:lang w:val="en-US" w:eastAsia="zh-CN"/>
                    </w:rPr>
                    <w:t>），本项目不对重金属进行考虑</w:t>
                  </w:r>
                  <w:r>
                    <w:rPr>
                      <w:rFonts w:cs="Times New Roman"/>
                    </w:rPr>
                    <w:t>；</w:t>
                  </w:r>
                  <w:r>
                    <w:rPr>
                      <w:rFonts w:hint="eastAsia" w:cs="Times New Roman"/>
                    </w:rPr>
                    <w:t>不涉及V</w:t>
                  </w:r>
                  <w:r>
                    <w:rPr>
                      <w:rFonts w:cs="Times New Roman"/>
                    </w:rPr>
                    <w:t>OC</w:t>
                  </w:r>
                  <w:r>
                    <w:rPr>
                      <w:rFonts w:hint="eastAsia" w:cs="Times New Roman"/>
                    </w:rPr>
                    <w:t>s物料</w:t>
                  </w:r>
                  <w:r>
                    <w:rPr>
                      <w:rFonts w:hint="eastAsia" w:cs="Times New Roman"/>
                      <w:lang w:eastAsia="zh-CN"/>
                    </w:rPr>
                    <w:t>；</w:t>
                  </w:r>
                </w:p>
                <w:p w14:paraId="4F3F705C">
                  <w:pPr>
                    <w:pStyle w:val="12"/>
                    <w:rPr>
                      <w:rFonts w:cs="Times New Roman"/>
                    </w:rPr>
                  </w:pPr>
                  <w:r>
                    <w:rPr>
                      <w:rFonts w:hint="eastAsia" w:cs="Times New Roman"/>
                      <w:lang w:val="en-US" w:eastAsia="zh-CN"/>
                    </w:rPr>
                    <w:t>本项目</w:t>
                  </w:r>
                  <w:r>
                    <w:rPr>
                      <w:rFonts w:hint="eastAsia" w:cs="Times New Roman"/>
                      <w:color w:val="000000" w:themeColor="text1"/>
                      <w:sz w:val="21"/>
                      <w:szCs w:val="21"/>
                      <w:highlight w:val="none"/>
                      <w:lang w:val="en-US" w:eastAsia="zh-CN"/>
                      <w14:textFill>
                        <w14:solidFill>
                          <w14:schemeClr w14:val="tx1"/>
                        </w14:solidFill>
                      </w14:textFill>
                    </w:rPr>
                    <w:t>含烃类物质随水基岩屑和热脱附干渣煅烧而直接焚烧处理后，经1根25m高排气筒（DA001）排放</w:t>
                  </w:r>
                  <w:r>
                    <w:rPr>
                      <w:rFonts w:cs="Times New Roman"/>
                    </w:rPr>
                    <w:t>。</w:t>
                  </w:r>
                </w:p>
              </w:tc>
              <w:tc>
                <w:tcPr>
                  <w:tcW w:w="284" w:type="pct"/>
                  <w:vAlign w:val="center"/>
                </w:tcPr>
                <w:p w14:paraId="2C10BE39">
                  <w:pPr>
                    <w:pStyle w:val="12"/>
                    <w:rPr>
                      <w:rFonts w:cs="Times New Roman"/>
                    </w:rPr>
                  </w:pPr>
                  <w:r>
                    <w:rPr>
                      <w:rFonts w:cs="Times New Roman"/>
                    </w:rPr>
                    <w:t>符合</w:t>
                  </w:r>
                </w:p>
              </w:tc>
            </w:tr>
            <w:tr w14:paraId="7A0EC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658" w:type="pct"/>
                  <w:vMerge w:val="continue"/>
                  <w:vAlign w:val="center"/>
                </w:tcPr>
                <w:p w14:paraId="16D34893">
                  <w:pPr>
                    <w:pStyle w:val="12"/>
                    <w:rPr>
                      <w:rFonts w:cs="Times New Roman"/>
                    </w:rPr>
                  </w:pPr>
                </w:p>
              </w:tc>
              <w:tc>
                <w:tcPr>
                  <w:tcW w:w="260" w:type="pct"/>
                  <w:vMerge w:val="continue"/>
                  <w:vAlign w:val="center"/>
                </w:tcPr>
                <w:p w14:paraId="190DA65B">
                  <w:pPr>
                    <w:pStyle w:val="12"/>
                    <w:rPr>
                      <w:rFonts w:cs="Times New Roman"/>
                    </w:rPr>
                  </w:pPr>
                </w:p>
              </w:tc>
              <w:tc>
                <w:tcPr>
                  <w:tcW w:w="236" w:type="pct"/>
                  <w:vMerge w:val="restart"/>
                  <w:vAlign w:val="center"/>
                </w:tcPr>
                <w:p w14:paraId="6F8A2121">
                  <w:pPr>
                    <w:pStyle w:val="12"/>
                    <w:rPr>
                      <w:rFonts w:cs="Times New Roman"/>
                    </w:rPr>
                  </w:pPr>
                  <w:r>
                    <w:rPr>
                      <w:rFonts w:cs="Times New Roman"/>
                    </w:rPr>
                    <w:t>环境风险防控</w:t>
                  </w:r>
                </w:p>
              </w:tc>
              <w:tc>
                <w:tcPr>
                  <w:tcW w:w="413" w:type="pct"/>
                  <w:vAlign w:val="center"/>
                </w:tcPr>
                <w:p w14:paraId="44367830">
                  <w:pPr>
                    <w:pStyle w:val="12"/>
                    <w:rPr>
                      <w:rFonts w:hint="default" w:eastAsia="宋体" w:cs="Times New Roman"/>
                      <w:lang w:val="en-US" w:eastAsia="zh-CN"/>
                    </w:rPr>
                  </w:pPr>
                  <w:r>
                    <w:rPr>
                      <w:rFonts w:hint="eastAsia" w:cs="Times New Roman"/>
                      <w:lang w:val="en-US" w:eastAsia="zh-CN"/>
                    </w:rPr>
                    <w:t>联防联控要求</w:t>
                  </w:r>
                </w:p>
              </w:tc>
              <w:tc>
                <w:tcPr>
                  <w:tcW w:w="2423" w:type="pct"/>
                  <w:vAlign w:val="center"/>
                </w:tcPr>
                <w:p w14:paraId="72A495D9">
                  <w:pPr>
                    <w:pStyle w:val="12"/>
                    <w:jc w:val="left"/>
                    <w:rPr>
                      <w:rFonts w:cs="Times New Roman"/>
                    </w:rPr>
                  </w:pPr>
                  <w:r>
                    <w:rPr>
                      <w:rFonts w:ascii="Times New Roman" w:hAnsi="Times New Roman" w:eastAsia="宋体" w:cs="Times New Roman"/>
                    </w:rPr>
                    <w:t>强化大气污染区域联防联控措施，实施重污染天气应急管控。修订重污染天气应急预案，动态更新污染源排放清单，落实重点企业错峰生产、压产限产、工地停工等强制性措施，有效减缓重污染天气影响。</w:t>
                  </w:r>
                </w:p>
              </w:tc>
              <w:tc>
                <w:tcPr>
                  <w:tcW w:w="723" w:type="pct"/>
                  <w:vAlign w:val="center"/>
                </w:tcPr>
                <w:p w14:paraId="5DCC854B">
                  <w:pPr>
                    <w:pStyle w:val="12"/>
                    <w:rPr>
                      <w:rFonts w:hint="default" w:eastAsia="宋体" w:cs="Times New Roman"/>
                      <w:lang w:val="en-US" w:eastAsia="zh-CN"/>
                    </w:rPr>
                  </w:pPr>
                  <w:r>
                    <w:rPr>
                      <w:rFonts w:hint="eastAsia" w:cs="Times New Roman"/>
                      <w:lang w:val="en-US" w:eastAsia="zh-CN"/>
                    </w:rPr>
                    <w:t>本项目建成后严格落实区域重污染天气应急预案相关要求，在重污染天气严格按要求进行错峰生产、限产、停产等。</w:t>
                  </w:r>
                </w:p>
              </w:tc>
              <w:tc>
                <w:tcPr>
                  <w:tcW w:w="284" w:type="pct"/>
                  <w:vAlign w:val="center"/>
                </w:tcPr>
                <w:p w14:paraId="6EDE1639">
                  <w:pPr>
                    <w:pStyle w:val="12"/>
                    <w:rPr>
                      <w:rFonts w:hint="eastAsia" w:eastAsia="宋体" w:cs="Times New Roman"/>
                      <w:lang w:val="en-US" w:eastAsia="zh-CN"/>
                    </w:rPr>
                  </w:pPr>
                  <w:r>
                    <w:rPr>
                      <w:rFonts w:hint="eastAsia" w:cs="Times New Roman"/>
                      <w:lang w:val="en-US" w:eastAsia="zh-CN"/>
                    </w:rPr>
                    <w:t>符合</w:t>
                  </w:r>
                </w:p>
              </w:tc>
            </w:tr>
            <w:tr w14:paraId="66D1F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658" w:type="pct"/>
                  <w:vMerge w:val="continue"/>
                  <w:vAlign w:val="center"/>
                </w:tcPr>
                <w:p w14:paraId="0E11EFFC">
                  <w:pPr>
                    <w:pStyle w:val="12"/>
                    <w:rPr>
                      <w:rFonts w:cs="Times New Roman"/>
                    </w:rPr>
                  </w:pPr>
                </w:p>
              </w:tc>
              <w:tc>
                <w:tcPr>
                  <w:tcW w:w="260" w:type="pct"/>
                  <w:vMerge w:val="continue"/>
                  <w:vAlign w:val="center"/>
                </w:tcPr>
                <w:p w14:paraId="4293E14E">
                  <w:pPr>
                    <w:pStyle w:val="12"/>
                    <w:rPr>
                      <w:rFonts w:cs="Times New Roman"/>
                    </w:rPr>
                  </w:pPr>
                </w:p>
              </w:tc>
              <w:tc>
                <w:tcPr>
                  <w:tcW w:w="236" w:type="pct"/>
                  <w:vMerge w:val="continue"/>
                  <w:vAlign w:val="center"/>
                </w:tcPr>
                <w:p w14:paraId="3E374620">
                  <w:pPr>
                    <w:pStyle w:val="12"/>
                    <w:rPr>
                      <w:rFonts w:cs="Times New Roman"/>
                    </w:rPr>
                  </w:pPr>
                </w:p>
              </w:tc>
              <w:tc>
                <w:tcPr>
                  <w:tcW w:w="413" w:type="pct"/>
                  <w:vAlign w:val="center"/>
                </w:tcPr>
                <w:p w14:paraId="698A1CD4">
                  <w:pPr>
                    <w:pStyle w:val="12"/>
                    <w:rPr>
                      <w:rFonts w:cs="Times New Roman"/>
                    </w:rPr>
                  </w:pPr>
                  <w:r>
                    <w:rPr>
                      <w:rFonts w:cs="Times New Roman"/>
                    </w:rPr>
                    <w:t>其他环境风险防控要求</w:t>
                  </w:r>
                </w:p>
              </w:tc>
              <w:tc>
                <w:tcPr>
                  <w:tcW w:w="2423" w:type="pct"/>
                  <w:vAlign w:val="center"/>
                </w:tcPr>
                <w:p w14:paraId="35049F7B">
                  <w:pPr>
                    <w:pStyle w:val="12"/>
                    <w:jc w:val="left"/>
                    <w:rPr>
                      <w:rFonts w:cs="Times New Roman"/>
                    </w:rPr>
                  </w:pPr>
                  <w:r>
                    <w:rPr>
                      <w:rFonts w:cs="Times New Roman"/>
                    </w:rPr>
                    <w:t>（1）涉及有毒有害、易燃易爆物质新建、改扩建项目，严控准入要求。</w:t>
                  </w:r>
                </w:p>
                <w:p w14:paraId="0D67095A">
                  <w:pPr>
                    <w:pStyle w:val="12"/>
                    <w:jc w:val="left"/>
                    <w:rPr>
                      <w:rFonts w:cs="Times New Roman"/>
                    </w:rPr>
                  </w:pPr>
                  <w:r>
                    <w:rPr>
                      <w:rFonts w:cs="Times New Roman"/>
                    </w:rPr>
                    <w:t>（2）园区风险防控体系要求：构建三级环境风险防控体系，强化危化品泄漏应急处置措施，确保风险可控。针对化工园区进一步强化风险防控。化工园区应具有安全风险监控体系、建立生态环境监测监控体系、建立必要的突发环境事件应急体系。</w:t>
                  </w:r>
                </w:p>
                <w:p w14:paraId="44DE891A">
                  <w:pPr>
                    <w:pStyle w:val="12"/>
                    <w:jc w:val="left"/>
                    <w:rPr>
                      <w:rFonts w:cs="Times New Roman"/>
                    </w:rPr>
                  </w:pPr>
                  <w:r>
                    <w:rPr>
                      <w:rFonts w:cs="Times New Roman"/>
                    </w:rPr>
                    <w:t>（3）有色金属冶炼、石油加工、化工、焦化、电镀、制革等行业企业拆除生产设施设备、构筑物和污染治理设施，要事先制定残留污染物清理和安全处置方案，要严格按照有关规定实施安全处理处置，防范拆除活动污染土壤。</w:t>
                  </w:r>
                </w:p>
                <w:p w14:paraId="7280DDBC">
                  <w:pPr>
                    <w:pStyle w:val="12"/>
                    <w:jc w:val="left"/>
                    <w:rPr>
                      <w:rFonts w:cs="Times New Roman"/>
                    </w:rPr>
                  </w:pPr>
                  <w:r>
                    <w:rPr>
                      <w:rFonts w:cs="Times New Roman"/>
                    </w:rPr>
                    <w:t>（4）已污染地块，应当依法开展土壤污染状况调查、治理与修复，符合相关环境质量要求后，方可进入用地程序。</w:t>
                  </w:r>
                </w:p>
              </w:tc>
              <w:tc>
                <w:tcPr>
                  <w:tcW w:w="723" w:type="pct"/>
                  <w:vAlign w:val="center"/>
                </w:tcPr>
                <w:p w14:paraId="54C764A4">
                  <w:pPr>
                    <w:pStyle w:val="12"/>
                    <w:rPr>
                      <w:rFonts w:cs="Times New Roman"/>
                    </w:rPr>
                  </w:pPr>
                  <w:r>
                    <w:rPr>
                      <w:rFonts w:cs="Times New Roman"/>
                    </w:rPr>
                    <w:t>本项目不属于涉及有毒有害、易燃易爆物质项目。经风险评估，本项目风险潜势为I级，总体环境风险较低。</w:t>
                  </w:r>
                </w:p>
              </w:tc>
              <w:tc>
                <w:tcPr>
                  <w:tcW w:w="284" w:type="pct"/>
                  <w:vAlign w:val="center"/>
                </w:tcPr>
                <w:p w14:paraId="006CBE6D">
                  <w:pPr>
                    <w:pStyle w:val="12"/>
                    <w:rPr>
                      <w:rFonts w:cs="Times New Roman"/>
                    </w:rPr>
                  </w:pPr>
                  <w:r>
                    <w:rPr>
                      <w:rFonts w:cs="Times New Roman"/>
                    </w:rPr>
                    <w:t>符合</w:t>
                  </w:r>
                </w:p>
              </w:tc>
            </w:tr>
            <w:tr w14:paraId="4E589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658" w:type="pct"/>
                  <w:vMerge w:val="continue"/>
                  <w:vAlign w:val="center"/>
                </w:tcPr>
                <w:p w14:paraId="55B7A1B6">
                  <w:pPr>
                    <w:pStyle w:val="12"/>
                    <w:rPr>
                      <w:rFonts w:cs="Times New Roman"/>
                    </w:rPr>
                  </w:pPr>
                </w:p>
              </w:tc>
              <w:tc>
                <w:tcPr>
                  <w:tcW w:w="260" w:type="pct"/>
                  <w:vMerge w:val="continue"/>
                  <w:vAlign w:val="center"/>
                </w:tcPr>
                <w:p w14:paraId="00C3AB32">
                  <w:pPr>
                    <w:pStyle w:val="12"/>
                    <w:rPr>
                      <w:rFonts w:cs="Times New Roman"/>
                    </w:rPr>
                  </w:pPr>
                </w:p>
              </w:tc>
              <w:tc>
                <w:tcPr>
                  <w:tcW w:w="236" w:type="pct"/>
                  <w:vMerge w:val="restart"/>
                  <w:vAlign w:val="center"/>
                </w:tcPr>
                <w:p w14:paraId="6D8B5C1A">
                  <w:pPr>
                    <w:pStyle w:val="12"/>
                    <w:rPr>
                      <w:rFonts w:cs="Times New Roman"/>
                    </w:rPr>
                  </w:pPr>
                  <w:r>
                    <w:rPr>
                      <w:rFonts w:cs="Times New Roman"/>
                    </w:rPr>
                    <w:t>资源开发利用效率要求</w:t>
                  </w:r>
                </w:p>
              </w:tc>
              <w:tc>
                <w:tcPr>
                  <w:tcW w:w="413" w:type="pct"/>
                  <w:vAlign w:val="center"/>
                </w:tcPr>
                <w:p w14:paraId="16594178">
                  <w:pPr>
                    <w:pStyle w:val="12"/>
                    <w:rPr>
                      <w:rFonts w:cs="Times New Roman"/>
                    </w:rPr>
                  </w:pPr>
                  <w:r>
                    <w:rPr>
                      <w:rFonts w:cs="Times New Roman"/>
                    </w:rPr>
                    <w:t>水资源利用总量要求</w:t>
                  </w:r>
                </w:p>
              </w:tc>
              <w:tc>
                <w:tcPr>
                  <w:tcW w:w="2423" w:type="pct"/>
                  <w:vAlign w:val="center"/>
                </w:tcPr>
                <w:p w14:paraId="79314686">
                  <w:pPr>
                    <w:pStyle w:val="12"/>
                    <w:jc w:val="left"/>
                    <w:rPr>
                      <w:rFonts w:cs="Times New Roman"/>
                    </w:rPr>
                  </w:pPr>
                  <w:r>
                    <w:rPr>
                      <w:rFonts w:cs="Times New Roman"/>
                    </w:rPr>
                    <w:t>（1）到2022年，万元国内生产总值用水量、万元工业增加值用水量较2015年分别降低30%和28%。</w:t>
                  </w:r>
                </w:p>
              </w:tc>
              <w:tc>
                <w:tcPr>
                  <w:tcW w:w="723" w:type="pct"/>
                  <w:vAlign w:val="center"/>
                </w:tcPr>
                <w:p w14:paraId="726B69C7">
                  <w:pPr>
                    <w:pStyle w:val="12"/>
                    <w:rPr>
                      <w:rFonts w:cs="Times New Roman"/>
                    </w:rPr>
                  </w:pPr>
                  <w:r>
                    <w:rPr>
                      <w:rFonts w:cs="Times New Roman"/>
                    </w:rPr>
                    <w:t>本项目用水量较少，用水仅为市政供水的自来水，不涉及取水。</w:t>
                  </w:r>
                </w:p>
              </w:tc>
              <w:tc>
                <w:tcPr>
                  <w:tcW w:w="284" w:type="pct"/>
                  <w:vAlign w:val="center"/>
                </w:tcPr>
                <w:p w14:paraId="1DC5F51A">
                  <w:pPr>
                    <w:pStyle w:val="12"/>
                    <w:rPr>
                      <w:rFonts w:cs="Times New Roman"/>
                    </w:rPr>
                  </w:pPr>
                  <w:r>
                    <w:rPr>
                      <w:rFonts w:cs="Times New Roman"/>
                    </w:rPr>
                    <w:t>符合</w:t>
                  </w:r>
                </w:p>
              </w:tc>
            </w:tr>
            <w:tr w14:paraId="6853E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658" w:type="pct"/>
                  <w:vMerge w:val="continue"/>
                  <w:vAlign w:val="center"/>
                </w:tcPr>
                <w:p w14:paraId="37F345F5">
                  <w:pPr>
                    <w:pStyle w:val="12"/>
                    <w:rPr>
                      <w:rFonts w:cs="Times New Roman"/>
                    </w:rPr>
                  </w:pPr>
                </w:p>
              </w:tc>
              <w:tc>
                <w:tcPr>
                  <w:tcW w:w="260" w:type="pct"/>
                  <w:vMerge w:val="continue"/>
                  <w:vAlign w:val="center"/>
                </w:tcPr>
                <w:p w14:paraId="0ACFAC7C">
                  <w:pPr>
                    <w:pStyle w:val="12"/>
                    <w:rPr>
                      <w:rFonts w:cs="Times New Roman"/>
                    </w:rPr>
                  </w:pPr>
                </w:p>
              </w:tc>
              <w:tc>
                <w:tcPr>
                  <w:tcW w:w="236" w:type="pct"/>
                  <w:vMerge w:val="continue"/>
                  <w:vAlign w:val="center"/>
                </w:tcPr>
                <w:p w14:paraId="5C18DAC6">
                  <w:pPr>
                    <w:pStyle w:val="12"/>
                    <w:rPr>
                      <w:rFonts w:cs="Times New Roman"/>
                    </w:rPr>
                  </w:pPr>
                </w:p>
              </w:tc>
              <w:tc>
                <w:tcPr>
                  <w:tcW w:w="413" w:type="pct"/>
                  <w:vAlign w:val="center"/>
                </w:tcPr>
                <w:p w14:paraId="408DD3F1">
                  <w:pPr>
                    <w:pStyle w:val="12"/>
                    <w:rPr>
                      <w:rFonts w:cs="Times New Roman"/>
                    </w:rPr>
                  </w:pPr>
                  <w:r>
                    <w:rPr>
                      <w:rFonts w:cs="Times New Roman"/>
                    </w:rPr>
                    <w:t>地下水开采要求</w:t>
                  </w:r>
                </w:p>
              </w:tc>
              <w:tc>
                <w:tcPr>
                  <w:tcW w:w="2423" w:type="pct"/>
                  <w:vAlign w:val="center"/>
                </w:tcPr>
                <w:p w14:paraId="7899B537">
                  <w:pPr>
                    <w:pStyle w:val="12"/>
                    <w:jc w:val="left"/>
                    <w:rPr>
                      <w:rFonts w:cs="Times New Roman"/>
                    </w:rPr>
                  </w:pPr>
                  <w:r>
                    <w:rPr>
                      <w:rFonts w:cs="Times New Roman"/>
                    </w:rPr>
                    <w:t>（1）巴中市2025年地下水开采</w:t>
                  </w:r>
                  <w:r>
                    <w:rPr>
                      <w:rFonts w:hint="eastAsia" w:cs="Times New Roman"/>
                      <w:lang w:eastAsia="zh-CN"/>
                    </w:rPr>
                    <w:t>控制</w:t>
                  </w:r>
                  <w:r>
                    <w:rPr>
                      <w:rFonts w:cs="Times New Roman"/>
                    </w:rPr>
                    <w:t>量保持在1400万m</w:t>
                  </w:r>
                  <w:r>
                    <w:rPr>
                      <w:rFonts w:cs="Times New Roman"/>
                      <w:vertAlign w:val="superscript"/>
                    </w:rPr>
                    <w:t>3</w:t>
                  </w:r>
                  <w:r>
                    <w:rPr>
                      <w:rFonts w:cs="Times New Roman"/>
                    </w:rPr>
                    <w:t>以内。</w:t>
                  </w:r>
                </w:p>
                <w:p w14:paraId="1C08A19D">
                  <w:pPr>
                    <w:pStyle w:val="12"/>
                    <w:jc w:val="left"/>
                    <w:rPr>
                      <w:rFonts w:cs="Times New Roman"/>
                    </w:rPr>
                  </w:pPr>
                  <w:r>
                    <w:rPr>
                      <w:rFonts w:cs="Times New Roman"/>
                    </w:rPr>
                    <w:t>（2）地下水开采量控制在可开采量的允许范围内，抑制用水过度增长。</w:t>
                  </w:r>
                </w:p>
              </w:tc>
              <w:tc>
                <w:tcPr>
                  <w:tcW w:w="723" w:type="pct"/>
                  <w:vAlign w:val="center"/>
                </w:tcPr>
                <w:p w14:paraId="122CCE71">
                  <w:pPr>
                    <w:pStyle w:val="12"/>
                    <w:rPr>
                      <w:rFonts w:cs="Times New Roman"/>
                    </w:rPr>
                  </w:pPr>
                  <w:r>
                    <w:rPr>
                      <w:rFonts w:cs="Times New Roman"/>
                    </w:rPr>
                    <w:t>本项目用水为市政供水的自来水，不涉及地下水。</w:t>
                  </w:r>
                </w:p>
              </w:tc>
              <w:tc>
                <w:tcPr>
                  <w:tcW w:w="284" w:type="pct"/>
                  <w:vAlign w:val="center"/>
                </w:tcPr>
                <w:p w14:paraId="5BF886B0">
                  <w:pPr>
                    <w:pStyle w:val="12"/>
                    <w:rPr>
                      <w:rFonts w:cs="Times New Roman"/>
                    </w:rPr>
                  </w:pPr>
                  <w:r>
                    <w:rPr>
                      <w:rFonts w:cs="Times New Roman"/>
                    </w:rPr>
                    <w:t>符合</w:t>
                  </w:r>
                </w:p>
              </w:tc>
            </w:tr>
            <w:tr w14:paraId="63550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658" w:type="pct"/>
                  <w:vMerge w:val="continue"/>
                  <w:vAlign w:val="center"/>
                </w:tcPr>
                <w:p w14:paraId="0222A07D">
                  <w:pPr>
                    <w:pStyle w:val="12"/>
                    <w:rPr>
                      <w:rFonts w:cs="Times New Roman"/>
                    </w:rPr>
                  </w:pPr>
                </w:p>
              </w:tc>
              <w:tc>
                <w:tcPr>
                  <w:tcW w:w="260" w:type="pct"/>
                  <w:vMerge w:val="continue"/>
                  <w:vAlign w:val="center"/>
                </w:tcPr>
                <w:p w14:paraId="0573987B">
                  <w:pPr>
                    <w:pStyle w:val="12"/>
                    <w:rPr>
                      <w:rFonts w:cs="Times New Roman"/>
                    </w:rPr>
                  </w:pPr>
                </w:p>
              </w:tc>
              <w:tc>
                <w:tcPr>
                  <w:tcW w:w="236" w:type="pct"/>
                  <w:vMerge w:val="continue"/>
                  <w:vAlign w:val="center"/>
                </w:tcPr>
                <w:p w14:paraId="3EAD5B96">
                  <w:pPr>
                    <w:pStyle w:val="12"/>
                    <w:rPr>
                      <w:rFonts w:cs="Times New Roman"/>
                    </w:rPr>
                  </w:pPr>
                </w:p>
              </w:tc>
              <w:tc>
                <w:tcPr>
                  <w:tcW w:w="413" w:type="pct"/>
                  <w:vAlign w:val="center"/>
                </w:tcPr>
                <w:p w14:paraId="1B9F5D1B">
                  <w:pPr>
                    <w:pStyle w:val="12"/>
                    <w:rPr>
                      <w:rFonts w:cs="Times New Roman"/>
                    </w:rPr>
                  </w:pPr>
                  <w:r>
                    <w:rPr>
                      <w:rFonts w:cs="Times New Roman"/>
                    </w:rPr>
                    <w:t>能源利用总量及效率要求</w:t>
                  </w:r>
                </w:p>
              </w:tc>
              <w:tc>
                <w:tcPr>
                  <w:tcW w:w="2423" w:type="pct"/>
                  <w:vAlign w:val="center"/>
                </w:tcPr>
                <w:p w14:paraId="207F061D">
                  <w:pPr>
                    <w:pStyle w:val="12"/>
                    <w:jc w:val="left"/>
                    <w:rPr>
                      <w:rFonts w:cs="Times New Roman"/>
                    </w:rPr>
                  </w:pPr>
                  <w:r>
                    <w:rPr>
                      <w:rFonts w:cs="Times New Roman"/>
                    </w:rPr>
                    <w:t>（1）新、改扩建项目污染能耗指标满足《四川省省级生态工业园区指标》综合类生态工业园区要求。</w:t>
                  </w:r>
                </w:p>
                <w:p w14:paraId="3F134109">
                  <w:pPr>
                    <w:pStyle w:val="12"/>
                    <w:jc w:val="left"/>
                    <w:rPr>
                      <w:rFonts w:cs="Times New Roman"/>
                    </w:rPr>
                  </w:pPr>
                  <w:r>
                    <w:rPr>
                      <w:rFonts w:cs="Times New Roman"/>
                    </w:rPr>
                    <w:t>（2）实施新建项目与煤炭消费总量控制挂钩机制，耗煤建设项目实行煤炭消耗等量减量替代。</w:t>
                  </w:r>
                </w:p>
                <w:p w14:paraId="469057B9">
                  <w:pPr>
                    <w:pStyle w:val="12"/>
                    <w:jc w:val="left"/>
                    <w:rPr>
                      <w:rFonts w:hint="eastAsia" w:ascii="宋体" w:hAnsi="宋体" w:eastAsia="宋体" w:cs="宋体"/>
                    </w:rPr>
                  </w:pPr>
                  <w:r>
                    <w:rPr>
                      <w:rFonts w:cs="Times New Roman"/>
                    </w:rPr>
                    <w:t>（3）提高煤炭利用效率和天然气利用占</w:t>
                  </w:r>
                  <w:r>
                    <w:rPr>
                      <w:rFonts w:hint="eastAsia" w:ascii="宋体" w:hAnsi="宋体" w:eastAsia="宋体" w:cs="宋体"/>
                    </w:rPr>
                    <w:t>比，工业领域有序推进“煤改电”和有序推进“煤改气”。</w:t>
                  </w:r>
                </w:p>
                <w:p w14:paraId="6063C610">
                  <w:pPr>
                    <w:pStyle w:val="12"/>
                    <w:jc w:val="left"/>
                    <w:rPr>
                      <w:rFonts w:cs="Times New Roman"/>
                    </w:rPr>
                  </w:pPr>
                  <w:r>
                    <w:rPr>
                      <w:rFonts w:cs="Times New Roman"/>
                    </w:rPr>
                    <w:t>（4）全面淘汰每小时10蒸吨以下的燃煤锅炉；在供气管网覆盖不到的其他地区，改用电、新能源或洁净煤。</w:t>
                  </w:r>
                </w:p>
                <w:p w14:paraId="4BC39446">
                  <w:pPr>
                    <w:pStyle w:val="12"/>
                    <w:jc w:val="left"/>
                    <w:rPr>
                      <w:rFonts w:cs="Times New Roman"/>
                    </w:rPr>
                  </w:pPr>
                  <w:r>
                    <w:rPr>
                      <w:rFonts w:cs="Times New Roman"/>
                    </w:rPr>
                    <w:t>（5）原则上不再新建35蒸吨/小时及以下的燃煤锅炉，推进县级及以上城市建成区淘汰35蒸吨/小时及以下燃煤锅炉，以工业余热、电厂热力、清洁能源等替代煤炭。对20蒸吨及以上燃煤锅炉实施脱硫改造，建设高效脱硫设施；对循环流化床锅炉以外的燃煤发电机组一律安装脱硫设施，对燃煤锅炉和工业锅炉现有除尘设施实施升级改造，确保达到新的排放标准和特别排放限值。</w:t>
                  </w:r>
                </w:p>
              </w:tc>
              <w:tc>
                <w:tcPr>
                  <w:tcW w:w="723" w:type="pct"/>
                  <w:vAlign w:val="center"/>
                </w:tcPr>
                <w:p w14:paraId="291C1580">
                  <w:pPr>
                    <w:pStyle w:val="12"/>
                    <w:rPr>
                      <w:rFonts w:cs="Times New Roman"/>
                    </w:rPr>
                  </w:pPr>
                  <w:r>
                    <w:rPr>
                      <w:rFonts w:hint="eastAsia" w:cs="Times New Roman"/>
                      <w:lang w:val="en-US" w:eastAsia="zh-CN"/>
                    </w:rPr>
                    <w:t>本项目污染指标满足</w:t>
                  </w:r>
                  <w:r>
                    <w:rPr>
                      <w:rFonts w:cs="Times New Roman"/>
                    </w:rPr>
                    <w:t>《四川省省级生态工业园区指标》综合类生态工业园区要求；本项目使用的能源为电、天然气，不涉及煤炭使用。</w:t>
                  </w:r>
                </w:p>
              </w:tc>
              <w:tc>
                <w:tcPr>
                  <w:tcW w:w="284" w:type="pct"/>
                  <w:vAlign w:val="center"/>
                </w:tcPr>
                <w:p w14:paraId="3571A1B3">
                  <w:pPr>
                    <w:pStyle w:val="12"/>
                    <w:rPr>
                      <w:rFonts w:cs="Times New Roman"/>
                    </w:rPr>
                  </w:pPr>
                  <w:r>
                    <w:rPr>
                      <w:rFonts w:cs="Times New Roman"/>
                    </w:rPr>
                    <w:t>符合</w:t>
                  </w:r>
                </w:p>
              </w:tc>
            </w:tr>
            <w:tr w14:paraId="1CFEA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658" w:type="pct"/>
                  <w:vMerge w:val="continue"/>
                  <w:vAlign w:val="center"/>
                </w:tcPr>
                <w:p w14:paraId="42C8979A">
                  <w:pPr>
                    <w:pStyle w:val="12"/>
                    <w:rPr>
                      <w:rFonts w:cs="Times New Roman"/>
                    </w:rPr>
                  </w:pPr>
                </w:p>
              </w:tc>
              <w:tc>
                <w:tcPr>
                  <w:tcW w:w="260" w:type="pct"/>
                  <w:vMerge w:val="continue"/>
                  <w:vAlign w:val="center"/>
                </w:tcPr>
                <w:p w14:paraId="246CBCDF">
                  <w:pPr>
                    <w:pStyle w:val="12"/>
                    <w:rPr>
                      <w:rFonts w:cs="Times New Roman"/>
                    </w:rPr>
                  </w:pPr>
                </w:p>
              </w:tc>
              <w:tc>
                <w:tcPr>
                  <w:tcW w:w="236" w:type="pct"/>
                  <w:vMerge w:val="continue"/>
                  <w:vAlign w:val="center"/>
                </w:tcPr>
                <w:p w14:paraId="7A968D40">
                  <w:pPr>
                    <w:pStyle w:val="12"/>
                    <w:rPr>
                      <w:rFonts w:cs="Times New Roman"/>
                    </w:rPr>
                  </w:pPr>
                </w:p>
              </w:tc>
              <w:tc>
                <w:tcPr>
                  <w:tcW w:w="413" w:type="pct"/>
                  <w:vAlign w:val="center"/>
                </w:tcPr>
                <w:p w14:paraId="7CB5D312">
                  <w:pPr>
                    <w:pStyle w:val="12"/>
                    <w:rPr>
                      <w:rFonts w:cs="Times New Roman"/>
                    </w:rPr>
                  </w:pPr>
                  <w:r>
                    <w:rPr>
                      <w:rFonts w:cs="Times New Roman"/>
                    </w:rPr>
                    <w:t>其他资源利用效率要求</w:t>
                  </w:r>
                </w:p>
              </w:tc>
              <w:tc>
                <w:tcPr>
                  <w:tcW w:w="2423" w:type="pct"/>
                  <w:vAlign w:val="center"/>
                </w:tcPr>
                <w:p w14:paraId="03053CC4">
                  <w:pPr>
                    <w:pStyle w:val="12"/>
                    <w:jc w:val="left"/>
                    <w:rPr>
                      <w:rFonts w:cs="Times New Roman"/>
                    </w:rPr>
                  </w:pPr>
                  <w:r>
                    <w:rPr>
                      <w:rFonts w:cs="Times New Roman"/>
                    </w:rPr>
                    <w:t>（1）到2025年，巴中市万元工业增加值用水降低至22.4m</w:t>
                  </w:r>
                  <w:r>
                    <w:rPr>
                      <w:rFonts w:cs="Times New Roman"/>
                      <w:vertAlign w:val="superscript"/>
                    </w:rPr>
                    <w:t>3</w:t>
                  </w:r>
                  <w:r>
                    <w:rPr>
                      <w:rFonts w:cs="Times New Roman"/>
                    </w:rPr>
                    <w:t>，工业用水重复利用率达到75.5%以上；到2030年，巴中市万元工业增加值用水量降低到17.1m</w:t>
                  </w:r>
                  <w:r>
                    <w:rPr>
                      <w:rFonts w:cs="Times New Roman"/>
                      <w:vertAlign w:val="superscript"/>
                    </w:rPr>
                    <w:t>3</w:t>
                  </w:r>
                  <w:r>
                    <w:rPr>
                      <w:rFonts w:cs="Times New Roman"/>
                    </w:rPr>
                    <w:t>，工业用水重复利用率达到81.3%以上。</w:t>
                  </w:r>
                </w:p>
                <w:p w14:paraId="388F0A5E">
                  <w:pPr>
                    <w:pStyle w:val="12"/>
                    <w:jc w:val="left"/>
                    <w:rPr>
                      <w:rFonts w:cs="Times New Roman"/>
                    </w:rPr>
                  </w:pPr>
                  <w:r>
                    <w:rPr>
                      <w:rFonts w:cs="Times New Roman"/>
                    </w:rPr>
                    <w:t>（2）新、改扩建项目污染水耗指标满足《四川省省级生态工业园区指标》综合类生态工业园区要求。</w:t>
                  </w:r>
                </w:p>
                <w:p w14:paraId="6D121DFA">
                  <w:pPr>
                    <w:pStyle w:val="12"/>
                    <w:jc w:val="left"/>
                    <w:rPr>
                      <w:rFonts w:cs="Times New Roman"/>
                    </w:rPr>
                  </w:pPr>
                  <w:r>
                    <w:rPr>
                      <w:rFonts w:cs="Times New Roman"/>
                    </w:rPr>
                    <w:t>（3）鼓励引导新建、改建、扩建工业园区应当按照有关要求统筹建设工业废水集中处理和回用设施，适时推进企业间串联用水、分质用水、一水多用，实现水循环梯级优化利用和废水集中处理回用，创建节水型工业园区。</w:t>
                  </w:r>
                </w:p>
                <w:p w14:paraId="666F5F6F">
                  <w:pPr>
                    <w:pStyle w:val="12"/>
                    <w:jc w:val="left"/>
                    <w:rPr>
                      <w:rFonts w:cs="Times New Roman"/>
                    </w:rPr>
                  </w:pPr>
                  <w:r>
                    <w:rPr>
                      <w:rFonts w:cs="Times New Roman"/>
                    </w:rPr>
                    <w:t>（4）鼓励火力发电、钢铁、纺织、造纸、石化和化工、食品和发酵等高耗水企业对废水进行深度处理回用，降低单位产品耗水量。火电、石化、钢铁、有色、造纸、印染等高耗水行业项目具备使用再生水条件但未有效利用的，要严格控制新增取水许可。</w:t>
                  </w:r>
                </w:p>
              </w:tc>
              <w:tc>
                <w:tcPr>
                  <w:tcW w:w="723" w:type="pct"/>
                  <w:vAlign w:val="center"/>
                </w:tcPr>
                <w:p w14:paraId="59AD15F1">
                  <w:pPr>
                    <w:pStyle w:val="12"/>
                    <w:rPr>
                      <w:rFonts w:cs="Times New Roman"/>
                    </w:rPr>
                  </w:pPr>
                  <w:r>
                    <w:rPr>
                      <w:rFonts w:cs="Times New Roman"/>
                    </w:rPr>
                    <w:t>本项目</w:t>
                  </w:r>
                  <w:r>
                    <w:rPr>
                      <w:rFonts w:hint="eastAsia" w:cs="Times New Roman"/>
                      <w:lang w:val="en-US" w:eastAsia="zh-CN"/>
                    </w:rPr>
                    <w:t>污染水耗满足</w:t>
                  </w:r>
                  <w:r>
                    <w:rPr>
                      <w:rFonts w:cs="Times New Roman"/>
                    </w:rPr>
                    <w:t>《四川省省级生态工业园区指标》综合类生态工业园区要求</w:t>
                  </w:r>
                  <w:r>
                    <w:rPr>
                      <w:rFonts w:hint="eastAsia" w:cs="Times New Roman"/>
                      <w:lang w:eastAsia="zh-CN"/>
                    </w:rPr>
                    <w:t>；</w:t>
                  </w:r>
                  <w:r>
                    <w:rPr>
                      <w:rFonts w:hint="eastAsia" w:cs="Times New Roman"/>
                      <w:lang w:val="en-US" w:eastAsia="zh-CN"/>
                    </w:rPr>
                    <w:t>不属于高水耗项目</w:t>
                  </w:r>
                  <w:r>
                    <w:rPr>
                      <w:rFonts w:cs="Times New Roman"/>
                    </w:rPr>
                    <w:t>；</w:t>
                  </w:r>
                  <w:r>
                    <w:rPr>
                      <w:rFonts w:hint="eastAsia" w:cs="Times New Roman"/>
                      <w:lang w:val="en-US" w:eastAsia="zh-CN"/>
                    </w:rPr>
                    <w:t>本项目</w:t>
                  </w:r>
                  <w:r>
                    <w:rPr>
                      <w:rFonts w:cs="Times New Roman"/>
                    </w:rPr>
                    <w:t>供水均为自来水，不涉及取水</w:t>
                  </w:r>
                  <w:r>
                    <w:rPr>
                      <w:rFonts w:hint="eastAsia" w:cs="Times New Roman"/>
                      <w:lang w:eastAsia="zh-CN"/>
                    </w:rPr>
                    <w:t>，</w:t>
                  </w:r>
                  <w:r>
                    <w:rPr>
                      <w:rFonts w:hint="eastAsia" w:cs="Times New Roman"/>
                      <w:lang w:val="en-US" w:eastAsia="zh-CN"/>
                    </w:rPr>
                    <w:t>生活污水</w:t>
                  </w:r>
                  <w:r>
                    <w:rPr>
                      <w:rFonts w:cs="Times New Roman"/>
                    </w:rPr>
                    <w:t>预处理后通过市政管网送至</w:t>
                  </w:r>
                  <w:r>
                    <w:rPr>
                      <w:rFonts w:hint="eastAsia" w:cs="Times New Roman"/>
                      <w:lang w:val="en-US" w:eastAsia="zh-CN"/>
                    </w:rPr>
                    <w:t>星光工业</w:t>
                  </w:r>
                  <w:r>
                    <w:rPr>
                      <w:rFonts w:cs="Times New Roman"/>
                    </w:rPr>
                    <w:t>园区污水处理</w:t>
                  </w:r>
                  <w:r>
                    <w:rPr>
                      <w:rFonts w:hint="eastAsia" w:cs="Times New Roman"/>
                      <w:lang w:val="en-US" w:eastAsia="zh-CN"/>
                    </w:rPr>
                    <w:t>厂</w:t>
                  </w:r>
                  <w:r>
                    <w:rPr>
                      <w:rFonts w:cs="Times New Roman"/>
                    </w:rPr>
                    <w:t>处理后达标排放</w:t>
                  </w:r>
                  <w:r>
                    <w:rPr>
                      <w:rFonts w:hint="eastAsia" w:cs="Times New Roman"/>
                      <w:lang w:eastAsia="zh-CN"/>
                    </w:rPr>
                    <w:t>；</w:t>
                  </w:r>
                  <w:r>
                    <w:rPr>
                      <w:rFonts w:hint="eastAsia" w:cs="Times New Roman"/>
                      <w:lang w:val="en-US" w:eastAsia="zh-CN"/>
                    </w:rPr>
                    <w:t>生产废水部分回用，不能回用部分委托四川洁安环境科技有限公司清运处理</w:t>
                  </w:r>
                  <w:r>
                    <w:rPr>
                      <w:rFonts w:cs="Times New Roman"/>
                    </w:rPr>
                    <w:t>。</w:t>
                  </w:r>
                </w:p>
              </w:tc>
              <w:tc>
                <w:tcPr>
                  <w:tcW w:w="284" w:type="pct"/>
                  <w:vAlign w:val="center"/>
                </w:tcPr>
                <w:p w14:paraId="602F989D">
                  <w:pPr>
                    <w:pStyle w:val="12"/>
                    <w:rPr>
                      <w:rFonts w:cs="Times New Roman"/>
                    </w:rPr>
                  </w:pPr>
                  <w:r>
                    <w:rPr>
                      <w:rFonts w:cs="Times New Roman"/>
                    </w:rPr>
                    <w:t>符合</w:t>
                  </w:r>
                </w:p>
              </w:tc>
            </w:tr>
            <w:tr w14:paraId="10F25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658" w:type="pct"/>
                  <w:vMerge w:val="continue"/>
                  <w:vAlign w:val="center"/>
                </w:tcPr>
                <w:p w14:paraId="3F3B834B">
                  <w:pPr>
                    <w:pStyle w:val="12"/>
                    <w:rPr>
                      <w:rFonts w:cs="Times New Roman"/>
                    </w:rPr>
                  </w:pPr>
                </w:p>
              </w:tc>
              <w:tc>
                <w:tcPr>
                  <w:tcW w:w="260" w:type="pct"/>
                  <w:vMerge w:val="restart"/>
                  <w:vAlign w:val="center"/>
                </w:tcPr>
                <w:p w14:paraId="40EA194C">
                  <w:pPr>
                    <w:pStyle w:val="12"/>
                    <w:rPr>
                      <w:rFonts w:hint="default" w:eastAsia="宋体" w:cs="Times New Roman"/>
                      <w:lang w:val="en-US" w:eastAsia="zh-CN"/>
                    </w:rPr>
                  </w:pPr>
                  <w:r>
                    <w:rPr>
                      <w:rFonts w:hint="eastAsia" w:cs="Times New Roman"/>
                      <w:lang w:val="en-US" w:eastAsia="zh-CN"/>
                    </w:rPr>
                    <w:t>平昌县管控要求</w:t>
                  </w:r>
                </w:p>
              </w:tc>
              <w:tc>
                <w:tcPr>
                  <w:tcW w:w="236" w:type="pct"/>
                  <w:vAlign w:val="center"/>
                </w:tcPr>
                <w:p w14:paraId="4A790CDE">
                  <w:pPr>
                    <w:pStyle w:val="12"/>
                    <w:rPr>
                      <w:rFonts w:hint="default" w:eastAsia="宋体" w:cs="Times New Roman"/>
                      <w:lang w:val="en-US" w:eastAsia="zh-CN"/>
                    </w:rPr>
                  </w:pPr>
                  <w:r>
                    <w:rPr>
                      <w:rFonts w:hint="eastAsia" w:cs="Times New Roman"/>
                      <w:lang w:val="en-US" w:eastAsia="zh-CN"/>
                    </w:rPr>
                    <w:t>空间布局约束</w:t>
                  </w:r>
                </w:p>
              </w:tc>
              <w:tc>
                <w:tcPr>
                  <w:tcW w:w="413" w:type="pct"/>
                  <w:vAlign w:val="center"/>
                </w:tcPr>
                <w:p w14:paraId="2692DA73">
                  <w:pPr>
                    <w:pStyle w:val="12"/>
                    <w:rPr>
                      <w:rFonts w:hint="default" w:eastAsia="宋体" w:cs="Times New Roman"/>
                      <w:lang w:val="en-US" w:eastAsia="zh-CN"/>
                    </w:rPr>
                  </w:pPr>
                  <w:r>
                    <w:rPr>
                      <w:rFonts w:hint="eastAsia" w:cs="Times New Roman"/>
                      <w:lang w:val="en-US" w:eastAsia="zh-CN"/>
                    </w:rPr>
                    <w:t>不符合空间布局要求活动的退出要求</w:t>
                  </w:r>
                </w:p>
              </w:tc>
              <w:tc>
                <w:tcPr>
                  <w:tcW w:w="2423" w:type="pct"/>
                  <w:vAlign w:val="center"/>
                </w:tcPr>
                <w:p w14:paraId="489BDD19">
                  <w:pPr>
                    <w:pStyle w:val="12"/>
                    <w:jc w:val="left"/>
                    <w:rPr>
                      <w:rFonts w:ascii="Times New Roman" w:hAnsi="Times New Roman" w:eastAsia="宋体" w:cs="Times New Roman"/>
                    </w:rPr>
                  </w:pPr>
                  <w:r>
                    <w:rPr>
                      <w:rFonts w:ascii="Times New Roman" w:hAnsi="Times New Roman" w:eastAsia="宋体" w:cs="Times New Roman"/>
                    </w:rPr>
                    <w:t>-统筹生态环境保护与经济社会发展的关系，落实农产品主产区的功能定位要求；</w:t>
                  </w:r>
                </w:p>
                <w:p w14:paraId="2C535456">
                  <w:pPr>
                    <w:pStyle w:val="12"/>
                    <w:jc w:val="left"/>
                    <w:rPr>
                      <w:rFonts w:ascii="Times New Roman" w:hAnsi="Times New Roman" w:eastAsia="宋体" w:cs="Times New Roman"/>
                    </w:rPr>
                  </w:pPr>
                  <w:r>
                    <w:rPr>
                      <w:rFonts w:ascii="Times New Roman" w:hAnsi="Times New Roman" w:eastAsia="宋体" w:cs="Times New Roman"/>
                    </w:rPr>
                    <w:t>-持续推进流域水生态环境修复与治理，更加注重城乡生态环境保护基础设施建设与管理；</w:t>
                  </w:r>
                </w:p>
                <w:p w14:paraId="3DD221B1">
                  <w:pPr>
                    <w:pStyle w:val="12"/>
                    <w:jc w:val="left"/>
                    <w:rPr>
                      <w:rFonts w:cs="Times New Roman"/>
                    </w:rPr>
                  </w:pPr>
                  <w:r>
                    <w:rPr>
                      <w:rFonts w:ascii="Times New Roman" w:hAnsi="Times New Roman" w:eastAsia="宋体" w:cs="Times New Roman"/>
                    </w:rPr>
                    <w:t>-鼓励发展绿色农产品园区建设。</w:t>
                  </w:r>
                </w:p>
              </w:tc>
              <w:tc>
                <w:tcPr>
                  <w:tcW w:w="723" w:type="pct"/>
                  <w:vAlign w:val="center"/>
                </w:tcPr>
                <w:p w14:paraId="2CEDA512">
                  <w:pPr>
                    <w:pStyle w:val="12"/>
                    <w:rPr>
                      <w:rFonts w:hint="default" w:eastAsia="宋体" w:cs="Times New Roman"/>
                      <w:lang w:val="en-US" w:eastAsia="zh-CN"/>
                    </w:rPr>
                  </w:pPr>
                  <w:r>
                    <w:rPr>
                      <w:rFonts w:hint="eastAsia" w:cs="Times New Roman"/>
                      <w:lang w:val="en-US" w:eastAsia="zh-CN"/>
                    </w:rPr>
                    <w:t>本项目为新建，不属于不符合空间布局的待退出的活动。</w:t>
                  </w:r>
                </w:p>
              </w:tc>
              <w:tc>
                <w:tcPr>
                  <w:tcW w:w="284" w:type="pct"/>
                  <w:vAlign w:val="center"/>
                </w:tcPr>
                <w:p w14:paraId="6ACCA60B">
                  <w:pPr>
                    <w:pStyle w:val="12"/>
                    <w:rPr>
                      <w:rFonts w:cs="Times New Roman"/>
                    </w:rPr>
                  </w:pPr>
                  <w:r>
                    <w:rPr>
                      <w:rFonts w:cs="Times New Roman"/>
                    </w:rPr>
                    <w:t>符合</w:t>
                  </w:r>
                </w:p>
              </w:tc>
            </w:tr>
            <w:tr w14:paraId="03276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658" w:type="pct"/>
                  <w:vMerge w:val="continue"/>
                  <w:vAlign w:val="center"/>
                </w:tcPr>
                <w:p w14:paraId="413A914B">
                  <w:pPr>
                    <w:pStyle w:val="12"/>
                    <w:rPr>
                      <w:rFonts w:cs="Times New Roman"/>
                    </w:rPr>
                  </w:pPr>
                </w:p>
              </w:tc>
              <w:tc>
                <w:tcPr>
                  <w:tcW w:w="260" w:type="pct"/>
                  <w:vMerge w:val="continue"/>
                  <w:vAlign w:val="center"/>
                </w:tcPr>
                <w:p w14:paraId="3FE9D3F5">
                  <w:pPr>
                    <w:pStyle w:val="12"/>
                    <w:rPr>
                      <w:rFonts w:hint="eastAsia" w:cs="Times New Roman"/>
                      <w:lang w:val="en-US" w:eastAsia="zh-CN"/>
                    </w:rPr>
                  </w:pPr>
                </w:p>
              </w:tc>
              <w:tc>
                <w:tcPr>
                  <w:tcW w:w="236" w:type="pct"/>
                  <w:vAlign w:val="center"/>
                </w:tcPr>
                <w:p w14:paraId="3A8E9A3E">
                  <w:pPr>
                    <w:pStyle w:val="12"/>
                    <w:rPr>
                      <w:rFonts w:hint="default" w:cs="Times New Roman"/>
                      <w:lang w:val="en-US" w:eastAsia="zh-CN"/>
                    </w:rPr>
                  </w:pPr>
                  <w:r>
                    <w:rPr>
                      <w:rFonts w:hint="eastAsia" w:cs="Times New Roman"/>
                      <w:lang w:val="en-US" w:eastAsia="zh-CN"/>
                    </w:rPr>
                    <w:t>污染物排放管控</w:t>
                  </w:r>
                </w:p>
              </w:tc>
              <w:tc>
                <w:tcPr>
                  <w:tcW w:w="413" w:type="pct"/>
                  <w:vAlign w:val="center"/>
                </w:tcPr>
                <w:p w14:paraId="3A18EB8F">
                  <w:pPr>
                    <w:pStyle w:val="12"/>
                    <w:rPr>
                      <w:rFonts w:hint="default" w:cs="Times New Roman"/>
                      <w:lang w:val="en-US" w:eastAsia="zh-CN"/>
                    </w:rPr>
                  </w:pPr>
                  <w:r>
                    <w:rPr>
                      <w:rFonts w:hint="eastAsia" w:cs="Times New Roman"/>
                      <w:lang w:val="en-US" w:eastAsia="zh-CN"/>
                    </w:rPr>
                    <w:t>新增源等量或倍量替代</w:t>
                  </w:r>
                </w:p>
              </w:tc>
              <w:tc>
                <w:tcPr>
                  <w:tcW w:w="2423" w:type="pct"/>
                  <w:vAlign w:val="center"/>
                </w:tcPr>
                <w:p w14:paraId="22E9C0A5">
                  <w:pPr>
                    <w:pStyle w:val="12"/>
                    <w:jc w:val="left"/>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严格环境准入条件，加强工业企业污染防治。</w:t>
                  </w:r>
                </w:p>
              </w:tc>
              <w:tc>
                <w:tcPr>
                  <w:tcW w:w="723" w:type="pct"/>
                  <w:vAlign w:val="center"/>
                </w:tcPr>
                <w:p w14:paraId="512C939C">
                  <w:pPr>
                    <w:pStyle w:val="12"/>
                    <w:rPr>
                      <w:rFonts w:hint="default" w:eastAsia="宋体" w:cs="Times New Roman"/>
                      <w:lang w:val="en-US" w:eastAsia="zh-CN"/>
                    </w:rPr>
                  </w:pPr>
                  <w:r>
                    <w:rPr>
                      <w:rFonts w:hint="eastAsia" w:cs="Times New Roman"/>
                      <w:lang w:val="en-US" w:eastAsia="zh-CN"/>
                    </w:rPr>
                    <w:t>本项目各污染物均采取环保措施有效处理，严格落实相关规范、排放标准要求。</w:t>
                  </w:r>
                </w:p>
              </w:tc>
              <w:tc>
                <w:tcPr>
                  <w:tcW w:w="284" w:type="pct"/>
                  <w:vAlign w:val="center"/>
                </w:tcPr>
                <w:p w14:paraId="21DF737D">
                  <w:pPr>
                    <w:pStyle w:val="12"/>
                    <w:rPr>
                      <w:rFonts w:hint="eastAsia" w:eastAsia="宋体" w:cs="Times New Roman"/>
                      <w:lang w:val="en-US" w:eastAsia="zh-CN"/>
                    </w:rPr>
                  </w:pPr>
                  <w:r>
                    <w:rPr>
                      <w:rFonts w:hint="eastAsia" w:cs="Times New Roman"/>
                      <w:lang w:val="en-US" w:eastAsia="zh-CN"/>
                    </w:rPr>
                    <w:t>符合</w:t>
                  </w:r>
                </w:p>
              </w:tc>
            </w:tr>
            <w:tr w14:paraId="0012A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658" w:type="pct"/>
                  <w:vMerge w:val="continue"/>
                  <w:vAlign w:val="center"/>
                </w:tcPr>
                <w:p w14:paraId="579D9128">
                  <w:pPr>
                    <w:pStyle w:val="12"/>
                    <w:rPr>
                      <w:rFonts w:cs="Times New Roman"/>
                    </w:rPr>
                  </w:pPr>
                </w:p>
              </w:tc>
              <w:tc>
                <w:tcPr>
                  <w:tcW w:w="260" w:type="pct"/>
                  <w:vMerge w:val="continue"/>
                  <w:vAlign w:val="center"/>
                </w:tcPr>
                <w:p w14:paraId="4B8CC8B9">
                  <w:pPr>
                    <w:pStyle w:val="12"/>
                    <w:rPr>
                      <w:rFonts w:hint="default" w:cs="Times New Roman"/>
                      <w:lang w:val="en-US" w:eastAsia="zh-CN"/>
                    </w:rPr>
                  </w:pPr>
                </w:p>
              </w:tc>
              <w:tc>
                <w:tcPr>
                  <w:tcW w:w="236" w:type="pct"/>
                  <w:vAlign w:val="center"/>
                </w:tcPr>
                <w:p w14:paraId="4D722B29">
                  <w:pPr>
                    <w:pStyle w:val="12"/>
                    <w:rPr>
                      <w:rFonts w:hint="eastAsia" w:cs="Times New Roman"/>
                      <w:lang w:val="en-US" w:eastAsia="zh-CN"/>
                    </w:rPr>
                  </w:pPr>
                  <w:r>
                    <w:rPr>
                      <w:rFonts w:hint="eastAsia" w:cs="Times New Roman"/>
                      <w:lang w:val="en-US" w:eastAsia="zh-CN"/>
                    </w:rPr>
                    <w:t>环境风险防控</w:t>
                  </w:r>
                </w:p>
              </w:tc>
              <w:tc>
                <w:tcPr>
                  <w:tcW w:w="413" w:type="pct"/>
                  <w:vAlign w:val="center"/>
                </w:tcPr>
                <w:p w14:paraId="5339446B">
                  <w:pPr>
                    <w:pStyle w:val="12"/>
                    <w:rPr>
                      <w:rFonts w:hint="default" w:cs="Times New Roman"/>
                      <w:lang w:val="en-US" w:eastAsia="zh-CN"/>
                    </w:rPr>
                  </w:pPr>
                  <w:r>
                    <w:rPr>
                      <w:rFonts w:hint="eastAsia" w:cs="Times New Roman"/>
                      <w:lang w:val="en-US" w:eastAsia="zh-CN"/>
                    </w:rPr>
                    <w:t>园区环境风险防控要求</w:t>
                  </w:r>
                </w:p>
              </w:tc>
              <w:tc>
                <w:tcPr>
                  <w:tcW w:w="2423" w:type="pct"/>
                  <w:vAlign w:val="center"/>
                </w:tcPr>
                <w:p w14:paraId="427CDD80">
                  <w:pPr>
                    <w:pStyle w:val="12"/>
                    <w:jc w:val="left"/>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注重生态种养业发展，减少农药、农膜、化肥使用量，更加强化畜禽粪污综合利用。</w:t>
                  </w:r>
                </w:p>
              </w:tc>
              <w:tc>
                <w:tcPr>
                  <w:tcW w:w="723" w:type="pct"/>
                  <w:vAlign w:val="center"/>
                </w:tcPr>
                <w:p w14:paraId="0DD93F4D">
                  <w:pPr>
                    <w:pStyle w:val="12"/>
                    <w:rPr>
                      <w:rFonts w:hint="default" w:eastAsia="宋体" w:cs="Times New Roman"/>
                      <w:lang w:val="en-US" w:eastAsia="zh-CN"/>
                    </w:rPr>
                  </w:pPr>
                  <w:r>
                    <w:rPr>
                      <w:rFonts w:hint="eastAsia" w:cs="Times New Roman"/>
                      <w:lang w:val="en-US" w:eastAsia="zh-CN"/>
                    </w:rPr>
                    <w:t>本项目不涉及种养业，不涉及农药、农膜、化肥的使用，不涉及畜禽粪污。</w:t>
                  </w:r>
                </w:p>
              </w:tc>
              <w:tc>
                <w:tcPr>
                  <w:tcW w:w="284" w:type="pct"/>
                  <w:vAlign w:val="center"/>
                </w:tcPr>
                <w:p w14:paraId="62DF3B89">
                  <w:pPr>
                    <w:pStyle w:val="12"/>
                    <w:rPr>
                      <w:rFonts w:hint="eastAsia" w:eastAsia="宋体" w:cs="Times New Roman"/>
                      <w:lang w:val="en-US" w:eastAsia="zh-CN"/>
                    </w:rPr>
                  </w:pPr>
                  <w:r>
                    <w:rPr>
                      <w:rFonts w:hint="eastAsia" w:cs="Times New Roman"/>
                      <w:lang w:val="en-US" w:eastAsia="zh-CN"/>
                    </w:rPr>
                    <w:t>符合</w:t>
                  </w:r>
                </w:p>
              </w:tc>
            </w:tr>
            <w:tr w14:paraId="222FD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658" w:type="pct"/>
                  <w:vMerge w:val="restart"/>
                  <w:vAlign w:val="center"/>
                </w:tcPr>
                <w:p w14:paraId="3A794897">
                  <w:pPr>
                    <w:pStyle w:val="12"/>
                    <w:jc w:val="left"/>
                    <w:rPr>
                      <w:rFonts w:cs="Times New Roman"/>
                    </w:rPr>
                  </w:pPr>
                  <w:r>
                    <w:rPr>
                      <w:rFonts w:hint="eastAsia" w:ascii="Times New Roman" w:hAnsi="Times New Roman" w:eastAsia="宋体" w:cs="Times New Roman"/>
                    </w:rPr>
                    <w:t>平昌经济开发区（星光机械工业园、马家坪-何家坪食品饮料园、驷马能源工业园、石龙门化工园区）ZH51192320002</w:t>
                  </w:r>
                </w:p>
              </w:tc>
              <w:tc>
                <w:tcPr>
                  <w:tcW w:w="260" w:type="pct"/>
                  <w:vMerge w:val="restart"/>
                  <w:vAlign w:val="center"/>
                </w:tcPr>
                <w:p w14:paraId="7092BA47">
                  <w:pPr>
                    <w:pStyle w:val="12"/>
                    <w:rPr>
                      <w:rFonts w:cs="Times New Roman"/>
                    </w:rPr>
                  </w:pPr>
                  <w:r>
                    <w:rPr>
                      <w:rFonts w:cs="Times New Roman"/>
                    </w:rPr>
                    <w:t>单元特性管控要求</w:t>
                  </w:r>
                </w:p>
              </w:tc>
              <w:tc>
                <w:tcPr>
                  <w:tcW w:w="236" w:type="pct"/>
                  <w:vAlign w:val="center"/>
                </w:tcPr>
                <w:p w14:paraId="48012763">
                  <w:pPr>
                    <w:pStyle w:val="12"/>
                    <w:rPr>
                      <w:rFonts w:cs="Times New Roman"/>
                    </w:rPr>
                  </w:pPr>
                  <w:r>
                    <w:rPr>
                      <w:rFonts w:cs="Times New Roman"/>
                    </w:rPr>
                    <w:t>空间布局约束</w:t>
                  </w:r>
                </w:p>
              </w:tc>
              <w:tc>
                <w:tcPr>
                  <w:tcW w:w="413" w:type="pct"/>
                  <w:vAlign w:val="center"/>
                </w:tcPr>
                <w:p w14:paraId="6F50D99A">
                  <w:pPr>
                    <w:pStyle w:val="12"/>
                    <w:rPr>
                      <w:rFonts w:cs="Times New Roman"/>
                    </w:rPr>
                  </w:pPr>
                  <w:r>
                    <w:rPr>
                      <w:rFonts w:cs="Times New Roman"/>
                    </w:rPr>
                    <w:t>禁止开发建设活动的要求</w:t>
                  </w:r>
                </w:p>
              </w:tc>
              <w:tc>
                <w:tcPr>
                  <w:tcW w:w="2423" w:type="pct"/>
                  <w:vAlign w:val="center"/>
                </w:tcPr>
                <w:p w14:paraId="3A9A1125">
                  <w:pPr>
                    <w:pStyle w:val="12"/>
                    <w:jc w:val="left"/>
                    <w:rPr>
                      <w:rFonts w:hint="eastAsia" w:cs="Times New Roman"/>
                    </w:rPr>
                  </w:pPr>
                  <w:r>
                    <w:rPr>
                      <w:rFonts w:hint="eastAsia" w:cs="Times New Roman"/>
                    </w:rPr>
                    <w:t>平昌经济开发区-星光工业园区及周边工业备用地：（1）禁止重污染型企业，包括电镀、皮革、屠宰、化学纸浆造纸、发酵类制药企业，印染等水污染物排放量大且难以处理的企业，以及焦化、黄磷、冶金等大气污染排放量大或排放人体有害物质较多的企业；（2）禁止引入汽车维修等修理行业的露天喷涂作业和无溶剂回收设施的干洗设备。（3）其他执行工业重点管控单元总体准入要求。</w:t>
                  </w:r>
                </w:p>
                <w:p w14:paraId="5513C4E6">
                  <w:pPr>
                    <w:pStyle w:val="12"/>
                    <w:jc w:val="left"/>
                    <w:rPr>
                      <w:rFonts w:hint="eastAsia" w:cs="Times New Roman"/>
                    </w:rPr>
                  </w:pPr>
                  <w:r>
                    <w:rPr>
                      <w:rFonts w:hint="eastAsia" w:cs="Times New Roman"/>
                    </w:rPr>
                    <w:t>平昌经济开发区-饮料食品工业区：（1）禁止重污染型企业，包括电镀、皮革、化学纸浆造纸、发酵类制药企业，印染等水污染物排放量大且难以处理的企业，以及焦化、黄磷、冶金等大气污染排放量大或排放人体有害物质较多的企业。 （2）其他执行工业重点管控单元总体准入要求。</w:t>
                  </w:r>
                </w:p>
                <w:p w14:paraId="2F87172A">
                  <w:pPr>
                    <w:pStyle w:val="12"/>
                    <w:jc w:val="left"/>
                    <w:rPr>
                      <w:rFonts w:hint="eastAsia" w:cs="Times New Roman"/>
                    </w:rPr>
                  </w:pPr>
                  <w:r>
                    <w:rPr>
                      <w:rFonts w:hint="eastAsia" w:cs="Times New Roman"/>
                    </w:rPr>
                    <w:t>平昌经济开发区-驷马清洁能源工业区：（1）禁止重污染型企业，包括电镀、皮革、屠宰、化学纸浆造纸、发酵类制药企业，印染等水污染物排放量大且难以处理的企业，以及焦化、黄磷、冶金等大气污染排放量大或排放人体有害物质较多的企业。（2）其他执行工业重点管控单元总体准入要求。</w:t>
                  </w:r>
                </w:p>
                <w:p w14:paraId="0C9F30C2">
                  <w:pPr>
                    <w:pStyle w:val="12"/>
                    <w:jc w:val="left"/>
                    <w:rPr>
                      <w:rFonts w:cs="Times New Roman"/>
                    </w:rPr>
                  </w:pPr>
                  <w:r>
                    <w:rPr>
                      <w:rFonts w:hint="eastAsia" w:cs="Times New Roman"/>
                    </w:rPr>
                    <w:t>石龙门化工片区：1、仅能建设LNG、CNG、磷酸铁锂、利用工业级碳酸二甲酯制备电池级碳酸二甲酯、电池级碳酸二乙酯、碳酸甲乙酯、锂离子电池电解液项目。2、除石龙门化工片区外，本管控单元内禁止新建、扩建化工项目。</w:t>
                  </w:r>
                </w:p>
              </w:tc>
              <w:tc>
                <w:tcPr>
                  <w:tcW w:w="723" w:type="pct"/>
                  <w:vAlign w:val="center"/>
                </w:tcPr>
                <w:p w14:paraId="521E3FB1">
                  <w:pPr>
                    <w:pStyle w:val="12"/>
                    <w:rPr>
                      <w:rFonts w:cs="Times New Roman"/>
                    </w:rPr>
                  </w:pPr>
                  <w:r>
                    <w:rPr>
                      <w:rFonts w:hint="eastAsia" w:cs="Times New Roman"/>
                    </w:rPr>
                    <w:t>本项目位于星光工业园区内，本项目属于固废综合治理，不属于禁止建设的企业类别。</w:t>
                  </w:r>
                </w:p>
              </w:tc>
              <w:tc>
                <w:tcPr>
                  <w:tcW w:w="284" w:type="pct"/>
                  <w:vAlign w:val="center"/>
                </w:tcPr>
                <w:p w14:paraId="6D7E527F">
                  <w:pPr>
                    <w:pStyle w:val="12"/>
                    <w:rPr>
                      <w:rFonts w:cs="Times New Roman"/>
                    </w:rPr>
                  </w:pPr>
                  <w:bookmarkStart w:id="19" w:name="OLE_LINK7"/>
                  <w:r>
                    <w:rPr>
                      <w:rFonts w:cs="Times New Roman"/>
                    </w:rPr>
                    <w:t>符合</w:t>
                  </w:r>
                  <w:bookmarkEnd w:id="19"/>
                </w:p>
              </w:tc>
            </w:tr>
            <w:tr w14:paraId="69DD5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658" w:type="pct"/>
                  <w:vMerge w:val="continue"/>
                  <w:vAlign w:val="center"/>
                </w:tcPr>
                <w:p w14:paraId="339FDD25">
                  <w:pPr>
                    <w:pStyle w:val="12"/>
                    <w:rPr>
                      <w:rFonts w:cs="Times New Roman"/>
                    </w:rPr>
                  </w:pPr>
                </w:p>
              </w:tc>
              <w:tc>
                <w:tcPr>
                  <w:tcW w:w="260" w:type="pct"/>
                  <w:vMerge w:val="continue"/>
                  <w:vAlign w:val="center"/>
                </w:tcPr>
                <w:p w14:paraId="16F3A24B">
                  <w:pPr>
                    <w:pStyle w:val="12"/>
                    <w:rPr>
                      <w:rFonts w:cs="Times New Roman"/>
                    </w:rPr>
                  </w:pPr>
                </w:p>
              </w:tc>
              <w:tc>
                <w:tcPr>
                  <w:tcW w:w="236" w:type="pct"/>
                  <w:vMerge w:val="restart"/>
                  <w:vAlign w:val="center"/>
                </w:tcPr>
                <w:p w14:paraId="1BA5E686">
                  <w:pPr>
                    <w:pStyle w:val="12"/>
                    <w:rPr>
                      <w:rFonts w:cs="Times New Roman"/>
                    </w:rPr>
                  </w:pPr>
                  <w:r>
                    <w:rPr>
                      <w:rFonts w:hint="eastAsia" w:cs="Times New Roman"/>
                    </w:rPr>
                    <w:t>污染物排放管控</w:t>
                  </w:r>
                </w:p>
              </w:tc>
              <w:tc>
                <w:tcPr>
                  <w:tcW w:w="413" w:type="pct"/>
                  <w:vAlign w:val="center"/>
                </w:tcPr>
                <w:p w14:paraId="46895CE6">
                  <w:pPr>
                    <w:pStyle w:val="12"/>
                    <w:rPr>
                      <w:rFonts w:cs="Times New Roman"/>
                    </w:rPr>
                  </w:pPr>
                  <w:r>
                    <w:rPr>
                      <w:rFonts w:cs="Times New Roman"/>
                    </w:rPr>
                    <w:t>现有源提标升级改造</w:t>
                  </w:r>
                </w:p>
              </w:tc>
              <w:tc>
                <w:tcPr>
                  <w:tcW w:w="2423" w:type="pct"/>
                  <w:vAlign w:val="center"/>
                </w:tcPr>
                <w:p w14:paraId="0DF75CA2">
                  <w:pPr>
                    <w:pStyle w:val="12"/>
                    <w:jc w:val="left"/>
                    <w:rPr>
                      <w:rFonts w:cs="Times New Roman"/>
                    </w:rPr>
                  </w:pPr>
                  <w:r>
                    <w:rPr>
                      <w:rFonts w:hint="eastAsia" w:cs="Times New Roman"/>
                    </w:rPr>
                    <w:t>平昌经济开发区-星光工业园区及周边工业备用地：执行工业重点管控单元总体准入要求。平昌经济开发区-饮料食品工业区： （1）从事肉类加工的企业应当采取措施，对污水进行生化等科学处置，保证废水的综合利用和无害化处理设施正常运转，污水达标后排入园区污水处理厂。 （2）从事肉类加工的企业应当采取措施，对畜禽粪便、尸体和污水等废弃物进行收集、贮存、清运和无害化处理，防止排放恶臭气体。 （3）其他执行工业重点单元总体准入要求。 平昌经济开发区-驷马清洁能源工业区： 执行工业重点管控单元总体准入要求。</w:t>
                  </w:r>
                </w:p>
              </w:tc>
              <w:tc>
                <w:tcPr>
                  <w:tcW w:w="723" w:type="pct"/>
                  <w:vAlign w:val="center"/>
                </w:tcPr>
                <w:p w14:paraId="65A974B6">
                  <w:pPr>
                    <w:pStyle w:val="12"/>
                    <w:rPr>
                      <w:rFonts w:hint="eastAsia" w:cs="Times New Roman"/>
                    </w:rPr>
                  </w:pPr>
                  <w:r>
                    <w:rPr>
                      <w:rFonts w:cs="Times New Roman"/>
                    </w:rPr>
                    <w:t>本项目</w:t>
                  </w:r>
                  <w:r>
                    <w:rPr>
                      <w:rFonts w:hint="eastAsia" w:cs="Times New Roman"/>
                    </w:rPr>
                    <w:t>位于星光工艺园区内，符合</w:t>
                  </w:r>
                  <w:r>
                    <w:rPr>
                      <w:rFonts w:cs="Times New Roman"/>
                    </w:rPr>
                    <w:t>工业重点管控单元总体准入要求。</w:t>
                  </w:r>
                </w:p>
              </w:tc>
              <w:tc>
                <w:tcPr>
                  <w:tcW w:w="284" w:type="pct"/>
                  <w:vAlign w:val="center"/>
                </w:tcPr>
                <w:p w14:paraId="30EF5D5C">
                  <w:pPr>
                    <w:pStyle w:val="12"/>
                    <w:rPr>
                      <w:rFonts w:cs="Times New Roman"/>
                    </w:rPr>
                  </w:pPr>
                  <w:r>
                    <w:rPr>
                      <w:rFonts w:cs="Times New Roman"/>
                    </w:rPr>
                    <w:t>符合</w:t>
                  </w:r>
                </w:p>
              </w:tc>
            </w:tr>
            <w:tr w14:paraId="60D1B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658" w:type="pct"/>
                  <w:vMerge w:val="continue"/>
                  <w:vAlign w:val="center"/>
                </w:tcPr>
                <w:p w14:paraId="1F7A0432">
                  <w:pPr>
                    <w:pStyle w:val="12"/>
                    <w:rPr>
                      <w:rFonts w:cs="Times New Roman"/>
                    </w:rPr>
                  </w:pPr>
                </w:p>
              </w:tc>
              <w:tc>
                <w:tcPr>
                  <w:tcW w:w="260" w:type="pct"/>
                  <w:vMerge w:val="continue"/>
                  <w:vAlign w:val="center"/>
                </w:tcPr>
                <w:p w14:paraId="26FFA5DE">
                  <w:pPr>
                    <w:pStyle w:val="12"/>
                    <w:rPr>
                      <w:rFonts w:cs="Times New Roman"/>
                    </w:rPr>
                  </w:pPr>
                </w:p>
              </w:tc>
              <w:tc>
                <w:tcPr>
                  <w:tcW w:w="236" w:type="pct"/>
                  <w:vMerge w:val="continue"/>
                  <w:vAlign w:val="center"/>
                </w:tcPr>
                <w:p w14:paraId="388AF5DD">
                  <w:pPr>
                    <w:pStyle w:val="12"/>
                    <w:rPr>
                      <w:rFonts w:cs="Times New Roman"/>
                    </w:rPr>
                  </w:pPr>
                </w:p>
              </w:tc>
              <w:tc>
                <w:tcPr>
                  <w:tcW w:w="413" w:type="pct"/>
                  <w:vAlign w:val="center"/>
                </w:tcPr>
                <w:p w14:paraId="4606EC50">
                  <w:pPr>
                    <w:pStyle w:val="12"/>
                    <w:rPr>
                      <w:rFonts w:cs="Times New Roman"/>
                    </w:rPr>
                  </w:pPr>
                  <w:r>
                    <w:rPr>
                      <w:rFonts w:cs="Times New Roman"/>
                    </w:rPr>
                    <w:t>污染物排放绩效水平准入要求</w:t>
                  </w:r>
                </w:p>
              </w:tc>
              <w:tc>
                <w:tcPr>
                  <w:tcW w:w="2423" w:type="pct"/>
                  <w:vAlign w:val="center"/>
                </w:tcPr>
                <w:p w14:paraId="754AB9F9">
                  <w:pPr>
                    <w:pStyle w:val="12"/>
                    <w:jc w:val="left"/>
                    <w:rPr>
                      <w:rFonts w:hint="eastAsia" w:cs="Times New Roman"/>
                    </w:rPr>
                  </w:pPr>
                  <w:r>
                    <w:rPr>
                      <w:rFonts w:hint="eastAsia" w:cs="Times New Roman"/>
                    </w:rPr>
                    <w:t>（1）食品饮料重点行业项目新建应参考巴中市“三线一单”生态环境分区管控中食品饮料行业环境绩效准入门槛，对食品饮料产业中的白酒行业和肉制品加工行业执行GB27631-2011行业标准和《清洁生产评价指</w:t>
                  </w:r>
                  <w:r>
                    <w:rPr>
                      <w:rFonts w:hint="default" w:ascii="Times New Roman" w:hAnsi="Times New Roman" w:cs="Times New Roman"/>
                    </w:rPr>
                    <w:t>标体系 肉制品加工业》（DB11/T 1405-2017）二级标准，单位产品废水量≤14m</w:t>
                  </w:r>
                  <w:r>
                    <w:rPr>
                      <w:rFonts w:hint="default" w:ascii="Times New Roman" w:hAnsi="Times New Roman" w:cs="Times New Roman"/>
                      <w:vertAlign w:val="superscript"/>
                    </w:rPr>
                    <w:t>3</w:t>
                  </w:r>
                  <w:r>
                    <w:rPr>
                      <w:rFonts w:hint="default" w:ascii="Times New Roman" w:hAnsi="Times New Roman" w:cs="Times New Roman"/>
                    </w:rPr>
                    <w:t>/t，单位产品化学需氧量（CODCr）产生量≤16.1kg/t、单位产品氨氮（NH</w:t>
                  </w:r>
                  <w:r>
                    <w:rPr>
                      <w:rFonts w:hint="default" w:ascii="Times New Roman" w:hAnsi="Times New Roman" w:cs="Times New Roman"/>
                      <w:vertAlign w:val="subscript"/>
                    </w:rPr>
                    <w:t>3</w:t>
                  </w:r>
                  <w:r>
                    <w:rPr>
                      <w:rFonts w:hint="default" w:ascii="Times New Roman" w:hAnsi="Times New Roman" w:cs="Times New Roman"/>
                    </w:rPr>
                    <w:t>-N）≤0.65kg</w:t>
                  </w:r>
                  <w:r>
                    <w:rPr>
                      <w:rFonts w:hint="eastAsia" w:cs="Times New Roman"/>
                    </w:rPr>
                    <w:t>/t；</w:t>
                  </w:r>
                </w:p>
                <w:p w14:paraId="4E3117E6">
                  <w:pPr>
                    <w:pStyle w:val="12"/>
                    <w:jc w:val="left"/>
                    <w:rPr>
                      <w:rFonts w:hint="eastAsia" w:cs="Times New Roman"/>
                    </w:rPr>
                  </w:pPr>
                  <w:r>
                    <w:rPr>
                      <w:rFonts w:hint="eastAsia" w:cs="Times New Roman"/>
                    </w:rPr>
                    <w:t>（2）石龙门化工园区—排水不得进入四川驷马河省级自然保护区、四川驷马河国家级湿地公园；</w:t>
                  </w:r>
                </w:p>
                <w:p w14:paraId="12A4886A">
                  <w:pPr>
                    <w:pStyle w:val="12"/>
                    <w:jc w:val="left"/>
                    <w:rPr>
                      <w:rFonts w:cs="Times New Roman"/>
                    </w:rPr>
                  </w:pPr>
                  <w:r>
                    <w:rPr>
                      <w:rFonts w:hint="eastAsia" w:cs="Times New Roman"/>
                    </w:rPr>
                    <w:t>（3）其他执行工业重点管控单元总体准入要求。</w:t>
                  </w:r>
                </w:p>
              </w:tc>
              <w:tc>
                <w:tcPr>
                  <w:tcW w:w="723" w:type="pct"/>
                  <w:vAlign w:val="center"/>
                </w:tcPr>
                <w:p w14:paraId="4D120BB2">
                  <w:pPr>
                    <w:pStyle w:val="12"/>
                    <w:rPr>
                      <w:rFonts w:hint="eastAsia" w:cs="Times New Roman"/>
                    </w:rPr>
                  </w:pPr>
                  <w:r>
                    <w:rPr>
                      <w:rFonts w:cs="Times New Roman"/>
                    </w:rPr>
                    <w:t>本项目不属于食品饮料行业。本项目</w:t>
                  </w:r>
                  <w:r>
                    <w:rPr>
                      <w:rFonts w:hint="eastAsia" w:cs="Times New Roman"/>
                    </w:rPr>
                    <w:t>不在石龙门化工园区范围内。</w:t>
                  </w:r>
                  <w:bookmarkStart w:id="20" w:name="OLE_LINK8"/>
                  <w:r>
                    <w:rPr>
                      <w:rFonts w:cs="Times New Roman"/>
                    </w:rPr>
                    <w:t>本项目符合工业重点管控单元总体准入要求。</w:t>
                  </w:r>
                  <w:bookmarkEnd w:id="20"/>
                </w:p>
              </w:tc>
              <w:tc>
                <w:tcPr>
                  <w:tcW w:w="284" w:type="pct"/>
                  <w:vAlign w:val="center"/>
                </w:tcPr>
                <w:p w14:paraId="4857868D">
                  <w:pPr>
                    <w:pStyle w:val="12"/>
                    <w:rPr>
                      <w:rFonts w:cs="Times New Roman"/>
                    </w:rPr>
                  </w:pPr>
                  <w:r>
                    <w:rPr>
                      <w:rFonts w:cs="Times New Roman"/>
                    </w:rPr>
                    <w:t>符合</w:t>
                  </w:r>
                </w:p>
              </w:tc>
            </w:tr>
            <w:tr w14:paraId="12DE2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658" w:type="pct"/>
                  <w:vMerge w:val="continue"/>
                  <w:vAlign w:val="center"/>
                </w:tcPr>
                <w:p w14:paraId="20DDBDE2">
                  <w:pPr>
                    <w:pStyle w:val="12"/>
                    <w:rPr>
                      <w:rFonts w:cs="Times New Roman"/>
                    </w:rPr>
                  </w:pPr>
                </w:p>
              </w:tc>
              <w:tc>
                <w:tcPr>
                  <w:tcW w:w="260" w:type="pct"/>
                  <w:vMerge w:val="continue"/>
                  <w:vAlign w:val="center"/>
                </w:tcPr>
                <w:p w14:paraId="75CA571F">
                  <w:pPr>
                    <w:pStyle w:val="12"/>
                    <w:rPr>
                      <w:rFonts w:cs="Times New Roman"/>
                    </w:rPr>
                  </w:pPr>
                </w:p>
              </w:tc>
              <w:tc>
                <w:tcPr>
                  <w:tcW w:w="236" w:type="pct"/>
                  <w:vMerge w:val="restart"/>
                  <w:vAlign w:val="center"/>
                </w:tcPr>
                <w:p w14:paraId="6E7D4029">
                  <w:pPr>
                    <w:pStyle w:val="12"/>
                    <w:rPr>
                      <w:rFonts w:cs="Times New Roman"/>
                    </w:rPr>
                  </w:pPr>
                  <w:r>
                    <w:rPr>
                      <w:rFonts w:cs="Times New Roman"/>
                    </w:rPr>
                    <w:t>环境风险防控</w:t>
                  </w:r>
                </w:p>
              </w:tc>
              <w:tc>
                <w:tcPr>
                  <w:tcW w:w="413" w:type="pct"/>
                  <w:vAlign w:val="center"/>
                </w:tcPr>
                <w:p w14:paraId="5613677E">
                  <w:pPr>
                    <w:pStyle w:val="12"/>
                    <w:rPr>
                      <w:rFonts w:cs="Times New Roman"/>
                    </w:rPr>
                  </w:pPr>
                  <w:r>
                    <w:rPr>
                      <w:rFonts w:cs="Times New Roman"/>
                    </w:rPr>
                    <w:t>园区风险防控要求</w:t>
                  </w:r>
                </w:p>
              </w:tc>
              <w:tc>
                <w:tcPr>
                  <w:tcW w:w="2423" w:type="pct"/>
                  <w:vAlign w:val="center"/>
                </w:tcPr>
                <w:p w14:paraId="41763DB1">
                  <w:pPr>
                    <w:pStyle w:val="12"/>
                    <w:jc w:val="left"/>
                    <w:rPr>
                      <w:rFonts w:cs="Times New Roman"/>
                    </w:rPr>
                  </w:pPr>
                  <w:r>
                    <w:rPr>
                      <w:rFonts w:hint="eastAsia" w:cs="Times New Roman"/>
                    </w:rPr>
                    <w:t>石龙门化工园区-（1）强化园区多级环境风险防控体系建设，制定突发环境事件应急预案，加强应急演练及应急监测监控系统建设，确保环境风险可控。 （2）加快完善园区废水收集处理系统、事故应急池、应急指挥中心和监测监控体系建设。执行工业重点管控单元总体准入要求。</w:t>
                  </w:r>
                </w:p>
              </w:tc>
              <w:tc>
                <w:tcPr>
                  <w:tcW w:w="723" w:type="pct"/>
                  <w:vAlign w:val="center"/>
                </w:tcPr>
                <w:p w14:paraId="70297EDF">
                  <w:pPr>
                    <w:pStyle w:val="12"/>
                    <w:rPr>
                      <w:rFonts w:cs="Times New Roman"/>
                    </w:rPr>
                  </w:pPr>
                  <w:r>
                    <w:rPr>
                      <w:rFonts w:cs="Times New Roman"/>
                    </w:rPr>
                    <w:t>本项目</w:t>
                  </w:r>
                  <w:r>
                    <w:rPr>
                      <w:rFonts w:hint="eastAsia" w:cs="Times New Roman"/>
                    </w:rPr>
                    <w:t>不在石龙门化工园区范围内。</w:t>
                  </w:r>
                  <w:r>
                    <w:rPr>
                      <w:rFonts w:cs="Times New Roman"/>
                    </w:rPr>
                    <w:t>符合工业重点管控单元总体准入要求。</w:t>
                  </w:r>
                </w:p>
              </w:tc>
              <w:tc>
                <w:tcPr>
                  <w:tcW w:w="284" w:type="pct"/>
                  <w:vAlign w:val="center"/>
                </w:tcPr>
                <w:p w14:paraId="02F52D79">
                  <w:pPr>
                    <w:pStyle w:val="12"/>
                    <w:rPr>
                      <w:rFonts w:cs="Times New Roman"/>
                    </w:rPr>
                  </w:pPr>
                  <w:bookmarkStart w:id="21" w:name="OLE_LINK9"/>
                  <w:r>
                    <w:rPr>
                      <w:rFonts w:cs="Times New Roman"/>
                    </w:rPr>
                    <w:t>符合</w:t>
                  </w:r>
                  <w:bookmarkEnd w:id="21"/>
                </w:p>
              </w:tc>
            </w:tr>
            <w:tr w14:paraId="221A0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658" w:type="pct"/>
                  <w:vMerge w:val="continue"/>
                  <w:vAlign w:val="center"/>
                </w:tcPr>
                <w:p w14:paraId="6EF8FD65">
                  <w:pPr>
                    <w:pStyle w:val="12"/>
                    <w:rPr>
                      <w:rFonts w:cs="Times New Roman"/>
                    </w:rPr>
                  </w:pPr>
                </w:p>
              </w:tc>
              <w:tc>
                <w:tcPr>
                  <w:tcW w:w="260" w:type="pct"/>
                  <w:vMerge w:val="continue"/>
                  <w:vAlign w:val="center"/>
                </w:tcPr>
                <w:p w14:paraId="611E006E">
                  <w:pPr>
                    <w:pStyle w:val="12"/>
                    <w:rPr>
                      <w:rFonts w:cs="Times New Roman"/>
                    </w:rPr>
                  </w:pPr>
                </w:p>
              </w:tc>
              <w:tc>
                <w:tcPr>
                  <w:tcW w:w="236" w:type="pct"/>
                  <w:vMerge w:val="continue"/>
                  <w:vAlign w:val="center"/>
                </w:tcPr>
                <w:p w14:paraId="570355CD">
                  <w:pPr>
                    <w:pStyle w:val="12"/>
                    <w:rPr>
                      <w:rFonts w:cs="Times New Roman"/>
                    </w:rPr>
                  </w:pPr>
                </w:p>
              </w:tc>
              <w:tc>
                <w:tcPr>
                  <w:tcW w:w="413" w:type="pct"/>
                  <w:vAlign w:val="center"/>
                </w:tcPr>
                <w:p w14:paraId="35FF6B25">
                  <w:pPr>
                    <w:pStyle w:val="12"/>
                    <w:rPr>
                      <w:rFonts w:cs="Times New Roman"/>
                    </w:rPr>
                  </w:pPr>
                  <w:r>
                    <w:rPr>
                      <w:rFonts w:cs="Times New Roman"/>
                    </w:rPr>
                    <w:t>企业环境风险防控要求</w:t>
                  </w:r>
                </w:p>
              </w:tc>
              <w:tc>
                <w:tcPr>
                  <w:tcW w:w="2423" w:type="pct"/>
                  <w:vAlign w:val="center"/>
                </w:tcPr>
                <w:p w14:paraId="3CCAEFDE">
                  <w:pPr>
                    <w:pStyle w:val="12"/>
                    <w:jc w:val="left"/>
                    <w:rPr>
                      <w:rFonts w:cs="Times New Roman"/>
                    </w:rPr>
                  </w:pPr>
                  <w:r>
                    <w:rPr>
                      <w:rFonts w:hint="eastAsia" w:cs="Times New Roman"/>
                    </w:rPr>
                    <w:t>平昌经济开发区-星光工业园区及周边工业备用地： （1）禁止引入原料、中间品、产品涉及剧毒化学品的企业；禁止引入涉及重金属污染物排放的项目，如电镀行业。 （2）汽车摩托车制造等行业企业及其它可能危害土壤环境质量的生产设施设备、构筑物和污染治理设施的拆除，要事先制定残留污染物清理和安全处置方案，并报所在地县(区)级环境保护、经济和信息化部门备案</w:t>
                  </w:r>
                  <w:r>
                    <w:rPr>
                      <w:rFonts w:hint="eastAsia" w:cs="Times New Roman"/>
                      <w:lang w:eastAsia="zh-CN"/>
                    </w:rPr>
                    <w:t>；</w:t>
                  </w:r>
                  <w:r>
                    <w:rPr>
                      <w:rFonts w:hint="eastAsia" w:cs="Times New Roman"/>
                    </w:rPr>
                    <w:t>要严格按照有关规定实施安全处理处置，防范拆除活动污染土壤。 平昌经济开发区-饮料食品工业区：（1）严禁企业自设工业垃圾填埋场所平昌经济开发区-平昌经济开发区（驷马清洁能源）工业区（2）严禁企业自设工业垃圾填埋场所。 其他执行工业重点管控单元总体准入要求。</w:t>
                  </w:r>
                </w:p>
              </w:tc>
              <w:tc>
                <w:tcPr>
                  <w:tcW w:w="723" w:type="pct"/>
                  <w:vAlign w:val="center"/>
                </w:tcPr>
                <w:p w14:paraId="5060D923">
                  <w:pPr>
                    <w:pStyle w:val="12"/>
                    <w:rPr>
                      <w:rFonts w:hint="eastAsia" w:cs="Times New Roman"/>
                    </w:rPr>
                  </w:pPr>
                  <w:r>
                    <w:rPr>
                      <w:rFonts w:cs="Times New Roman"/>
                    </w:rPr>
                    <w:t>本项目</w:t>
                  </w:r>
                  <w:r>
                    <w:rPr>
                      <w:rFonts w:hint="eastAsia" w:cs="Times New Roman"/>
                      <w:lang w:val="en-US" w:eastAsia="zh-CN"/>
                    </w:rPr>
                    <w:t>位于星光工业园区内，</w:t>
                  </w:r>
                  <w:r>
                    <w:rPr>
                      <w:rFonts w:hint="eastAsia" w:cs="Times New Roman"/>
                    </w:rPr>
                    <w:t>原料、中间品、产品均不涉及剧毒化学品；本项目不涉及重金属排放；本项目不属于汽车摩托车制造行业。</w:t>
                  </w:r>
                </w:p>
              </w:tc>
              <w:tc>
                <w:tcPr>
                  <w:tcW w:w="284" w:type="pct"/>
                  <w:vAlign w:val="center"/>
                </w:tcPr>
                <w:p w14:paraId="2E76E41D">
                  <w:pPr>
                    <w:pStyle w:val="12"/>
                    <w:rPr>
                      <w:rFonts w:cs="Times New Roman"/>
                    </w:rPr>
                  </w:pPr>
                  <w:r>
                    <w:rPr>
                      <w:rFonts w:cs="Times New Roman"/>
                    </w:rPr>
                    <w:t>符合</w:t>
                  </w:r>
                </w:p>
              </w:tc>
            </w:tr>
            <w:tr w14:paraId="45E6D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658" w:type="pct"/>
                  <w:vMerge w:val="restart"/>
                  <w:vAlign w:val="center"/>
                </w:tcPr>
                <w:p w14:paraId="3ED5BC30">
                  <w:pPr>
                    <w:pStyle w:val="12"/>
                    <w:rPr>
                      <w:rFonts w:hint="default" w:eastAsia="宋体" w:cs="Times New Roman"/>
                      <w:lang w:val="en-US" w:eastAsia="zh-CN"/>
                    </w:rPr>
                  </w:pPr>
                  <w:r>
                    <w:rPr>
                      <w:rFonts w:hint="eastAsia" w:cs="Times New Roman"/>
                      <w:lang w:val="en-US" w:eastAsia="zh-CN"/>
                    </w:rPr>
                    <w:t>巴河-平昌县-江陵控制单元</w:t>
                  </w:r>
                </w:p>
              </w:tc>
              <w:tc>
                <w:tcPr>
                  <w:tcW w:w="260" w:type="pct"/>
                  <w:vMerge w:val="restart"/>
                  <w:vAlign w:val="center"/>
                </w:tcPr>
                <w:p w14:paraId="1879E9B6">
                  <w:pPr>
                    <w:pStyle w:val="12"/>
                    <w:rPr>
                      <w:rFonts w:hint="default" w:eastAsia="宋体" w:cs="Times New Roman"/>
                      <w:lang w:val="en-US" w:eastAsia="zh-CN"/>
                    </w:rPr>
                  </w:pPr>
                  <w:r>
                    <w:rPr>
                      <w:rFonts w:hint="eastAsia" w:cs="Times New Roman"/>
                      <w:lang w:val="en-US" w:eastAsia="zh-CN"/>
                    </w:rPr>
                    <w:t>水环境工业污染重点管控区</w:t>
                  </w:r>
                </w:p>
              </w:tc>
              <w:tc>
                <w:tcPr>
                  <w:tcW w:w="236" w:type="pct"/>
                  <w:vAlign w:val="center"/>
                </w:tcPr>
                <w:p w14:paraId="7EAC74A2">
                  <w:pPr>
                    <w:pStyle w:val="12"/>
                    <w:rPr>
                      <w:rFonts w:cs="Times New Roman"/>
                    </w:rPr>
                  </w:pPr>
                  <w:r>
                    <w:rPr>
                      <w:rFonts w:cs="Times New Roman"/>
                    </w:rPr>
                    <w:t>空间布局约束</w:t>
                  </w:r>
                </w:p>
              </w:tc>
              <w:tc>
                <w:tcPr>
                  <w:tcW w:w="413" w:type="pct"/>
                  <w:vAlign w:val="center"/>
                </w:tcPr>
                <w:p w14:paraId="7557F9C4">
                  <w:pPr>
                    <w:pStyle w:val="12"/>
                    <w:ind w:firstLine="0" w:firstLineChars="0"/>
                    <w:rPr>
                      <w:rFonts w:cs="Times New Roman"/>
                    </w:rPr>
                  </w:pPr>
                  <w:r>
                    <w:rPr>
                      <w:rFonts w:hint="eastAsia" w:ascii="Times New Roman" w:hAnsi="Times New Roman" w:eastAsia="宋体" w:cs="Times New Roman"/>
                      <w:lang w:val="en-US" w:eastAsia="zh-CN"/>
                    </w:rPr>
                    <w:t>限制开发建设活动的要求</w:t>
                  </w:r>
                </w:p>
              </w:tc>
              <w:tc>
                <w:tcPr>
                  <w:tcW w:w="2423" w:type="pct"/>
                  <w:vAlign w:val="center"/>
                </w:tcPr>
                <w:p w14:paraId="520BCB1C">
                  <w:pPr>
                    <w:pStyle w:val="12"/>
                    <w:ind w:firstLine="0" w:firstLineChars="0"/>
                    <w:jc w:val="left"/>
                    <w:rPr>
                      <w:rFonts w:hint="eastAsia" w:cs="Times New Roman"/>
                    </w:rPr>
                  </w:pPr>
                  <w:r>
                    <w:rPr>
                      <w:rFonts w:hint="eastAsia" w:ascii="Times New Roman" w:hAnsi="Times New Roman" w:eastAsia="宋体" w:cs="Times New Roman"/>
                    </w:rPr>
                    <w:t>严控磷铵、黄磷等产业违规新增产能。加快退出不符合产业政策和环保要求、不满足安全生产条件的涉磷企业。</w:t>
                  </w:r>
                </w:p>
              </w:tc>
              <w:tc>
                <w:tcPr>
                  <w:tcW w:w="723" w:type="pct"/>
                  <w:vAlign w:val="center"/>
                </w:tcPr>
                <w:p w14:paraId="447CC683">
                  <w:pPr>
                    <w:pStyle w:val="12"/>
                    <w:rPr>
                      <w:rFonts w:hint="default" w:eastAsia="宋体" w:cs="Times New Roman"/>
                      <w:lang w:val="en-US" w:eastAsia="zh-CN"/>
                    </w:rPr>
                  </w:pPr>
                  <w:r>
                    <w:rPr>
                      <w:rFonts w:hint="eastAsia" w:cs="Times New Roman"/>
                      <w:lang w:val="en-US" w:eastAsia="zh-CN"/>
                    </w:rPr>
                    <w:t>本项目不属于涉磷企业。</w:t>
                  </w:r>
                </w:p>
              </w:tc>
              <w:tc>
                <w:tcPr>
                  <w:tcW w:w="284" w:type="pct"/>
                  <w:vAlign w:val="center"/>
                </w:tcPr>
                <w:p w14:paraId="3BA5738B">
                  <w:pPr>
                    <w:pStyle w:val="12"/>
                    <w:rPr>
                      <w:rFonts w:hint="eastAsia" w:eastAsia="宋体" w:cs="Times New Roman"/>
                      <w:lang w:val="en-US" w:eastAsia="zh-CN"/>
                    </w:rPr>
                  </w:pPr>
                  <w:r>
                    <w:rPr>
                      <w:rFonts w:hint="eastAsia" w:cs="Times New Roman"/>
                      <w:lang w:val="en-US" w:eastAsia="zh-CN"/>
                    </w:rPr>
                    <w:t>符合</w:t>
                  </w:r>
                </w:p>
              </w:tc>
            </w:tr>
            <w:tr w14:paraId="45155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658" w:type="pct"/>
                  <w:vMerge w:val="continue"/>
                  <w:vAlign w:val="center"/>
                </w:tcPr>
                <w:p w14:paraId="43ED26AC">
                  <w:pPr>
                    <w:pStyle w:val="12"/>
                    <w:rPr>
                      <w:rFonts w:hint="eastAsia" w:cs="Times New Roman"/>
                      <w:lang w:val="en-US" w:eastAsia="zh-CN"/>
                    </w:rPr>
                  </w:pPr>
                </w:p>
              </w:tc>
              <w:tc>
                <w:tcPr>
                  <w:tcW w:w="260" w:type="pct"/>
                  <w:vMerge w:val="continue"/>
                  <w:vAlign w:val="center"/>
                </w:tcPr>
                <w:p w14:paraId="2E06A03D">
                  <w:pPr>
                    <w:pStyle w:val="12"/>
                    <w:rPr>
                      <w:rFonts w:hint="eastAsia" w:cs="Times New Roman"/>
                      <w:lang w:val="en-US" w:eastAsia="zh-CN"/>
                    </w:rPr>
                  </w:pPr>
                </w:p>
              </w:tc>
              <w:tc>
                <w:tcPr>
                  <w:tcW w:w="236" w:type="pct"/>
                  <w:vAlign w:val="center"/>
                </w:tcPr>
                <w:p w14:paraId="332FC0C9">
                  <w:pPr>
                    <w:pStyle w:val="12"/>
                    <w:ind w:firstLine="0" w:firstLineChars="0"/>
                    <w:rPr>
                      <w:rFonts w:cs="Times New Roman"/>
                    </w:rPr>
                  </w:pPr>
                  <w:r>
                    <w:rPr>
                      <w:rFonts w:hint="eastAsia" w:cs="Times New Roman"/>
                    </w:rPr>
                    <w:t>污染物排放管控</w:t>
                  </w:r>
                </w:p>
              </w:tc>
              <w:tc>
                <w:tcPr>
                  <w:tcW w:w="413" w:type="pct"/>
                  <w:vAlign w:val="center"/>
                </w:tcPr>
                <w:p w14:paraId="55B007D4">
                  <w:pPr>
                    <w:pStyle w:val="12"/>
                    <w:ind w:firstLine="0" w:firstLineChars="0"/>
                    <w:rPr>
                      <w:rFonts w:hint="eastAsia" w:ascii="Times New Roman" w:hAnsi="Times New Roman" w:eastAsia="宋体" w:cs="Times New Roman"/>
                      <w:lang w:val="en-US" w:eastAsia="zh-CN"/>
                    </w:rPr>
                  </w:pPr>
                  <w:r>
                    <w:rPr>
                      <w:rFonts w:hint="eastAsia" w:cs="Times New Roman"/>
                    </w:rPr>
                    <w:t>新增源等量或倍量替代</w:t>
                  </w:r>
                </w:p>
              </w:tc>
              <w:tc>
                <w:tcPr>
                  <w:tcW w:w="2423" w:type="pct"/>
                  <w:vAlign w:val="center"/>
                </w:tcPr>
                <w:p w14:paraId="7F44274D">
                  <w:pPr>
                    <w:pStyle w:val="12"/>
                    <w:ind w:firstLine="0" w:firstLineChars="0"/>
                    <w:jc w:val="left"/>
                    <w:rPr>
                      <w:rFonts w:hint="eastAsia" w:ascii="Times New Roman" w:hAnsi="Times New Roman" w:eastAsia="宋体" w:cs="Times New Roman"/>
                    </w:rPr>
                  </w:pPr>
                  <w:r>
                    <w:rPr>
                      <w:rFonts w:hint="eastAsia" w:cs="Times New Roman"/>
                    </w:rPr>
                    <w:t>1、深入实施工业企业污水处理设施升级改造，全面实现工业废水达标排放。2、强化工业集聚区污水治理，推进工业污水集中处理设施及配套收集系统建设与提标升级改造，大力推进现有污水收集、处理设施问题排查及整治；完善园区及企业雨污分流系统，全面推进医药、化工等行业初期雨水收集处理，推动有条件的园区实施入园企业“一企一管、明管输送、实时监测”。3、化工园区应按照分类收集，分质处理的要求，配备专业化工生产废水集中处理设施（独立建设或依托骨干企业）及专管或明管输送的配套管网，化工生产废水纳管率达到100%；入河排污口设置应符合相关规定。4、加强工业园区集中污水处理设施运行监管</w:t>
                  </w:r>
                  <w:r>
                    <w:rPr>
                      <w:rFonts w:hint="eastAsia" w:cs="Times New Roman"/>
                      <w:lang w:eastAsia="zh-CN"/>
                    </w:rPr>
                    <w:t>，加</w:t>
                  </w:r>
                  <w:r>
                    <w:rPr>
                      <w:rFonts w:hint="eastAsia" w:cs="Times New Roman"/>
                    </w:rPr>
                    <w:t>强企业废水预处理和排水管理，鼓励纳管企业与园区污水处理厂运营单位通过签订委托处理合同等方式协同处理废水。5、加强新化学物质环境管理，严格执行《新化学物质环境管理登记办法》</w:t>
                  </w:r>
                  <w:r>
                    <w:rPr>
                      <w:rFonts w:hint="eastAsia" w:cs="Times New Roman"/>
                      <w:lang w:eastAsia="zh-CN"/>
                    </w:rPr>
                    <w:t>，</w:t>
                  </w:r>
                  <w:r>
                    <w:rPr>
                      <w:rFonts w:hint="eastAsia" w:cs="Times New Roman"/>
                    </w:rPr>
                    <w:t>落实企业新化学物质环境风险防控主体责任。落实国家《优先控制化学品名录（第一批）》《优先控制化学品名录（第二批）》《重点管控新污染物清单（2023年版）》环境风险管控措施。</w:t>
                  </w:r>
                </w:p>
              </w:tc>
              <w:tc>
                <w:tcPr>
                  <w:tcW w:w="723" w:type="pct"/>
                  <w:vAlign w:val="center"/>
                </w:tcPr>
                <w:p w14:paraId="324DAB29">
                  <w:pPr>
                    <w:pStyle w:val="12"/>
                    <w:rPr>
                      <w:rFonts w:hint="eastAsia" w:cs="Times New Roman"/>
                      <w:lang w:val="en-US" w:eastAsia="zh-CN"/>
                    </w:rPr>
                  </w:pPr>
                  <w:r>
                    <w:rPr>
                      <w:rFonts w:hint="eastAsia"/>
                    </w:rPr>
                    <w:t>本项目</w:t>
                  </w:r>
                  <w:r>
                    <w:rPr>
                      <w:rFonts w:hint="eastAsia"/>
                      <w:lang w:val="en-US" w:eastAsia="zh-CN"/>
                    </w:rPr>
                    <w:t>厂区雨污分流，</w:t>
                  </w:r>
                  <w:r>
                    <w:rPr>
                      <w:rFonts w:hint="eastAsia" w:cs="Times New Roman"/>
                      <w:lang w:val="en-US" w:eastAsia="zh-CN"/>
                    </w:rPr>
                    <w:t>生活污水</w:t>
                  </w:r>
                  <w:r>
                    <w:rPr>
                      <w:rFonts w:cs="Times New Roman"/>
                    </w:rPr>
                    <w:t>预处理后通过市政管网送至</w:t>
                  </w:r>
                  <w:r>
                    <w:rPr>
                      <w:rFonts w:hint="eastAsia" w:cs="Times New Roman"/>
                      <w:lang w:val="en-US" w:eastAsia="zh-CN"/>
                    </w:rPr>
                    <w:t>星光工业</w:t>
                  </w:r>
                  <w:r>
                    <w:rPr>
                      <w:rFonts w:cs="Times New Roman"/>
                    </w:rPr>
                    <w:t>园区污水处理</w:t>
                  </w:r>
                  <w:r>
                    <w:rPr>
                      <w:rFonts w:hint="eastAsia" w:cs="Times New Roman"/>
                      <w:lang w:val="en-US" w:eastAsia="zh-CN"/>
                    </w:rPr>
                    <w:t>厂</w:t>
                  </w:r>
                  <w:r>
                    <w:rPr>
                      <w:rFonts w:cs="Times New Roman"/>
                    </w:rPr>
                    <w:t>处理后达标排放</w:t>
                  </w:r>
                  <w:r>
                    <w:rPr>
                      <w:rFonts w:hint="eastAsia" w:cs="Times New Roman"/>
                      <w:lang w:eastAsia="zh-CN"/>
                    </w:rPr>
                    <w:t>；</w:t>
                  </w:r>
                  <w:r>
                    <w:rPr>
                      <w:rFonts w:hint="eastAsia" w:cs="Times New Roman"/>
                      <w:lang w:val="en-US" w:eastAsia="zh-CN"/>
                    </w:rPr>
                    <w:t>生产废水部分回用，不能回用部分委托四川洁安环境科技有限公司清运处理</w:t>
                  </w:r>
                  <w:r>
                    <w:rPr>
                      <w:rFonts w:hint="eastAsia"/>
                    </w:rPr>
                    <w:t>；本项目厂区内雨污分流；本项目不涉及需要重点管控的新化学物质。</w:t>
                  </w:r>
                </w:p>
              </w:tc>
              <w:tc>
                <w:tcPr>
                  <w:tcW w:w="284" w:type="pct"/>
                  <w:vAlign w:val="center"/>
                </w:tcPr>
                <w:p w14:paraId="06350E3D">
                  <w:pPr>
                    <w:pStyle w:val="12"/>
                    <w:rPr>
                      <w:rFonts w:hint="default" w:cs="Times New Roman"/>
                      <w:lang w:val="en-US" w:eastAsia="zh-CN"/>
                    </w:rPr>
                  </w:pPr>
                  <w:r>
                    <w:rPr>
                      <w:rFonts w:hint="eastAsia" w:cs="Times New Roman"/>
                      <w:lang w:val="en-US" w:eastAsia="zh-CN"/>
                    </w:rPr>
                    <w:t>符合</w:t>
                  </w:r>
                </w:p>
              </w:tc>
            </w:tr>
            <w:tr w14:paraId="13235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658" w:type="pct"/>
                  <w:vMerge w:val="restart"/>
                  <w:vAlign w:val="center"/>
                </w:tcPr>
                <w:p w14:paraId="4603CD79">
                  <w:pPr>
                    <w:pStyle w:val="12"/>
                    <w:ind w:firstLine="0" w:firstLineChars="0"/>
                    <w:jc w:val="left"/>
                    <w:rPr>
                      <w:rFonts w:hint="eastAsia" w:cs="Times New Roman"/>
                      <w:lang w:val="en-US" w:eastAsia="zh-CN"/>
                    </w:rPr>
                  </w:pPr>
                  <w:r>
                    <w:rPr>
                      <w:rFonts w:hint="eastAsia" w:ascii="Times New Roman" w:hAnsi="Times New Roman" w:eastAsia="宋体" w:cs="Times New Roman"/>
                    </w:rPr>
                    <w:t>平昌经济开发区《星光机械制造产业片区、金宝食品饮料产业片区、驷马清洁能源产业片区、石龙门化工园片区)</w:t>
                  </w:r>
                </w:p>
              </w:tc>
              <w:tc>
                <w:tcPr>
                  <w:tcW w:w="260" w:type="pct"/>
                  <w:vMerge w:val="restart"/>
                  <w:vAlign w:val="center"/>
                </w:tcPr>
                <w:p w14:paraId="398472B8">
                  <w:pPr>
                    <w:pStyle w:val="12"/>
                    <w:rPr>
                      <w:rFonts w:hint="default" w:cs="Times New Roman"/>
                      <w:lang w:val="en-US" w:eastAsia="zh-CN"/>
                    </w:rPr>
                  </w:pPr>
                  <w:r>
                    <w:rPr>
                      <w:rFonts w:hint="eastAsia" w:cs="Times New Roman"/>
                      <w:lang w:val="en-US" w:eastAsia="zh-CN"/>
                    </w:rPr>
                    <w:t>大气高排放重点管控区</w:t>
                  </w:r>
                </w:p>
              </w:tc>
              <w:tc>
                <w:tcPr>
                  <w:tcW w:w="236" w:type="pct"/>
                  <w:vMerge w:val="restart"/>
                  <w:vAlign w:val="center"/>
                </w:tcPr>
                <w:p w14:paraId="46206642">
                  <w:pPr>
                    <w:pStyle w:val="12"/>
                    <w:ind w:firstLine="0" w:firstLineChars="0"/>
                    <w:rPr>
                      <w:rFonts w:hint="eastAsia" w:cs="Times New Roman"/>
                    </w:rPr>
                  </w:pPr>
                  <w:r>
                    <w:rPr>
                      <w:rFonts w:hint="eastAsia" w:cs="Times New Roman"/>
                    </w:rPr>
                    <w:t>污染物排放管控</w:t>
                  </w:r>
                </w:p>
              </w:tc>
              <w:tc>
                <w:tcPr>
                  <w:tcW w:w="413" w:type="pct"/>
                  <w:vAlign w:val="center"/>
                </w:tcPr>
                <w:p w14:paraId="3B41B9C8">
                  <w:pPr>
                    <w:pStyle w:val="12"/>
                    <w:ind w:firstLine="0" w:firstLineChars="0"/>
                    <w:rPr>
                      <w:rFonts w:hint="default" w:eastAsia="宋体" w:cs="Times New Roman"/>
                      <w:lang w:val="en-US" w:eastAsia="zh-CN"/>
                    </w:rPr>
                  </w:pPr>
                  <w:r>
                    <w:rPr>
                      <w:rFonts w:hint="eastAsia" w:cs="Times New Roman"/>
                      <w:lang w:val="en-US" w:eastAsia="zh-CN"/>
                    </w:rPr>
                    <w:t>现有源提标升级改造</w:t>
                  </w:r>
                </w:p>
              </w:tc>
              <w:tc>
                <w:tcPr>
                  <w:tcW w:w="2423" w:type="pct"/>
                  <w:vAlign w:val="center"/>
                </w:tcPr>
                <w:p w14:paraId="07E48BD4">
                  <w:pPr>
                    <w:pStyle w:val="12"/>
                    <w:ind w:firstLine="0" w:firstLineChars="0"/>
                    <w:jc w:val="left"/>
                    <w:rPr>
                      <w:rFonts w:hint="eastAsia" w:cs="Times New Roman"/>
                    </w:rPr>
                  </w:pPr>
                  <w:r>
                    <w:rPr>
                      <w:rFonts w:hint="eastAsia" w:ascii="Times New Roman" w:hAnsi="Times New Roman" w:eastAsia="宋体" w:cs="Times New Roman"/>
                    </w:rPr>
                    <w:t>《环境空气质量标准》（GB3095-20</w:t>
                  </w:r>
                  <w:r>
                    <w:rPr>
                      <w:rFonts w:hint="eastAsia" w:ascii="Times New Roman" w:hAnsi="Times New Roman" w:eastAsia="宋体" w:cs="Times New Roman"/>
                      <w:lang w:val="en-US" w:eastAsia="zh-CN"/>
                    </w:rPr>
                    <w:t>12</w:t>
                  </w:r>
                  <w:r>
                    <w:rPr>
                      <w:rFonts w:hint="eastAsia" w:ascii="Times New Roman" w:hAnsi="Times New Roman" w:eastAsia="宋体" w:cs="Times New Roman"/>
                    </w:rPr>
                    <w:t>）：二级</w:t>
                  </w:r>
                </w:p>
              </w:tc>
              <w:tc>
                <w:tcPr>
                  <w:tcW w:w="723" w:type="pct"/>
                  <w:vAlign w:val="center"/>
                </w:tcPr>
                <w:p w14:paraId="752EDB7D">
                  <w:pPr>
                    <w:pStyle w:val="12"/>
                    <w:rPr>
                      <w:rFonts w:hint="default" w:eastAsia="宋体"/>
                      <w:lang w:val="en-US" w:eastAsia="zh-CN"/>
                    </w:rPr>
                  </w:pPr>
                  <w:r>
                    <w:rPr>
                      <w:rFonts w:hint="eastAsia"/>
                      <w:lang w:val="en-US" w:eastAsia="zh-CN"/>
                    </w:rPr>
                    <w:t>项目所在区域执行最新的</w:t>
                  </w:r>
                  <w:r>
                    <w:rPr>
                      <w:rFonts w:hint="eastAsia" w:ascii="Times New Roman" w:hAnsi="Times New Roman" w:eastAsia="宋体" w:cs="Times New Roman"/>
                    </w:rPr>
                    <w:t>《环境空气质量标准》（GB3095-20</w:t>
                  </w:r>
                  <w:r>
                    <w:rPr>
                      <w:rFonts w:hint="eastAsia" w:ascii="Times New Roman" w:hAnsi="Times New Roman" w:eastAsia="宋体" w:cs="Times New Roman"/>
                      <w:lang w:val="en-US" w:eastAsia="zh-CN"/>
                    </w:rPr>
                    <w:t>26</w:t>
                  </w:r>
                  <w:r>
                    <w:rPr>
                      <w:rFonts w:hint="eastAsia" w:ascii="Times New Roman" w:hAnsi="Times New Roman" w:eastAsia="宋体" w:cs="Times New Roman"/>
                    </w:rPr>
                    <w:t>）</w:t>
                  </w:r>
                  <w:r>
                    <w:rPr>
                      <w:rFonts w:hint="eastAsia" w:ascii="Times New Roman" w:hAnsi="Times New Roman" w:eastAsia="宋体" w:cs="Times New Roman"/>
                      <w:lang w:val="en-US" w:eastAsia="zh-CN"/>
                    </w:rPr>
                    <w:t>过渡期二级浓度限值。</w:t>
                  </w:r>
                </w:p>
              </w:tc>
              <w:tc>
                <w:tcPr>
                  <w:tcW w:w="284" w:type="pct"/>
                  <w:vAlign w:val="center"/>
                </w:tcPr>
                <w:p w14:paraId="62FB5C60">
                  <w:pPr>
                    <w:pStyle w:val="12"/>
                    <w:rPr>
                      <w:rFonts w:hint="default" w:cs="Times New Roman"/>
                      <w:lang w:val="en-US" w:eastAsia="zh-CN"/>
                    </w:rPr>
                  </w:pPr>
                  <w:r>
                    <w:rPr>
                      <w:rFonts w:hint="eastAsia" w:cs="Times New Roman"/>
                      <w:lang w:val="en-US" w:eastAsia="zh-CN"/>
                    </w:rPr>
                    <w:t>符合</w:t>
                  </w:r>
                </w:p>
              </w:tc>
            </w:tr>
            <w:tr w14:paraId="6B21D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658" w:type="pct"/>
                  <w:vMerge w:val="continue"/>
                  <w:vAlign w:val="center"/>
                </w:tcPr>
                <w:p w14:paraId="74C0CE62">
                  <w:pPr>
                    <w:pStyle w:val="12"/>
                    <w:ind w:firstLine="0" w:firstLineChars="0"/>
                    <w:jc w:val="left"/>
                    <w:rPr>
                      <w:rFonts w:hint="eastAsia" w:ascii="Times New Roman" w:hAnsi="Times New Roman" w:eastAsia="宋体" w:cs="Times New Roman"/>
                    </w:rPr>
                  </w:pPr>
                </w:p>
              </w:tc>
              <w:tc>
                <w:tcPr>
                  <w:tcW w:w="260" w:type="pct"/>
                  <w:vMerge w:val="continue"/>
                  <w:vAlign w:val="center"/>
                </w:tcPr>
                <w:p w14:paraId="0923D2A5">
                  <w:pPr>
                    <w:pStyle w:val="12"/>
                    <w:rPr>
                      <w:rFonts w:hint="eastAsia" w:cs="Times New Roman"/>
                      <w:lang w:val="en-US" w:eastAsia="zh-CN"/>
                    </w:rPr>
                  </w:pPr>
                </w:p>
              </w:tc>
              <w:tc>
                <w:tcPr>
                  <w:tcW w:w="236" w:type="pct"/>
                  <w:vMerge w:val="continue"/>
                  <w:vAlign w:val="center"/>
                </w:tcPr>
                <w:p w14:paraId="0EEB4795">
                  <w:pPr>
                    <w:pStyle w:val="12"/>
                    <w:ind w:firstLine="0" w:firstLineChars="0"/>
                    <w:rPr>
                      <w:rFonts w:hint="eastAsia" w:cs="Times New Roman"/>
                    </w:rPr>
                  </w:pPr>
                </w:p>
              </w:tc>
              <w:tc>
                <w:tcPr>
                  <w:tcW w:w="413" w:type="pct"/>
                  <w:vAlign w:val="center"/>
                </w:tcPr>
                <w:p w14:paraId="62551755">
                  <w:pPr>
                    <w:pStyle w:val="12"/>
                    <w:ind w:firstLine="0" w:firstLineChars="0"/>
                    <w:rPr>
                      <w:rFonts w:hint="default" w:cs="Times New Roman"/>
                      <w:lang w:val="en-US" w:eastAsia="zh-CN"/>
                    </w:rPr>
                  </w:pPr>
                  <w:r>
                    <w:rPr>
                      <w:rFonts w:hint="eastAsia" w:cs="Times New Roman"/>
                      <w:lang w:val="en-US" w:eastAsia="zh-CN"/>
                    </w:rPr>
                    <w:t>新增源等量或倍量替代</w:t>
                  </w:r>
                </w:p>
              </w:tc>
              <w:tc>
                <w:tcPr>
                  <w:tcW w:w="2423" w:type="pct"/>
                  <w:vAlign w:val="center"/>
                </w:tcPr>
                <w:p w14:paraId="132ABD6B">
                  <w:pPr>
                    <w:pStyle w:val="12"/>
                    <w:ind w:firstLine="0" w:firstLineChars="0"/>
                    <w:jc w:val="left"/>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是</w:t>
                  </w:r>
                </w:p>
              </w:tc>
              <w:tc>
                <w:tcPr>
                  <w:tcW w:w="723" w:type="pct"/>
                  <w:vAlign w:val="center"/>
                </w:tcPr>
                <w:p w14:paraId="40E65F52">
                  <w:pPr>
                    <w:pStyle w:val="12"/>
                    <w:rPr>
                      <w:rFonts w:hint="default" w:eastAsia="宋体"/>
                      <w:lang w:val="en-US" w:eastAsia="zh-CN"/>
                    </w:rPr>
                  </w:pPr>
                  <w:r>
                    <w:rPr>
                      <w:rFonts w:hint="eastAsia"/>
                      <w:lang w:val="en-US" w:eastAsia="zh-CN"/>
                    </w:rPr>
                    <w:t>项目严格落实总量控制要求，申请总量并落实。</w:t>
                  </w:r>
                </w:p>
              </w:tc>
              <w:tc>
                <w:tcPr>
                  <w:tcW w:w="284" w:type="pct"/>
                  <w:vAlign w:val="center"/>
                </w:tcPr>
                <w:p w14:paraId="1D905FCF">
                  <w:pPr>
                    <w:pStyle w:val="12"/>
                    <w:rPr>
                      <w:rFonts w:hint="eastAsia" w:cs="Times New Roman"/>
                      <w:lang w:val="en-US" w:eastAsia="zh-CN"/>
                    </w:rPr>
                  </w:pPr>
                  <w:r>
                    <w:rPr>
                      <w:rFonts w:hint="eastAsia" w:cs="Times New Roman"/>
                      <w:lang w:val="en-US" w:eastAsia="zh-CN"/>
                    </w:rPr>
                    <w:t>符合</w:t>
                  </w:r>
                </w:p>
              </w:tc>
            </w:tr>
            <w:tr w14:paraId="5A0FD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658" w:type="pct"/>
                  <w:vMerge w:val="continue"/>
                  <w:vAlign w:val="center"/>
                </w:tcPr>
                <w:p w14:paraId="72CC585F">
                  <w:pPr>
                    <w:pStyle w:val="12"/>
                    <w:ind w:firstLine="0" w:firstLineChars="0"/>
                  </w:pPr>
                </w:p>
              </w:tc>
              <w:tc>
                <w:tcPr>
                  <w:tcW w:w="260" w:type="pct"/>
                  <w:vMerge w:val="continue"/>
                  <w:vAlign w:val="center"/>
                </w:tcPr>
                <w:p w14:paraId="50787B5A">
                  <w:pPr>
                    <w:pStyle w:val="12"/>
                    <w:ind w:firstLine="0" w:firstLineChars="0"/>
                  </w:pPr>
                </w:p>
              </w:tc>
              <w:tc>
                <w:tcPr>
                  <w:tcW w:w="236" w:type="pct"/>
                  <w:vMerge w:val="restart"/>
                  <w:vAlign w:val="center"/>
                </w:tcPr>
                <w:p w14:paraId="39357760">
                  <w:pPr>
                    <w:pStyle w:val="12"/>
                    <w:ind w:firstLine="0" w:firstLineChars="0"/>
                    <w:rPr>
                      <w:rFonts w:hint="default" w:eastAsia="宋体" w:cs="Times New Roman"/>
                      <w:lang w:val="en-US" w:eastAsia="zh-CN"/>
                    </w:rPr>
                  </w:pPr>
                  <w:r>
                    <w:rPr>
                      <w:rFonts w:hint="eastAsia" w:cs="Times New Roman"/>
                      <w:lang w:val="en-US" w:eastAsia="zh-CN"/>
                    </w:rPr>
                    <w:t>环境风险防控</w:t>
                  </w:r>
                </w:p>
              </w:tc>
              <w:tc>
                <w:tcPr>
                  <w:tcW w:w="413" w:type="pct"/>
                  <w:vAlign w:val="center"/>
                </w:tcPr>
                <w:p w14:paraId="3BA58519">
                  <w:pPr>
                    <w:pStyle w:val="12"/>
                    <w:ind w:firstLine="0" w:firstLineChars="0"/>
                    <w:rPr>
                      <w:rFonts w:hint="default" w:eastAsia="宋体" w:cs="Times New Roman"/>
                      <w:lang w:val="en-US" w:eastAsia="zh-CN"/>
                    </w:rPr>
                  </w:pPr>
                  <w:r>
                    <w:rPr>
                      <w:rFonts w:hint="eastAsia" w:cs="Times New Roman"/>
                      <w:lang w:val="en-US" w:eastAsia="zh-CN"/>
                    </w:rPr>
                    <w:t>严格管控各类农用地管控要求</w:t>
                  </w:r>
                </w:p>
              </w:tc>
              <w:tc>
                <w:tcPr>
                  <w:tcW w:w="2423" w:type="pct"/>
                  <w:vAlign w:val="center"/>
                </w:tcPr>
                <w:p w14:paraId="40B9FB99">
                  <w:pPr>
                    <w:pStyle w:val="12"/>
                    <w:ind w:firstLine="0" w:firstLineChars="0"/>
                    <w:jc w:val="left"/>
                    <w:rPr>
                      <w:rFonts w:hint="eastAsia" w:ascii="Times New Roman" w:hAnsi="Times New Roman" w:eastAsia="宋体" w:cs="Times New Roman"/>
                    </w:rPr>
                  </w:pPr>
                  <w:r>
                    <w:rPr>
                      <w:rFonts w:hint="eastAsia" w:ascii="Times New Roman" w:hAnsi="Times New Roman" w:eastAsia="宋体" w:cs="Times New Roman"/>
                    </w:rPr>
                    <w:t>1、全面淘汰10蒸吨/小时及以下燃煤锅炉，原则上不再新建35蒸吨/小时及以下的燃煤锅炉，推进县级及以上城市建成区淘汰35蒸吨/小时及以下燃煤锅炉，以工业余热、电厂热力、清洁能源等替代煤炭。 2、加快推进火电、钢铁、铸造（含烧结、球团、高炉工序）水泥、焦化行业燃煤锅炉和工业炉窑超低排放改造及深度治理。稳步实施陶瓷、玻璃、铁合金、有色、砖瓦等行业企业深度治理，推进工业炉窑煤改电（气）和低氮燃烧改造。全面加强钢铁、建材、有色、焦化、铸造重点行业无组织排放治理。生物质锅炉采用专用锅炉，配套布袋等高效除尘设施，禁止掺烧煤炭、垃圾等其他物料。</w:t>
                  </w:r>
                </w:p>
              </w:tc>
              <w:tc>
                <w:tcPr>
                  <w:tcW w:w="723" w:type="pct"/>
                  <w:vAlign w:val="center"/>
                </w:tcPr>
                <w:p w14:paraId="4A3AC54C">
                  <w:pPr>
                    <w:pStyle w:val="12"/>
                    <w:ind w:firstLine="0" w:firstLineChars="0"/>
                    <w:rPr>
                      <w:rFonts w:hint="default" w:eastAsia="宋体" w:cs="Times New Roman"/>
                      <w:lang w:val="en-US" w:eastAsia="zh-CN"/>
                    </w:rPr>
                  </w:pPr>
                  <w:r>
                    <w:rPr>
                      <w:rFonts w:hint="eastAsia" w:cs="Times New Roman"/>
                      <w:lang w:val="en-US" w:eastAsia="zh-CN"/>
                    </w:rPr>
                    <w:t>本项目不使用煤炭等高污染燃料，工业炉窑已采取低氮燃烧及其他配套治理设施，各环节废气均有效收集处理，最大程度减少无组织排放。</w:t>
                  </w:r>
                </w:p>
              </w:tc>
              <w:tc>
                <w:tcPr>
                  <w:tcW w:w="284" w:type="pct"/>
                  <w:vAlign w:val="center"/>
                </w:tcPr>
                <w:p w14:paraId="5F723E3B">
                  <w:pPr>
                    <w:pStyle w:val="12"/>
                    <w:ind w:firstLine="0" w:firstLineChars="0"/>
                    <w:rPr>
                      <w:rFonts w:hint="eastAsia" w:cs="Times New Roman"/>
                    </w:rPr>
                  </w:pPr>
                  <w:r>
                    <w:rPr>
                      <w:rFonts w:hint="eastAsia" w:cs="Times New Roman"/>
                      <w:lang w:val="en-US" w:eastAsia="zh-CN"/>
                    </w:rPr>
                    <w:t>符合</w:t>
                  </w:r>
                </w:p>
              </w:tc>
            </w:tr>
            <w:tr w14:paraId="78B91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658" w:type="pct"/>
                  <w:vMerge w:val="continue"/>
                  <w:vAlign w:val="center"/>
                </w:tcPr>
                <w:p w14:paraId="181FADAF">
                  <w:pPr>
                    <w:pStyle w:val="12"/>
                    <w:ind w:firstLine="0" w:firstLineChars="0"/>
                  </w:pPr>
                </w:p>
              </w:tc>
              <w:tc>
                <w:tcPr>
                  <w:tcW w:w="260" w:type="pct"/>
                  <w:vMerge w:val="continue"/>
                  <w:vAlign w:val="center"/>
                </w:tcPr>
                <w:p w14:paraId="41A62DB8">
                  <w:pPr>
                    <w:pStyle w:val="12"/>
                    <w:ind w:firstLine="0" w:firstLineChars="0"/>
                  </w:pPr>
                </w:p>
              </w:tc>
              <w:tc>
                <w:tcPr>
                  <w:tcW w:w="236" w:type="pct"/>
                  <w:vMerge w:val="continue"/>
                  <w:vAlign w:val="center"/>
                </w:tcPr>
                <w:p w14:paraId="5780C36A">
                  <w:pPr>
                    <w:pStyle w:val="12"/>
                    <w:ind w:firstLine="0" w:firstLineChars="0"/>
                  </w:pPr>
                </w:p>
              </w:tc>
              <w:tc>
                <w:tcPr>
                  <w:tcW w:w="413" w:type="pct"/>
                  <w:vAlign w:val="center"/>
                </w:tcPr>
                <w:p w14:paraId="08E21605">
                  <w:pPr>
                    <w:pStyle w:val="12"/>
                    <w:ind w:firstLine="0" w:firstLineChars="0"/>
                    <w:rPr>
                      <w:rFonts w:hint="default" w:eastAsia="宋体" w:cs="Times New Roman"/>
                      <w:lang w:val="en-US" w:eastAsia="zh-CN"/>
                    </w:rPr>
                  </w:pPr>
                  <w:r>
                    <w:rPr>
                      <w:rFonts w:hint="eastAsia" w:cs="Times New Roman"/>
                      <w:lang w:val="en-US" w:eastAsia="zh-CN"/>
                    </w:rPr>
                    <w:t>企业环境风险防控要求</w:t>
                  </w:r>
                </w:p>
              </w:tc>
              <w:tc>
                <w:tcPr>
                  <w:tcW w:w="2423" w:type="pct"/>
                  <w:vAlign w:val="center"/>
                </w:tcPr>
                <w:p w14:paraId="508A825A">
                  <w:pPr>
                    <w:pStyle w:val="12"/>
                    <w:ind w:firstLine="0" w:firstLineChars="0"/>
                    <w:jc w:val="left"/>
                    <w:rPr>
                      <w:rFonts w:hint="eastAsia" w:ascii="Times New Roman" w:hAnsi="Times New Roman" w:eastAsia="宋体" w:cs="Times New Roman"/>
                    </w:rPr>
                  </w:pPr>
                  <w:r>
                    <w:rPr>
                      <w:rFonts w:hint="eastAsia" w:ascii="Times New Roman" w:hAnsi="Times New Roman" w:eastAsia="宋体" w:cs="Times New Roman"/>
                    </w:rPr>
                    <w:t>加快实施低VOCs含量原辅材料替代。持续开展VOCs治理设施提级增效，对采用单一低温等离子、光氧化、光催化以及非水溶性VOCs废气采用单一喷淋吸收等治理技术且无法稳定达标的，加快推进升级改造。强化VOCs无组织排放整治。石化、化工等行业加强非正常工况废气排放管控。推进涉VOCs产业集群治理提升</w:t>
                  </w:r>
                </w:p>
              </w:tc>
              <w:tc>
                <w:tcPr>
                  <w:tcW w:w="723" w:type="pct"/>
                  <w:vAlign w:val="center"/>
                </w:tcPr>
                <w:p w14:paraId="31072966">
                  <w:pPr>
                    <w:pStyle w:val="12"/>
                    <w:ind w:firstLine="0" w:firstLineChars="0"/>
                    <w:rPr>
                      <w:rFonts w:hint="default" w:eastAsia="宋体" w:cs="Times New Roman"/>
                      <w:lang w:val="en-US" w:eastAsia="zh-CN"/>
                    </w:rPr>
                  </w:pPr>
                  <w:r>
                    <w:rPr>
                      <w:rFonts w:hint="eastAsia" w:cs="Times New Roman"/>
                      <w:lang w:val="en-US" w:eastAsia="zh-CN"/>
                    </w:rPr>
                    <w:t>本项目使用的原辅料不涉及VOCs物料。</w:t>
                  </w:r>
                </w:p>
              </w:tc>
              <w:tc>
                <w:tcPr>
                  <w:tcW w:w="284" w:type="pct"/>
                  <w:vAlign w:val="center"/>
                </w:tcPr>
                <w:p w14:paraId="06EEED31">
                  <w:pPr>
                    <w:pStyle w:val="12"/>
                    <w:ind w:firstLine="0" w:firstLineChars="0"/>
                    <w:rPr>
                      <w:rFonts w:hint="eastAsia" w:cs="Times New Roman"/>
                    </w:rPr>
                  </w:pPr>
                  <w:r>
                    <w:rPr>
                      <w:rFonts w:hint="eastAsia" w:cs="Times New Roman"/>
                      <w:lang w:val="en-US" w:eastAsia="zh-CN"/>
                    </w:rPr>
                    <w:t>符合</w:t>
                  </w:r>
                </w:p>
              </w:tc>
            </w:tr>
            <w:tr w14:paraId="240E9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658" w:type="pct"/>
                  <w:vAlign w:val="center"/>
                </w:tcPr>
                <w:p w14:paraId="4F8A9FAD">
                  <w:pPr>
                    <w:pStyle w:val="12"/>
                    <w:ind w:firstLine="0" w:firstLineChars="0"/>
                    <w:rPr>
                      <w:rFonts w:hint="default" w:eastAsia="宋体"/>
                      <w:lang w:val="en-US" w:eastAsia="zh-CN"/>
                    </w:rPr>
                  </w:pPr>
                  <w:r>
                    <w:rPr>
                      <w:rFonts w:hint="eastAsia"/>
                      <w:lang w:val="en-US" w:eastAsia="zh-CN"/>
                    </w:rPr>
                    <w:t>平昌县水资源重点管控区</w:t>
                  </w:r>
                </w:p>
              </w:tc>
              <w:tc>
                <w:tcPr>
                  <w:tcW w:w="260" w:type="pct"/>
                  <w:vAlign w:val="center"/>
                </w:tcPr>
                <w:p w14:paraId="3DDB2A93">
                  <w:pPr>
                    <w:pStyle w:val="12"/>
                    <w:ind w:firstLine="0" w:firstLineChars="0"/>
                    <w:rPr>
                      <w:rFonts w:hint="default" w:eastAsia="宋体"/>
                      <w:lang w:val="en-US" w:eastAsia="zh-CN"/>
                    </w:rPr>
                  </w:pPr>
                  <w:r>
                    <w:rPr>
                      <w:rFonts w:hint="eastAsia"/>
                      <w:lang w:val="en-US" w:eastAsia="zh-CN"/>
                    </w:rPr>
                    <w:t>生态用水补给区</w:t>
                  </w:r>
                </w:p>
              </w:tc>
              <w:tc>
                <w:tcPr>
                  <w:tcW w:w="236" w:type="pct"/>
                  <w:vAlign w:val="center"/>
                </w:tcPr>
                <w:p w14:paraId="6642F5F0">
                  <w:pPr>
                    <w:pStyle w:val="12"/>
                    <w:ind w:firstLine="0" w:firstLineChars="0"/>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环境风险防控</w:t>
                  </w:r>
                </w:p>
              </w:tc>
              <w:tc>
                <w:tcPr>
                  <w:tcW w:w="413" w:type="pct"/>
                  <w:vAlign w:val="center"/>
                </w:tcPr>
                <w:p w14:paraId="6C8000D5">
                  <w:pPr>
                    <w:pStyle w:val="12"/>
                    <w:ind w:firstLine="0" w:firstLineChars="0"/>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污染地块管控要求</w:t>
                  </w:r>
                </w:p>
              </w:tc>
              <w:tc>
                <w:tcPr>
                  <w:tcW w:w="2423" w:type="pct"/>
                  <w:vAlign w:val="center"/>
                </w:tcPr>
                <w:p w14:paraId="03B7A09A">
                  <w:pPr>
                    <w:pStyle w:val="12"/>
                    <w:ind w:firstLine="0" w:firstLineChars="0"/>
                    <w:jc w:val="left"/>
                    <w:rPr>
                      <w:rFonts w:hint="eastAsia" w:ascii="Times New Roman" w:hAnsi="Times New Roman" w:eastAsia="宋体" w:cs="Times New Roman"/>
                    </w:rPr>
                  </w:pPr>
                  <w:r>
                    <w:rPr>
                      <w:rFonts w:hint="eastAsia" w:ascii="Times New Roman" w:hAnsi="Times New Roman" w:eastAsia="宋体" w:cs="Times New Roman"/>
                    </w:rPr>
                    <w:t>土地资源开发利用量不得超过土地资源利用上线控制性指标。</w:t>
                  </w:r>
                </w:p>
              </w:tc>
              <w:tc>
                <w:tcPr>
                  <w:tcW w:w="723" w:type="pct"/>
                  <w:vAlign w:val="center"/>
                </w:tcPr>
                <w:p w14:paraId="12E88A1D">
                  <w:pPr>
                    <w:pStyle w:val="12"/>
                    <w:ind w:firstLine="0" w:firstLineChars="0"/>
                    <w:rPr>
                      <w:rFonts w:hint="default" w:cs="Times New Roman"/>
                      <w:lang w:val="en-US" w:eastAsia="zh-CN"/>
                    </w:rPr>
                  </w:pPr>
                  <w:r>
                    <w:rPr>
                      <w:rFonts w:hint="eastAsia" w:cs="Times New Roman"/>
                      <w:lang w:val="en-US" w:eastAsia="zh-CN"/>
                    </w:rPr>
                    <w:t>本项目租用已建成厂房进行建设，无新增用地。</w:t>
                  </w:r>
                </w:p>
              </w:tc>
              <w:tc>
                <w:tcPr>
                  <w:tcW w:w="284" w:type="pct"/>
                  <w:vAlign w:val="center"/>
                </w:tcPr>
                <w:p w14:paraId="04EA06A4">
                  <w:pPr>
                    <w:pStyle w:val="12"/>
                    <w:ind w:firstLine="0" w:firstLineChars="0"/>
                    <w:rPr>
                      <w:rFonts w:hint="eastAsia" w:eastAsia="宋体" w:cs="Times New Roman"/>
                      <w:lang w:val="en-US" w:eastAsia="zh-CN"/>
                    </w:rPr>
                  </w:pPr>
                  <w:r>
                    <w:rPr>
                      <w:rFonts w:hint="eastAsia" w:cs="Times New Roman"/>
                      <w:lang w:val="en-US" w:eastAsia="zh-CN"/>
                    </w:rPr>
                    <w:t>符合</w:t>
                  </w:r>
                </w:p>
              </w:tc>
            </w:tr>
            <w:tr w14:paraId="4584C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658" w:type="pct"/>
                  <w:vMerge w:val="restart"/>
                  <w:vAlign w:val="center"/>
                </w:tcPr>
                <w:p w14:paraId="6C06E3B3">
                  <w:pPr>
                    <w:pStyle w:val="12"/>
                    <w:ind w:firstLine="0" w:firstLineChars="0"/>
                    <w:rPr>
                      <w:rFonts w:hint="default"/>
                      <w:lang w:val="en-US" w:eastAsia="zh-CN"/>
                    </w:rPr>
                  </w:pPr>
                  <w:r>
                    <w:rPr>
                      <w:rFonts w:hint="eastAsia"/>
                      <w:lang w:val="en-US" w:eastAsia="zh-CN"/>
                    </w:rPr>
                    <w:t>平昌县城镇开发边界</w:t>
                  </w:r>
                </w:p>
              </w:tc>
              <w:tc>
                <w:tcPr>
                  <w:tcW w:w="260" w:type="pct"/>
                  <w:vMerge w:val="restart"/>
                  <w:vAlign w:val="center"/>
                </w:tcPr>
                <w:p w14:paraId="3058E552">
                  <w:pPr>
                    <w:pStyle w:val="12"/>
                    <w:ind w:firstLine="0" w:firstLineChars="0"/>
                    <w:rPr>
                      <w:rFonts w:hint="default"/>
                      <w:lang w:val="en-US" w:eastAsia="zh-CN"/>
                    </w:rPr>
                  </w:pPr>
                  <w:r>
                    <w:rPr>
                      <w:rFonts w:hint="eastAsia"/>
                      <w:lang w:val="en-US" w:eastAsia="zh-CN"/>
                    </w:rPr>
                    <w:t>土地资源重点管控区</w:t>
                  </w:r>
                </w:p>
              </w:tc>
              <w:tc>
                <w:tcPr>
                  <w:tcW w:w="236" w:type="pct"/>
                  <w:vAlign w:val="center"/>
                </w:tcPr>
                <w:p w14:paraId="15524C48">
                  <w:pPr>
                    <w:pStyle w:val="12"/>
                    <w:ind w:firstLine="0" w:firstLineChars="0"/>
                    <w:rPr>
                      <w:rFonts w:hint="eastAsia"/>
                      <w:lang w:val="en-US" w:eastAsia="zh-CN"/>
                    </w:rPr>
                  </w:pPr>
                  <w:r>
                    <w:rPr>
                      <w:rFonts w:cs="Times New Roman"/>
                    </w:rPr>
                    <w:t>空间布局约束</w:t>
                  </w:r>
                </w:p>
              </w:tc>
              <w:tc>
                <w:tcPr>
                  <w:tcW w:w="413" w:type="pct"/>
                  <w:vAlign w:val="center"/>
                </w:tcPr>
                <w:p w14:paraId="756AF3C9">
                  <w:pPr>
                    <w:pStyle w:val="12"/>
                    <w:ind w:firstLine="0" w:firstLineChars="0"/>
                    <w:rPr>
                      <w:rFonts w:hint="eastAsia" w:ascii="Times New Roman" w:hAnsi="Times New Roman" w:eastAsia="宋体" w:cs="Times New Roman"/>
                    </w:rPr>
                  </w:pPr>
                  <w:r>
                    <w:rPr>
                      <w:rFonts w:cs="Times New Roman"/>
                    </w:rPr>
                    <w:t>禁止开发建设活动的要求</w:t>
                  </w:r>
                </w:p>
              </w:tc>
              <w:tc>
                <w:tcPr>
                  <w:tcW w:w="2423" w:type="pct"/>
                  <w:vAlign w:val="center"/>
                </w:tcPr>
                <w:p w14:paraId="171C6003">
                  <w:pPr>
                    <w:pStyle w:val="12"/>
                    <w:ind w:firstLine="0" w:firstLineChars="0"/>
                    <w:jc w:val="left"/>
                    <w:rPr>
                      <w:rFonts w:hint="eastAsia" w:ascii="Times New Roman" w:hAnsi="Times New Roman" w:eastAsia="宋体" w:cs="Times New Roman"/>
                    </w:rPr>
                  </w:pPr>
                  <w:r>
                    <w:rPr>
                      <w:rFonts w:hint="eastAsia" w:ascii="Times New Roman" w:hAnsi="Times New Roman" w:eastAsia="宋体" w:cs="Times New Roman"/>
                    </w:rPr>
                    <w:t>1.以城镇开发建设现状为基础，综合考虑资源承载能力、人口分布、经济布局、城乡统筹、城镇无序蔓延。科学预留一定比例的留白区，为未来发展留有开发空间。城镇建设和发展不得违法违规侵占河道、湖面、滩地。2.城镇开发边界调整报国土空间规划原审批机关审批。</w:t>
                  </w:r>
                </w:p>
              </w:tc>
              <w:tc>
                <w:tcPr>
                  <w:tcW w:w="723" w:type="pct"/>
                  <w:vAlign w:val="center"/>
                </w:tcPr>
                <w:p w14:paraId="563371AD">
                  <w:pPr>
                    <w:pStyle w:val="12"/>
                    <w:ind w:firstLine="0" w:firstLineChars="0"/>
                    <w:rPr>
                      <w:rFonts w:hint="default" w:cs="Times New Roman"/>
                      <w:lang w:val="en-US" w:eastAsia="zh-CN"/>
                    </w:rPr>
                  </w:pPr>
                  <w:r>
                    <w:rPr>
                      <w:rFonts w:hint="eastAsia" w:cs="Times New Roman"/>
                      <w:lang w:val="en-US" w:eastAsia="zh-CN"/>
                    </w:rPr>
                    <w:t>本项目位于合规工业园区内，租用已建成厂房进行建设，无新增用地，位于开发边界内，不涉及城镇开发边界的调整。</w:t>
                  </w:r>
                </w:p>
              </w:tc>
              <w:tc>
                <w:tcPr>
                  <w:tcW w:w="284" w:type="pct"/>
                  <w:vAlign w:val="center"/>
                </w:tcPr>
                <w:p w14:paraId="68C714CD">
                  <w:pPr>
                    <w:pStyle w:val="12"/>
                    <w:ind w:firstLine="0" w:firstLineChars="0"/>
                    <w:rPr>
                      <w:rFonts w:hint="default" w:cs="Times New Roman"/>
                      <w:lang w:val="en-US" w:eastAsia="zh-CN"/>
                    </w:rPr>
                  </w:pPr>
                  <w:r>
                    <w:rPr>
                      <w:rFonts w:hint="eastAsia" w:cs="Times New Roman"/>
                      <w:lang w:val="en-US" w:eastAsia="zh-CN"/>
                    </w:rPr>
                    <w:t>符合</w:t>
                  </w:r>
                </w:p>
              </w:tc>
            </w:tr>
            <w:tr w14:paraId="74254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658" w:type="pct"/>
                  <w:vMerge w:val="continue"/>
                  <w:vAlign w:val="center"/>
                </w:tcPr>
                <w:p w14:paraId="0BCA09AD">
                  <w:pPr>
                    <w:pStyle w:val="12"/>
                    <w:ind w:firstLine="0" w:firstLineChars="0"/>
                    <w:rPr>
                      <w:rFonts w:hint="eastAsia"/>
                      <w:lang w:val="en-US" w:eastAsia="zh-CN"/>
                    </w:rPr>
                  </w:pPr>
                </w:p>
              </w:tc>
              <w:tc>
                <w:tcPr>
                  <w:tcW w:w="260" w:type="pct"/>
                  <w:vMerge w:val="continue"/>
                  <w:vAlign w:val="center"/>
                </w:tcPr>
                <w:p w14:paraId="69F19CBB">
                  <w:pPr>
                    <w:pStyle w:val="12"/>
                    <w:ind w:firstLine="0" w:firstLineChars="0"/>
                    <w:rPr>
                      <w:rFonts w:hint="eastAsia"/>
                      <w:lang w:val="en-US" w:eastAsia="zh-CN"/>
                    </w:rPr>
                  </w:pPr>
                </w:p>
              </w:tc>
              <w:tc>
                <w:tcPr>
                  <w:tcW w:w="236" w:type="pct"/>
                  <w:vAlign w:val="center"/>
                </w:tcPr>
                <w:p w14:paraId="4EB5EDB3">
                  <w:pPr>
                    <w:pStyle w:val="12"/>
                    <w:ind w:firstLine="0" w:firstLineChars="0"/>
                    <w:rPr>
                      <w:rFonts w:cs="Times New Roman"/>
                    </w:rPr>
                  </w:pPr>
                  <w:r>
                    <w:rPr>
                      <w:rFonts w:hint="eastAsia" w:ascii="Times New Roman" w:hAnsi="Times New Roman" w:eastAsia="宋体" w:cs="Times New Roman"/>
                      <w:lang w:val="en-US" w:eastAsia="zh-CN"/>
                    </w:rPr>
                    <w:t>环境风险防控</w:t>
                  </w:r>
                </w:p>
              </w:tc>
              <w:tc>
                <w:tcPr>
                  <w:tcW w:w="413" w:type="pct"/>
                  <w:vAlign w:val="center"/>
                </w:tcPr>
                <w:p w14:paraId="388871F3">
                  <w:pPr>
                    <w:pStyle w:val="12"/>
                    <w:ind w:firstLine="0" w:firstLineChars="0"/>
                    <w:rPr>
                      <w:rFonts w:cs="Times New Roman"/>
                    </w:rPr>
                  </w:pPr>
                  <w:r>
                    <w:rPr>
                      <w:rFonts w:hint="eastAsia" w:ascii="Times New Roman" w:hAnsi="Times New Roman" w:eastAsia="宋体" w:cs="Times New Roman"/>
                      <w:lang w:val="en-US" w:eastAsia="zh-CN"/>
                    </w:rPr>
                    <w:t>污染地块管控要求</w:t>
                  </w:r>
                </w:p>
              </w:tc>
              <w:tc>
                <w:tcPr>
                  <w:tcW w:w="2423" w:type="pct"/>
                  <w:vAlign w:val="center"/>
                </w:tcPr>
                <w:p w14:paraId="45AE0D94">
                  <w:pPr>
                    <w:pStyle w:val="12"/>
                    <w:ind w:firstLine="0" w:firstLineChars="0"/>
                    <w:jc w:val="left"/>
                    <w:rPr>
                      <w:rFonts w:hint="eastAsia" w:ascii="Times New Roman" w:hAnsi="Times New Roman" w:eastAsia="宋体" w:cs="Times New Roman"/>
                    </w:rPr>
                  </w:pPr>
                  <w:r>
                    <w:rPr>
                      <w:rFonts w:hint="eastAsia" w:ascii="Times New Roman" w:hAnsi="Times New Roman" w:eastAsia="宋体" w:cs="Times New Roman"/>
                    </w:rPr>
                    <w:t>土地资源开发利用量不得超过土地资源利用上线控制性指标。</w:t>
                  </w:r>
                </w:p>
              </w:tc>
              <w:tc>
                <w:tcPr>
                  <w:tcW w:w="723" w:type="pct"/>
                  <w:vAlign w:val="center"/>
                </w:tcPr>
                <w:p w14:paraId="0BE07FC3">
                  <w:pPr>
                    <w:pStyle w:val="12"/>
                    <w:ind w:firstLine="0" w:firstLineChars="0"/>
                    <w:rPr>
                      <w:rFonts w:hint="eastAsia" w:cs="Times New Roman"/>
                      <w:lang w:val="en-US" w:eastAsia="zh-CN"/>
                    </w:rPr>
                  </w:pPr>
                  <w:r>
                    <w:rPr>
                      <w:rFonts w:hint="eastAsia" w:cs="Times New Roman"/>
                      <w:lang w:val="en-US" w:eastAsia="zh-CN"/>
                    </w:rPr>
                    <w:t>本项目租用已建成厂房进行建设，无新增用地。</w:t>
                  </w:r>
                </w:p>
              </w:tc>
              <w:tc>
                <w:tcPr>
                  <w:tcW w:w="284" w:type="pct"/>
                  <w:vAlign w:val="center"/>
                </w:tcPr>
                <w:p w14:paraId="25E241C8">
                  <w:pPr>
                    <w:pStyle w:val="12"/>
                    <w:ind w:firstLine="0" w:firstLineChars="0"/>
                    <w:rPr>
                      <w:rFonts w:hint="eastAsia" w:cs="Times New Roman"/>
                      <w:lang w:val="en-US" w:eastAsia="zh-CN"/>
                    </w:rPr>
                  </w:pPr>
                  <w:r>
                    <w:rPr>
                      <w:rFonts w:hint="eastAsia" w:cs="Times New Roman"/>
                      <w:lang w:val="en-US" w:eastAsia="zh-CN"/>
                    </w:rPr>
                    <w:t>符合</w:t>
                  </w:r>
                </w:p>
              </w:tc>
            </w:tr>
            <w:tr w14:paraId="3239B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658" w:type="pct"/>
                  <w:vAlign w:val="center"/>
                </w:tcPr>
                <w:p w14:paraId="438A7020">
                  <w:pPr>
                    <w:pStyle w:val="12"/>
                    <w:ind w:firstLine="0" w:firstLineChars="0"/>
                    <w:rPr>
                      <w:rFonts w:hint="default"/>
                      <w:lang w:val="en-US" w:eastAsia="zh-CN"/>
                    </w:rPr>
                  </w:pPr>
                  <w:r>
                    <w:rPr>
                      <w:rFonts w:hint="eastAsia"/>
                      <w:lang w:val="en-US" w:eastAsia="zh-CN"/>
                    </w:rPr>
                    <w:t>平昌县自然资源重点管控区</w:t>
                  </w:r>
                </w:p>
              </w:tc>
              <w:tc>
                <w:tcPr>
                  <w:tcW w:w="260" w:type="pct"/>
                  <w:vAlign w:val="center"/>
                </w:tcPr>
                <w:p w14:paraId="21FFF26F">
                  <w:pPr>
                    <w:pStyle w:val="12"/>
                    <w:ind w:firstLine="0" w:firstLineChars="0"/>
                    <w:rPr>
                      <w:rFonts w:hint="default"/>
                      <w:lang w:val="en-US" w:eastAsia="zh-CN"/>
                    </w:rPr>
                  </w:pPr>
                  <w:r>
                    <w:rPr>
                      <w:rFonts w:hint="eastAsia"/>
                      <w:lang w:val="en-US" w:eastAsia="zh-CN"/>
                    </w:rPr>
                    <w:t>自然资源重点管控区</w:t>
                  </w:r>
                </w:p>
              </w:tc>
              <w:tc>
                <w:tcPr>
                  <w:tcW w:w="236" w:type="pct"/>
                  <w:vAlign w:val="center"/>
                </w:tcPr>
                <w:p w14:paraId="4858A6B0">
                  <w:pPr>
                    <w:pStyle w:val="12"/>
                    <w:ind w:firstLine="0" w:firstLineChars="0"/>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环境风险防控</w:t>
                  </w:r>
                </w:p>
              </w:tc>
              <w:tc>
                <w:tcPr>
                  <w:tcW w:w="413" w:type="pct"/>
                  <w:vAlign w:val="center"/>
                </w:tcPr>
                <w:p w14:paraId="5DE705F3">
                  <w:pPr>
                    <w:pStyle w:val="12"/>
                    <w:ind w:firstLine="0" w:firstLineChars="0"/>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污染地块管控要求</w:t>
                  </w:r>
                </w:p>
              </w:tc>
              <w:tc>
                <w:tcPr>
                  <w:tcW w:w="2423" w:type="pct"/>
                  <w:vAlign w:val="center"/>
                </w:tcPr>
                <w:p w14:paraId="28AAC201">
                  <w:pPr>
                    <w:pStyle w:val="12"/>
                    <w:ind w:firstLine="0" w:firstLineChars="0"/>
                    <w:jc w:val="left"/>
                    <w:rPr>
                      <w:rFonts w:hint="eastAsia" w:ascii="Times New Roman" w:hAnsi="Times New Roman" w:eastAsia="宋体" w:cs="Times New Roman"/>
                    </w:rPr>
                  </w:pPr>
                  <w:r>
                    <w:rPr>
                      <w:rFonts w:hint="eastAsia" w:ascii="Times New Roman" w:hAnsi="Times New Roman" w:eastAsia="宋体" w:cs="Times New Roman"/>
                    </w:rPr>
                    <w:t>土地资源开发利用量不得超过土地资源利用上线控制性指标。</w:t>
                  </w:r>
                </w:p>
              </w:tc>
              <w:tc>
                <w:tcPr>
                  <w:tcW w:w="723" w:type="pct"/>
                  <w:vAlign w:val="center"/>
                </w:tcPr>
                <w:p w14:paraId="392564DB">
                  <w:pPr>
                    <w:pStyle w:val="12"/>
                    <w:ind w:firstLine="0" w:firstLineChars="0"/>
                    <w:rPr>
                      <w:rFonts w:hint="eastAsia" w:cs="Times New Roman"/>
                      <w:lang w:val="en-US" w:eastAsia="zh-CN"/>
                    </w:rPr>
                  </w:pPr>
                  <w:r>
                    <w:rPr>
                      <w:rFonts w:hint="eastAsia" w:cs="Times New Roman"/>
                      <w:lang w:val="en-US" w:eastAsia="zh-CN"/>
                    </w:rPr>
                    <w:t>本项目租用已建成厂房进行建设，无新增用地。</w:t>
                  </w:r>
                </w:p>
              </w:tc>
              <w:tc>
                <w:tcPr>
                  <w:tcW w:w="284" w:type="pct"/>
                  <w:vAlign w:val="center"/>
                </w:tcPr>
                <w:p w14:paraId="19D76633">
                  <w:pPr>
                    <w:pStyle w:val="12"/>
                    <w:ind w:firstLine="0" w:firstLineChars="0"/>
                    <w:rPr>
                      <w:rFonts w:hint="eastAsia" w:cs="Times New Roman"/>
                      <w:lang w:val="en-US" w:eastAsia="zh-CN"/>
                    </w:rPr>
                  </w:pPr>
                  <w:r>
                    <w:rPr>
                      <w:rFonts w:hint="eastAsia" w:cs="Times New Roman"/>
                      <w:lang w:val="en-US" w:eastAsia="zh-CN"/>
                    </w:rPr>
                    <w:t>符合</w:t>
                  </w:r>
                </w:p>
              </w:tc>
            </w:tr>
            <w:tr w14:paraId="1E03C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658" w:type="pct"/>
                  <w:vAlign w:val="center"/>
                </w:tcPr>
                <w:p w14:paraId="54C04717">
                  <w:pPr>
                    <w:pStyle w:val="12"/>
                    <w:ind w:firstLine="0" w:firstLineChars="0"/>
                    <w:rPr>
                      <w:rFonts w:hint="default"/>
                      <w:lang w:val="en-US" w:eastAsia="zh-CN"/>
                    </w:rPr>
                  </w:pPr>
                  <w:r>
                    <w:rPr>
                      <w:rFonts w:hint="eastAsia"/>
                      <w:lang w:val="en-US" w:eastAsia="zh-CN"/>
                    </w:rPr>
                    <w:t>渠江江河湖库岸线重点管控区</w:t>
                  </w:r>
                </w:p>
              </w:tc>
              <w:tc>
                <w:tcPr>
                  <w:tcW w:w="260" w:type="pct"/>
                  <w:vAlign w:val="center"/>
                </w:tcPr>
                <w:p w14:paraId="39A12855">
                  <w:pPr>
                    <w:pStyle w:val="12"/>
                    <w:ind w:firstLine="0" w:firstLineChars="0"/>
                    <w:rPr>
                      <w:rFonts w:hint="default"/>
                      <w:lang w:val="en-US" w:eastAsia="zh-CN"/>
                    </w:rPr>
                  </w:pPr>
                  <w:r>
                    <w:rPr>
                      <w:rFonts w:hint="eastAsia"/>
                      <w:lang w:val="en-US" w:eastAsia="zh-CN"/>
                    </w:rPr>
                    <w:t>江河湖库岸线重点管控区</w:t>
                  </w:r>
                </w:p>
              </w:tc>
              <w:tc>
                <w:tcPr>
                  <w:tcW w:w="236" w:type="pct"/>
                  <w:vAlign w:val="center"/>
                </w:tcPr>
                <w:p w14:paraId="56EAFD4E">
                  <w:pPr>
                    <w:pStyle w:val="12"/>
                    <w:ind w:firstLine="0" w:firstLineChars="0"/>
                    <w:rPr>
                      <w:rFonts w:hint="eastAsia" w:ascii="Times New Roman" w:hAnsi="Times New Roman" w:eastAsia="宋体" w:cs="Times New Roman"/>
                      <w:lang w:val="en-US" w:eastAsia="zh-CN"/>
                    </w:rPr>
                  </w:pPr>
                  <w:r>
                    <w:rPr>
                      <w:rFonts w:cs="Times New Roman"/>
                    </w:rPr>
                    <w:t>空间布局约束</w:t>
                  </w:r>
                </w:p>
              </w:tc>
              <w:tc>
                <w:tcPr>
                  <w:tcW w:w="413" w:type="pct"/>
                  <w:vAlign w:val="center"/>
                </w:tcPr>
                <w:p w14:paraId="029AB72F">
                  <w:pPr>
                    <w:pStyle w:val="12"/>
                    <w:ind w:firstLine="0" w:firstLineChars="0"/>
                    <w:rPr>
                      <w:rFonts w:hint="eastAsia" w:ascii="Times New Roman" w:hAnsi="Times New Roman" w:eastAsia="宋体" w:cs="Times New Roman"/>
                      <w:lang w:val="en-US" w:eastAsia="zh-CN"/>
                    </w:rPr>
                  </w:pPr>
                  <w:r>
                    <w:rPr>
                      <w:rFonts w:cs="Times New Roman"/>
                    </w:rPr>
                    <w:t>禁止开发建设活动的要求</w:t>
                  </w:r>
                </w:p>
              </w:tc>
              <w:tc>
                <w:tcPr>
                  <w:tcW w:w="2423" w:type="pct"/>
                  <w:vAlign w:val="center"/>
                </w:tcPr>
                <w:p w14:paraId="5D9372F2">
                  <w:pPr>
                    <w:pStyle w:val="12"/>
                    <w:ind w:firstLine="0" w:firstLineChars="0"/>
                    <w:jc w:val="left"/>
                    <w:rPr>
                      <w:rFonts w:hint="eastAsia" w:ascii="Times New Roman" w:hAnsi="Times New Roman" w:eastAsia="宋体" w:cs="Times New Roman"/>
                    </w:rPr>
                  </w:pPr>
                  <w:r>
                    <w:rPr>
                      <w:rFonts w:hint="eastAsia" w:ascii="Times New Roman" w:hAnsi="Times New Roman" w:eastAsia="宋体" w:cs="Times New Roman"/>
                    </w:rPr>
                    <w:t>1.严格控制新增开发利用项目的数量和类型，应按照国土、城市、水利、交通等相关规划，合理控制整体开发规模和强度，新建和改扩建项目必须严格论证，不得加大对防洪安全、河势稳定、供水安全、航道稳定的累计不利影响。2.严格控制项目类型和开发利用方式，不得加剧险情或影响今后险工险段治理，不得违反生态敏感区特定保护目标。除建设生态公园、河滩风光带等社会公益性项目外，一般不得建设其他项目设施。</w:t>
                  </w:r>
                </w:p>
              </w:tc>
              <w:tc>
                <w:tcPr>
                  <w:tcW w:w="723" w:type="pct"/>
                  <w:vAlign w:val="center"/>
                </w:tcPr>
                <w:p w14:paraId="7343A1EA">
                  <w:pPr>
                    <w:pStyle w:val="12"/>
                    <w:ind w:firstLine="0" w:firstLineChars="0"/>
                    <w:rPr>
                      <w:rFonts w:hint="default" w:cs="Times New Roman"/>
                      <w:lang w:val="en-US" w:eastAsia="zh-CN"/>
                    </w:rPr>
                  </w:pPr>
                  <w:r>
                    <w:rPr>
                      <w:rFonts w:hint="eastAsia" w:cs="Times New Roman"/>
                      <w:lang w:val="en-US" w:eastAsia="zh-CN"/>
                    </w:rPr>
                    <w:t>本项目租用已建成厂房进行建设，无新增用地，所在地块不涉及江河湖库岸线管理范围。</w:t>
                  </w:r>
                </w:p>
              </w:tc>
              <w:tc>
                <w:tcPr>
                  <w:tcW w:w="284" w:type="pct"/>
                  <w:vAlign w:val="center"/>
                </w:tcPr>
                <w:p w14:paraId="7D773594">
                  <w:pPr>
                    <w:pStyle w:val="12"/>
                    <w:ind w:firstLine="0" w:firstLineChars="0"/>
                    <w:rPr>
                      <w:rFonts w:hint="default" w:cs="Times New Roman"/>
                      <w:lang w:val="en-US" w:eastAsia="zh-CN"/>
                    </w:rPr>
                  </w:pPr>
                  <w:r>
                    <w:rPr>
                      <w:rFonts w:hint="eastAsia" w:cs="Times New Roman"/>
                      <w:lang w:val="en-US" w:eastAsia="zh-CN"/>
                    </w:rPr>
                    <w:t>符合</w:t>
                  </w:r>
                </w:p>
              </w:tc>
            </w:tr>
            <w:tr w14:paraId="65926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658" w:type="pct"/>
                  <w:vAlign w:val="center"/>
                </w:tcPr>
                <w:p w14:paraId="260B2EBD">
                  <w:pPr>
                    <w:pStyle w:val="12"/>
                    <w:ind w:firstLine="0" w:firstLineChars="0"/>
                    <w:rPr>
                      <w:rFonts w:hint="default"/>
                      <w:lang w:val="en-US" w:eastAsia="zh-CN"/>
                    </w:rPr>
                  </w:pPr>
                  <w:r>
                    <w:rPr>
                      <w:rFonts w:hint="eastAsia"/>
                      <w:lang w:val="en-US" w:eastAsia="zh-CN"/>
                    </w:rPr>
                    <w:t>平昌县其他区域</w:t>
                  </w:r>
                </w:p>
              </w:tc>
              <w:tc>
                <w:tcPr>
                  <w:tcW w:w="260" w:type="pct"/>
                  <w:vAlign w:val="center"/>
                </w:tcPr>
                <w:p w14:paraId="7F1E8C13">
                  <w:pPr>
                    <w:pStyle w:val="12"/>
                    <w:ind w:firstLine="0" w:firstLineChars="0"/>
                    <w:rPr>
                      <w:rFonts w:hint="default"/>
                      <w:lang w:val="en-US" w:eastAsia="zh-CN"/>
                    </w:rPr>
                  </w:pPr>
                  <w:r>
                    <w:rPr>
                      <w:rFonts w:hint="eastAsia"/>
                      <w:lang w:val="en-US" w:eastAsia="zh-CN"/>
                    </w:rPr>
                    <w:t>生态一般管控区</w:t>
                  </w:r>
                </w:p>
              </w:tc>
              <w:tc>
                <w:tcPr>
                  <w:tcW w:w="236" w:type="pct"/>
                  <w:vAlign w:val="center"/>
                </w:tcPr>
                <w:p w14:paraId="30C776EF">
                  <w:pPr>
                    <w:pStyle w:val="12"/>
                    <w:ind w:firstLine="0" w:firstLineChars="0"/>
                    <w:rPr>
                      <w:rFonts w:hint="eastAsia" w:eastAsia="宋体" w:cs="Times New Roman"/>
                      <w:lang w:val="en-US" w:eastAsia="zh-CN"/>
                    </w:rPr>
                  </w:pPr>
                  <w:r>
                    <w:rPr>
                      <w:rFonts w:hint="eastAsia" w:cs="Times New Roman"/>
                      <w:lang w:val="en-US" w:eastAsia="zh-CN"/>
                    </w:rPr>
                    <w:t>/</w:t>
                  </w:r>
                </w:p>
              </w:tc>
              <w:tc>
                <w:tcPr>
                  <w:tcW w:w="413" w:type="pct"/>
                  <w:vAlign w:val="center"/>
                </w:tcPr>
                <w:p w14:paraId="72A60EF5">
                  <w:pPr>
                    <w:pStyle w:val="12"/>
                    <w:ind w:firstLine="0" w:firstLineChars="0"/>
                    <w:rPr>
                      <w:rFonts w:hint="default" w:eastAsia="宋体" w:cs="Times New Roman"/>
                      <w:lang w:val="en-US" w:eastAsia="zh-CN"/>
                    </w:rPr>
                  </w:pPr>
                  <w:r>
                    <w:rPr>
                      <w:rFonts w:hint="eastAsia" w:cs="Times New Roman"/>
                      <w:lang w:val="en-US" w:eastAsia="zh-CN"/>
                    </w:rPr>
                    <w:t>/</w:t>
                  </w:r>
                </w:p>
              </w:tc>
              <w:tc>
                <w:tcPr>
                  <w:tcW w:w="2423" w:type="pct"/>
                  <w:vAlign w:val="center"/>
                </w:tcPr>
                <w:p w14:paraId="4F00CF03">
                  <w:pPr>
                    <w:pStyle w:val="12"/>
                    <w:ind w:firstLine="0" w:firstLineChars="0"/>
                    <w:jc w:val="left"/>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暂无。</w:t>
                  </w:r>
                </w:p>
              </w:tc>
              <w:tc>
                <w:tcPr>
                  <w:tcW w:w="723" w:type="pct"/>
                  <w:vAlign w:val="center"/>
                </w:tcPr>
                <w:p w14:paraId="599C8C6E">
                  <w:pPr>
                    <w:pStyle w:val="12"/>
                    <w:ind w:firstLine="0" w:firstLineChars="0"/>
                    <w:rPr>
                      <w:rFonts w:hint="default" w:cs="Times New Roman"/>
                      <w:lang w:val="en-US" w:eastAsia="zh-CN"/>
                    </w:rPr>
                  </w:pPr>
                  <w:r>
                    <w:rPr>
                      <w:rFonts w:hint="eastAsia" w:cs="Times New Roman"/>
                      <w:lang w:val="en-US" w:eastAsia="zh-CN"/>
                    </w:rPr>
                    <w:t>/</w:t>
                  </w:r>
                </w:p>
              </w:tc>
              <w:tc>
                <w:tcPr>
                  <w:tcW w:w="284" w:type="pct"/>
                  <w:vAlign w:val="center"/>
                </w:tcPr>
                <w:p w14:paraId="6A754439">
                  <w:pPr>
                    <w:pStyle w:val="12"/>
                    <w:ind w:firstLine="0" w:firstLineChars="0"/>
                    <w:rPr>
                      <w:rFonts w:hint="default" w:cs="Times New Roman"/>
                      <w:lang w:val="en-US" w:eastAsia="zh-CN"/>
                    </w:rPr>
                  </w:pPr>
                  <w:r>
                    <w:rPr>
                      <w:rFonts w:hint="eastAsia" w:cs="Times New Roman"/>
                      <w:lang w:val="en-US" w:eastAsia="zh-CN"/>
                    </w:rPr>
                    <w:t>/</w:t>
                  </w:r>
                </w:p>
              </w:tc>
            </w:tr>
          </w:tbl>
          <w:p w14:paraId="70F103B0">
            <w:pPr>
              <w:ind w:firstLine="480"/>
              <w:jc w:val="center"/>
              <w:rPr>
                <w:rFonts w:cs="Times New Roman"/>
              </w:rPr>
            </w:pPr>
          </w:p>
        </w:tc>
      </w:tr>
    </w:tbl>
    <w:p w14:paraId="0F6BFE87">
      <w:pPr>
        <w:ind w:firstLine="0" w:firstLineChars="0"/>
        <w:rPr>
          <w:rFonts w:cs="Times New Roman"/>
        </w:rPr>
        <w:sectPr>
          <w:pgSz w:w="16838" w:h="11906" w:orient="landscape"/>
          <w:pgMar w:top="1440" w:right="1800" w:bottom="1440" w:left="1800" w:header="851" w:footer="283" w:gutter="0"/>
          <w:cols w:space="425" w:num="1"/>
          <w:docGrid w:type="lines" w:linePitch="326" w:charSpace="0"/>
        </w:sectPr>
      </w:pPr>
    </w:p>
    <w:tbl>
      <w:tblPr>
        <w:tblStyle w:val="2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4"/>
        <w:gridCol w:w="9032"/>
      </w:tblGrid>
      <w:tr w14:paraId="21F4F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Pr>
          <w:p w14:paraId="1C306E26">
            <w:pPr>
              <w:pStyle w:val="24"/>
              <w:rPr>
                <w:rFonts w:cs="Times New Roman"/>
              </w:rPr>
            </w:pPr>
            <w:r>
              <w:rPr>
                <w:rFonts w:cs="Times New Roman"/>
                <w:sz w:val="24"/>
                <w:szCs w:val="28"/>
              </w:rPr>
              <w:t>其他符合性分析</w:t>
            </w:r>
          </w:p>
        </w:tc>
        <w:tc>
          <w:tcPr>
            <w:tcW w:w="9032" w:type="dxa"/>
          </w:tcPr>
          <w:p w14:paraId="0FDEAE41">
            <w:pPr>
              <w:pStyle w:val="3"/>
              <w:keepLines w:val="0"/>
              <w:pageBreakBefore w:val="0"/>
              <w:kinsoku/>
              <w:wordWrap/>
              <w:overflowPunct/>
              <w:topLinePunct w:val="0"/>
              <w:autoSpaceDE/>
              <w:autoSpaceDN/>
              <w:bidi w:val="0"/>
              <w:spacing w:before="0" w:beforeLines="0" w:line="360" w:lineRule="auto"/>
              <w:textAlignment w:val="auto"/>
            </w:pPr>
            <w:r>
              <w:t>4、与地方生态环境保护规划要求的符合性分析</w:t>
            </w:r>
          </w:p>
          <w:p w14:paraId="6829D8C3">
            <w:pPr>
              <w:pStyle w:val="11"/>
              <w:keepNext/>
              <w:keepLines w:val="0"/>
              <w:pageBreakBefore w:val="0"/>
              <w:kinsoku/>
              <w:wordWrap/>
              <w:overflowPunct/>
              <w:topLinePunct w:val="0"/>
              <w:autoSpaceDE/>
              <w:autoSpaceDN/>
              <w:bidi w:val="0"/>
              <w:spacing w:after="0" w:line="360" w:lineRule="auto"/>
              <w:textAlignment w:val="auto"/>
              <w:rPr>
                <w:rFonts w:cs="Times New Roman"/>
              </w:rPr>
            </w:pPr>
            <w:r>
              <w:rPr>
                <w:rFonts w:cs="Times New Roman"/>
              </w:rPr>
              <w:t>表</w:t>
            </w:r>
            <w:r>
              <w:rPr>
                <w:rFonts w:hint="eastAsia" w:cs="Times New Roman"/>
                <w:lang w:val="en-US" w:eastAsia="zh-CN"/>
              </w:rPr>
              <w:t>1</w:t>
            </w:r>
            <w:r>
              <w:rPr>
                <w:rFonts w:cs="Times New Roman"/>
              </w:rPr>
              <w:noBreakHyphen/>
            </w:r>
            <w:r>
              <w:rPr>
                <w:rFonts w:cs="Times New Roman"/>
              </w:rPr>
              <w:fldChar w:fldCharType="begin"/>
            </w:r>
            <w:r>
              <w:rPr>
                <w:rFonts w:cs="Times New Roman"/>
              </w:rPr>
              <w:instrText xml:space="preserve"> SEQ 表 \* ARABIC \s 1 </w:instrText>
            </w:r>
            <w:r>
              <w:rPr>
                <w:rFonts w:cs="Times New Roman"/>
              </w:rPr>
              <w:fldChar w:fldCharType="separate"/>
            </w:r>
            <w:r>
              <w:rPr>
                <w:rFonts w:cs="Times New Roman"/>
              </w:rPr>
              <w:t>7</w:t>
            </w:r>
            <w:r>
              <w:rPr>
                <w:rFonts w:cs="Times New Roman"/>
              </w:rPr>
              <w:fldChar w:fldCharType="end"/>
            </w:r>
            <w:r>
              <w:rPr>
                <w:rFonts w:cs="Times New Roman"/>
              </w:rPr>
              <w:t xml:space="preserve"> 与地方生态环境保护规划的符合性分析</w:t>
            </w:r>
          </w:p>
          <w:tbl>
            <w:tblPr>
              <w:tblStyle w:val="2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17"/>
              <w:gridCol w:w="4378"/>
              <w:gridCol w:w="2452"/>
              <w:gridCol w:w="659"/>
            </w:tblGrid>
            <w:tr w14:paraId="22F01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48" w:type="pct"/>
                  <w:shd w:val="clear" w:color="auto" w:fill="auto"/>
                  <w:vAlign w:val="center"/>
                </w:tcPr>
                <w:p w14:paraId="72FCE3A2">
                  <w:pPr>
                    <w:pStyle w:val="45"/>
                    <w:rPr>
                      <w:rFonts w:cs="Times New Roman"/>
                    </w:rPr>
                  </w:pPr>
                  <w:r>
                    <w:rPr>
                      <w:rFonts w:cs="Times New Roman"/>
                    </w:rPr>
                    <w:t>名称</w:t>
                  </w:r>
                </w:p>
              </w:tc>
              <w:tc>
                <w:tcPr>
                  <w:tcW w:w="2486" w:type="pct"/>
                  <w:shd w:val="clear" w:color="auto" w:fill="auto"/>
                  <w:vAlign w:val="center"/>
                </w:tcPr>
                <w:p w14:paraId="6AB5A9AC">
                  <w:pPr>
                    <w:pStyle w:val="45"/>
                    <w:rPr>
                      <w:rFonts w:cs="Times New Roman"/>
                    </w:rPr>
                  </w:pPr>
                  <w:r>
                    <w:rPr>
                      <w:rFonts w:cs="Times New Roman"/>
                    </w:rPr>
                    <w:t>规划要求内容</w:t>
                  </w:r>
                </w:p>
              </w:tc>
              <w:tc>
                <w:tcPr>
                  <w:tcW w:w="1392" w:type="pct"/>
                  <w:shd w:val="clear" w:color="auto" w:fill="auto"/>
                  <w:vAlign w:val="center"/>
                </w:tcPr>
                <w:p w14:paraId="563B1402">
                  <w:pPr>
                    <w:pStyle w:val="45"/>
                    <w:rPr>
                      <w:rFonts w:cs="Times New Roman"/>
                    </w:rPr>
                  </w:pPr>
                  <w:r>
                    <w:rPr>
                      <w:rFonts w:cs="Times New Roman"/>
                    </w:rPr>
                    <w:t>本项目情况</w:t>
                  </w:r>
                </w:p>
              </w:tc>
              <w:tc>
                <w:tcPr>
                  <w:tcW w:w="374" w:type="pct"/>
                  <w:shd w:val="clear" w:color="auto" w:fill="auto"/>
                  <w:vAlign w:val="center"/>
                </w:tcPr>
                <w:p w14:paraId="337B797A">
                  <w:pPr>
                    <w:pStyle w:val="45"/>
                    <w:rPr>
                      <w:rFonts w:cs="Times New Roman"/>
                    </w:rPr>
                  </w:pPr>
                  <w:r>
                    <w:rPr>
                      <w:rFonts w:cs="Times New Roman"/>
                    </w:rPr>
                    <w:t>符合性</w:t>
                  </w:r>
                </w:p>
              </w:tc>
            </w:tr>
            <w:tr w14:paraId="1E706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48" w:type="pct"/>
                  <w:vMerge w:val="restart"/>
                  <w:shd w:val="clear" w:color="auto" w:fill="auto"/>
                  <w:vAlign w:val="center"/>
                </w:tcPr>
                <w:p w14:paraId="1AF33575">
                  <w:pPr>
                    <w:pStyle w:val="12"/>
                    <w:rPr>
                      <w:rFonts w:cs="Times New Roman"/>
                    </w:rPr>
                  </w:pPr>
                  <w:r>
                    <w:rPr>
                      <w:rFonts w:cs="Times New Roman"/>
                    </w:rPr>
                    <w:t>《巴</w:t>
                  </w:r>
                  <w:r>
                    <w:rPr>
                      <w:rFonts w:hint="eastAsia" w:ascii="宋体" w:hAnsi="宋体" w:eastAsia="宋体" w:cs="宋体"/>
                    </w:rPr>
                    <w:t>中市“十四五”生态环境保</w:t>
                  </w:r>
                  <w:r>
                    <w:rPr>
                      <w:rFonts w:cs="Times New Roman"/>
                    </w:rPr>
                    <w:t>护规划》</w:t>
                  </w:r>
                </w:p>
              </w:tc>
              <w:tc>
                <w:tcPr>
                  <w:tcW w:w="2486" w:type="pct"/>
                  <w:shd w:val="clear" w:color="auto" w:fill="auto"/>
                  <w:vAlign w:val="center"/>
                </w:tcPr>
                <w:p w14:paraId="7F568CB7">
                  <w:pPr>
                    <w:pStyle w:val="12"/>
                    <w:rPr>
                      <w:rFonts w:cs="Times New Roman"/>
                    </w:rPr>
                  </w:pPr>
                  <w:r>
                    <w:rPr>
                      <w:rFonts w:hint="eastAsia"/>
                    </w:rPr>
                    <w:t>强化重点污染源治理。以砖瓦、水泥等建材行业为重点，强化落实污染防治措施。各企业按照“一企一策”要求制定错峰生产方案，并将错峰生产主要指标在厂区显著位置进行公示，确保做到真错峰、真停产、真限产。开展水泥、建材等重点行业的深度治理，持续推进砖瓦企业综合整治，推广高效脱硫脱硝除尘技术，推动水泥行业和工业锅炉超低排放改造，水泥生产全过程有效控制粉尘无组织排放；实施燃气锅炉低氮燃烧改造。</w:t>
                  </w:r>
                </w:p>
              </w:tc>
              <w:tc>
                <w:tcPr>
                  <w:tcW w:w="1392" w:type="pct"/>
                  <w:shd w:val="clear" w:color="auto" w:fill="auto"/>
                  <w:vAlign w:val="center"/>
                </w:tcPr>
                <w:p w14:paraId="366136B3">
                  <w:pPr>
                    <w:pStyle w:val="12"/>
                    <w:rPr>
                      <w:rFonts w:hint="default" w:cs="Times New Roman"/>
                      <w:lang w:val="en-US"/>
                    </w:rPr>
                  </w:pPr>
                  <w:r>
                    <w:rPr>
                      <w:rFonts w:hint="eastAsia"/>
                    </w:rPr>
                    <w:t>项目建成后，将严格按照要求制定错峰生产方案并公示；本项目</w:t>
                  </w:r>
                  <w:r>
                    <w:rPr>
                      <w:rFonts w:hint="eastAsia"/>
                      <w:lang w:eastAsia="zh-CN"/>
                    </w:rPr>
                    <w:t>煅烧</w:t>
                  </w:r>
                  <w:r>
                    <w:rPr>
                      <w:rFonts w:hint="eastAsia"/>
                    </w:rPr>
                    <w:t>窑采用天然气作为燃料，采用低氮燃烧措施</w:t>
                  </w:r>
                  <w:r>
                    <w:rPr>
                      <w:rFonts w:hint="eastAsia"/>
                      <w:lang w:eastAsia="zh-CN"/>
                    </w:rPr>
                    <w:t>，</w:t>
                  </w:r>
                  <w:r>
                    <w:rPr>
                      <w:rFonts w:hint="eastAsia"/>
                      <w:lang w:val="en-US" w:eastAsia="zh-CN"/>
                    </w:rPr>
                    <w:t>废气采用旋风除尘器+布袋除尘器1#+喷射活性炭+布袋除尘器2#+3座脱酸塔去除，经1根25m高排气筒（DA001）排放；设备设施均设置在封闭车间内。水泥筒仓顶部自带布袋除尘器，砂石、水稳层骨料堆场、预处理药剂投加口处设置喷雾降尘措施，能够有效控制无组织排放。</w:t>
                  </w:r>
                </w:p>
              </w:tc>
              <w:tc>
                <w:tcPr>
                  <w:tcW w:w="374" w:type="pct"/>
                  <w:shd w:val="clear" w:color="auto" w:fill="auto"/>
                  <w:vAlign w:val="center"/>
                </w:tcPr>
                <w:p w14:paraId="4A7C525C">
                  <w:pPr>
                    <w:pStyle w:val="12"/>
                    <w:rPr>
                      <w:rFonts w:cs="Times New Roman"/>
                    </w:rPr>
                  </w:pPr>
                  <w:r>
                    <w:rPr>
                      <w:rFonts w:cs="Times New Roman"/>
                    </w:rPr>
                    <w:t>符合</w:t>
                  </w:r>
                </w:p>
              </w:tc>
              <w:bookmarkStart w:id="22" w:name="_Hlk206420263"/>
            </w:tr>
            <w:tr w14:paraId="4634E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48" w:type="pct"/>
                  <w:vMerge w:val="continue"/>
                  <w:shd w:val="clear" w:color="auto" w:fill="auto"/>
                  <w:vAlign w:val="center"/>
                </w:tcPr>
                <w:p w14:paraId="2ABA00DC">
                  <w:pPr>
                    <w:pStyle w:val="12"/>
                    <w:rPr>
                      <w:rFonts w:cs="Times New Roman"/>
                    </w:rPr>
                  </w:pPr>
                </w:p>
              </w:tc>
              <w:tc>
                <w:tcPr>
                  <w:tcW w:w="2486" w:type="pct"/>
                  <w:shd w:val="clear" w:color="auto" w:fill="auto"/>
                  <w:vAlign w:val="center"/>
                </w:tcPr>
                <w:p w14:paraId="3CBFB6CA">
                  <w:pPr>
                    <w:pStyle w:val="12"/>
                    <w:rPr>
                      <w:rFonts w:cs="Times New Roman"/>
                    </w:rPr>
                  </w:pPr>
                  <w:r>
                    <w:rPr>
                      <w:rFonts w:hint="eastAsia"/>
                    </w:rPr>
                    <w:t>推进扬尘精细化管控。以城市精细化管理为重点，彻底整治扬尘、油烟污染。完善文明施工和绿色施工管理工作制度建设，全面落实建筑施工</w:t>
                  </w:r>
                  <w:bookmarkStart w:id="23" w:name="OLE_LINK27"/>
                  <w:bookmarkStart w:id="24" w:name="OLE_LINK34"/>
                  <w:r>
                    <w:rPr>
                      <w:rFonts w:hint="eastAsia"/>
                    </w:rPr>
                    <w:t>“六个百分百”</w:t>
                  </w:r>
                  <w:bookmarkEnd w:id="23"/>
                  <w:bookmarkEnd w:id="24"/>
                  <w:r>
                    <w:rPr>
                      <w:rFonts w:hint="eastAsia"/>
                    </w:rPr>
                    <w:t>，实现视频监控、</w:t>
                  </w:r>
                  <w:r>
                    <w:rPr>
                      <w:rFonts w:hint="default" w:ascii="Times New Roman" w:hAnsi="Times New Roman" w:cs="Times New Roman"/>
                    </w:rPr>
                    <w:t>PM</w:t>
                  </w:r>
                  <w:r>
                    <w:rPr>
                      <w:rFonts w:hint="default" w:ascii="Times New Roman" w:hAnsi="Times New Roman" w:cs="Times New Roman"/>
                      <w:sz w:val="14"/>
                      <w:szCs w:val="14"/>
                    </w:rPr>
                    <w:t>10</w:t>
                  </w:r>
                  <w:r>
                    <w:rPr>
                      <w:rFonts w:hint="eastAsia"/>
                    </w:rPr>
                    <w:t>在线监测全覆盖，实现污染源信息共享、联动响应。减少道路起尘源，运输渣土、石料、水泥、煤炭、垃圾等物料的车辆，应当采取篷盖、密闭等措施，不得超量装载和超速行驶。以砂石、木（石）材加工、散乱堆场、无证汽修、小作坊为重点，全面整治“散乱污”，从严开展砂石和石材加工行业环保整治。对防尘措施落实不到位的商砼站进行全面清理，限期整改。全面取缔城区各类违规堆场、料场，严禁各类汽修企业喷涂超标排放，全面取缔露天喷涂作业，全面整治无证经营汽修行为。</w:t>
                  </w:r>
                </w:p>
              </w:tc>
              <w:tc>
                <w:tcPr>
                  <w:tcW w:w="1392" w:type="pct"/>
                  <w:shd w:val="clear" w:color="auto" w:fill="auto"/>
                  <w:vAlign w:val="center"/>
                </w:tcPr>
                <w:p w14:paraId="21D42612">
                  <w:pPr>
                    <w:pStyle w:val="12"/>
                    <w:rPr>
                      <w:rFonts w:cs="Times New Roman"/>
                    </w:rPr>
                  </w:pPr>
                  <w:r>
                    <w:rPr>
                      <w:rFonts w:hint="eastAsia"/>
                      <w:sz w:val="20"/>
                      <w:szCs w:val="20"/>
                    </w:rPr>
                    <w:t>本</w:t>
                  </w:r>
                  <w:r>
                    <w:rPr>
                      <w:rFonts w:hint="eastAsia"/>
                    </w:rPr>
                    <w:t>项目为一般固废综合利用项目，不属于散乱污企业，不属于砂石和石材</w:t>
                  </w:r>
                  <w:r>
                    <w:rPr>
                      <w:rFonts w:hint="eastAsia"/>
                      <w:lang w:eastAsia="zh-CN"/>
                    </w:rPr>
                    <w:t>加工</w:t>
                  </w:r>
                  <w:r>
                    <w:rPr>
                      <w:rFonts w:hint="eastAsia"/>
                    </w:rPr>
                    <w:t>行业，不属于商砼站企业、喷涂作业等。项目租用现有厂房建设，施工期主要进行厂房调整和设备安装，施工期采取洒水降尘、篷布覆盖等措施，严格落实“六个百分百”要求。</w:t>
                  </w:r>
                </w:p>
              </w:tc>
              <w:tc>
                <w:tcPr>
                  <w:tcW w:w="374" w:type="pct"/>
                  <w:shd w:val="clear" w:color="auto" w:fill="auto"/>
                  <w:vAlign w:val="center"/>
                </w:tcPr>
                <w:p w14:paraId="62C54D57">
                  <w:pPr>
                    <w:pStyle w:val="12"/>
                    <w:rPr>
                      <w:rFonts w:cs="Times New Roman"/>
                    </w:rPr>
                  </w:pPr>
                  <w:r>
                    <w:rPr>
                      <w:rFonts w:hint="eastAsia" w:cs="Times New Roman"/>
                    </w:rPr>
                    <w:t>符合</w:t>
                  </w:r>
                </w:p>
              </w:tc>
            </w:tr>
            <w:tr w14:paraId="2806D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48" w:type="pct"/>
                  <w:vMerge w:val="continue"/>
                  <w:shd w:val="clear" w:color="auto" w:fill="auto"/>
                  <w:vAlign w:val="center"/>
                </w:tcPr>
                <w:p w14:paraId="157806B0">
                  <w:pPr>
                    <w:pStyle w:val="12"/>
                    <w:rPr>
                      <w:rFonts w:cs="Times New Roman"/>
                    </w:rPr>
                  </w:pPr>
                </w:p>
              </w:tc>
              <w:tc>
                <w:tcPr>
                  <w:tcW w:w="2486" w:type="pct"/>
                  <w:shd w:val="clear" w:color="auto" w:fill="auto"/>
                  <w:vAlign w:val="center"/>
                </w:tcPr>
                <w:p w14:paraId="38A55711">
                  <w:pPr>
                    <w:pStyle w:val="12"/>
                    <w:rPr>
                      <w:rFonts w:cs="Times New Roman"/>
                    </w:rPr>
                  </w:pPr>
                  <w:r>
                    <w:rPr>
                      <w:rFonts w:cs="Times New Roman"/>
                    </w:rPr>
                    <w:t>强化工业企业监督管理。加强工业园区基础设施建设，强化工业企业污水处理设施监督管理，严格工业企业废水排放标准，以排污许可为核心，持续开展工业企业污染源监督、检查。</w:t>
                  </w:r>
                </w:p>
              </w:tc>
              <w:tc>
                <w:tcPr>
                  <w:tcW w:w="1392" w:type="pct"/>
                  <w:shd w:val="clear" w:color="auto" w:fill="auto"/>
                  <w:vAlign w:val="center"/>
                </w:tcPr>
                <w:p w14:paraId="3A0A0BCE">
                  <w:pPr>
                    <w:pStyle w:val="12"/>
                    <w:rPr>
                      <w:rFonts w:cs="Times New Roman"/>
                    </w:rPr>
                  </w:pPr>
                  <w:r>
                    <w:rPr>
                      <w:rFonts w:cs="Times New Roman"/>
                    </w:rPr>
                    <w:t>本项目</w:t>
                  </w:r>
                  <w:r>
                    <w:rPr>
                      <w:rFonts w:hint="eastAsia" w:cs="Times New Roman"/>
                      <w:lang w:val="en-US" w:eastAsia="zh-CN"/>
                    </w:rPr>
                    <w:t>生活污水</w:t>
                  </w:r>
                  <w:r>
                    <w:rPr>
                      <w:rFonts w:cs="Times New Roman"/>
                    </w:rPr>
                    <w:t>预处理后通过市政管网送至</w:t>
                  </w:r>
                  <w:r>
                    <w:rPr>
                      <w:rFonts w:hint="eastAsia" w:cs="Times New Roman"/>
                      <w:lang w:val="en-US" w:eastAsia="zh-CN"/>
                    </w:rPr>
                    <w:t>星光工业</w:t>
                  </w:r>
                  <w:r>
                    <w:rPr>
                      <w:rFonts w:cs="Times New Roman"/>
                    </w:rPr>
                    <w:t>园区污水处理</w:t>
                  </w:r>
                  <w:r>
                    <w:rPr>
                      <w:rFonts w:hint="eastAsia" w:cs="Times New Roman"/>
                      <w:lang w:val="en-US" w:eastAsia="zh-CN"/>
                    </w:rPr>
                    <w:t>厂</w:t>
                  </w:r>
                  <w:r>
                    <w:rPr>
                      <w:rFonts w:cs="Times New Roman"/>
                    </w:rPr>
                    <w:t>处理后达标排放</w:t>
                  </w:r>
                  <w:r>
                    <w:rPr>
                      <w:rFonts w:hint="eastAsia" w:cs="Times New Roman"/>
                      <w:lang w:eastAsia="zh-CN"/>
                    </w:rPr>
                    <w:t>；</w:t>
                  </w:r>
                  <w:r>
                    <w:rPr>
                      <w:rFonts w:hint="eastAsia" w:cs="Times New Roman"/>
                      <w:lang w:val="en-US" w:eastAsia="zh-CN"/>
                    </w:rPr>
                    <w:t>生产废水部分回用，不能回用部分委托四川洁安环境科技有限公司清运处理</w:t>
                  </w:r>
                  <w:r>
                    <w:rPr>
                      <w:rFonts w:cs="Times New Roman"/>
                    </w:rPr>
                    <w:t>。</w:t>
                  </w:r>
                </w:p>
              </w:tc>
              <w:tc>
                <w:tcPr>
                  <w:tcW w:w="374" w:type="pct"/>
                  <w:shd w:val="clear" w:color="auto" w:fill="auto"/>
                  <w:vAlign w:val="center"/>
                </w:tcPr>
                <w:p w14:paraId="2E73B581">
                  <w:pPr>
                    <w:pStyle w:val="12"/>
                    <w:rPr>
                      <w:rFonts w:cs="Times New Roman"/>
                    </w:rPr>
                  </w:pPr>
                  <w:r>
                    <w:rPr>
                      <w:rFonts w:cs="Times New Roman"/>
                    </w:rPr>
                    <w:t>符合</w:t>
                  </w:r>
                </w:p>
                <w:bookmarkEnd w:id="22"/>
              </w:tc>
            </w:tr>
            <w:tr w14:paraId="4DF67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48" w:type="pct"/>
                  <w:vMerge w:val="continue"/>
                  <w:shd w:val="clear" w:color="auto" w:fill="auto"/>
                  <w:vAlign w:val="center"/>
                </w:tcPr>
                <w:p w14:paraId="2E163688">
                  <w:pPr>
                    <w:pStyle w:val="12"/>
                    <w:rPr>
                      <w:rFonts w:cs="Times New Roman"/>
                    </w:rPr>
                  </w:pPr>
                </w:p>
              </w:tc>
              <w:tc>
                <w:tcPr>
                  <w:tcW w:w="2486" w:type="pct"/>
                  <w:shd w:val="clear" w:color="auto" w:fill="auto"/>
                  <w:vAlign w:val="center"/>
                </w:tcPr>
                <w:p w14:paraId="2536D2BA">
                  <w:pPr>
                    <w:pStyle w:val="12"/>
                    <w:rPr>
                      <w:rFonts w:cs="Times New Roman"/>
                    </w:rPr>
                  </w:pPr>
                  <w:r>
                    <w:rPr>
                      <w:rFonts w:cs="Times New Roman"/>
                    </w:rPr>
                    <w:t>确保危险废物安全处理处置。强化危险废物日常监管，落实危险废物申报登记和管理计划备案制度，建立危险废物管理台账，完善危险废物产生单位内部管理制度。对危险废物的产生、收集、贮存、运输及处理处置实施全过程、全方位跟踪管理，确保到2025年危险废物利用处置率保持在100%。</w:t>
                  </w:r>
                </w:p>
              </w:tc>
              <w:tc>
                <w:tcPr>
                  <w:tcW w:w="1392" w:type="pct"/>
                  <w:shd w:val="clear" w:color="auto" w:fill="auto"/>
                  <w:vAlign w:val="center"/>
                </w:tcPr>
                <w:p w14:paraId="433F02CF">
                  <w:pPr>
                    <w:pStyle w:val="12"/>
                    <w:rPr>
                      <w:rFonts w:cs="Times New Roman"/>
                    </w:rPr>
                  </w:pPr>
                  <w:bookmarkStart w:id="25" w:name="OLE_LINK37"/>
                  <w:r>
                    <w:rPr>
                      <w:rFonts w:cs="Times New Roman"/>
                    </w:rPr>
                    <w:t>本项目严格落实危废管理制度、转移联单制度等危险废物管理要求，建设合规的危废暂存间</w:t>
                  </w:r>
                  <w:bookmarkEnd w:id="25"/>
                  <w:r>
                    <w:rPr>
                      <w:rFonts w:cs="Times New Roman"/>
                    </w:rPr>
                    <w:t>。</w:t>
                  </w:r>
                </w:p>
              </w:tc>
              <w:tc>
                <w:tcPr>
                  <w:tcW w:w="374" w:type="pct"/>
                  <w:shd w:val="clear" w:color="auto" w:fill="auto"/>
                  <w:vAlign w:val="center"/>
                </w:tcPr>
                <w:p w14:paraId="635BA5D9">
                  <w:pPr>
                    <w:pStyle w:val="12"/>
                    <w:rPr>
                      <w:rFonts w:cs="Times New Roman"/>
                    </w:rPr>
                  </w:pPr>
                  <w:r>
                    <w:rPr>
                      <w:rFonts w:cs="Times New Roman"/>
                    </w:rPr>
                    <w:t>符合</w:t>
                  </w:r>
                </w:p>
              </w:tc>
            </w:tr>
            <w:tr w14:paraId="765E4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48" w:type="pct"/>
                  <w:vMerge w:val="continue"/>
                  <w:shd w:val="clear" w:color="auto" w:fill="auto"/>
                  <w:vAlign w:val="center"/>
                </w:tcPr>
                <w:p w14:paraId="66F39CF8">
                  <w:pPr>
                    <w:pStyle w:val="12"/>
                    <w:rPr>
                      <w:rFonts w:cs="Times New Roman"/>
                    </w:rPr>
                  </w:pPr>
                </w:p>
              </w:tc>
              <w:tc>
                <w:tcPr>
                  <w:tcW w:w="2486" w:type="pct"/>
                  <w:shd w:val="clear" w:color="auto" w:fill="auto"/>
                  <w:vAlign w:val="center"/>
                </w:tcPr>
                <w:p w14:paraId="2AD9BBA0">
                  <w:pPr>
                    <w:pStyle w:val="12"/>
                    <w:rPr>
                      <w:rFonts w:cs="Times New Roman"/>
                    </w:rPr>
                  </w:pPr>
                  <w:r>
                    <w:rPr>
                      <w:rFonts w:cs="Times New Roman"/>
                    </w:rPr>
                    <w:t>加强行业、园区、企业风险防范管控。落实相关企业环境风险防范主体责任。防范化解重特大突发环境事件风险，提高企业污染隐患和环境风险防范意识，督促企业健全环境应急体系和环境风险防范措施，定期开展环境应急演练，提高环境污染事故应急反应能力。</w:t>
                  </w:r>
                </w:p>
              </w:tc>
              <w:tc>
                <w:tcPr>
                  <w:tcW w:w="1392" w:type="pct"/>
                  <w:shd w:val="clear" w:color="auto" w:fill="auto"/>
                  <w:vAlign w:val="center"/>
                </w:tcPr>
                <w:p w14:paraId="7DFFA151">
                  <w:pPr>
                    <w:pStyle w:val="12"/>
                    <w:rPr>
                      <w:rFonts w:cs="Times New Roman"/>
                    </w:rPr>
                  </w:pPr>
                  <w:r>
                    <w:rPr>
                      <w:rFonts w:cs="Times New Roman"/>
                    </w:rPr>
                    <w:t>落实环境风险防范措施，制定突发环境事件应急预案，定期开展应急演练。</w:t>
                  </w:r>
                </w:p>
              </w:tc>
              <w:tc>
                <w:tcPr>
                  <w:tcW w:w="374" w:type="pct"/>
                  <w:shd w:val="clear" w:color="auto" w:fill="auto"/>
                  <w:vAlign w:val="center"/>
                </w:tcPr>
                <w:p w14:paraId="52DCA978">
                  <w:pPr>
                    <w:pStyle w:val="12"/>
                    <w:rPr>
                      <w:rFonts w:cs="Times New Roman"/>
                    </w:rPr>
                  </w:pPr>
                  <w:r>
                    <w:rPr>
                      <w:rFonts w:cs="Times New Roman"/>
                    </w:rPr>
                    <w:t>符合</w:t>
                  </w:r>
                </w:p>
              </w:tc>
            </w:tr>
            <w:tr w14:paraId="56974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48" w:type="pct"/>
                  <w:vMerge w:val="restart"/>
                  <w:shd w:val="clear" w:color="auto" w:fill="auto"/>
                  <w:vAlign w:val="center"/>
                </w:tcPr>
                <w:p w14:paraId="4438B73B">
                  <w:pPr>
                    <w:pStyle w:val="12"/>
                    <w:rPr>
                      <w:rFonts w:cs="Times New Roman"/>
                    </w:rPr>
                  </w:pPr>
                  <w:r>
                    <w:rPr>
                      <w:rFonts w:cs="Times New Roman"/>
                    </w:rPr>
                    <w:t>《巴中市</w:t>
                  </w:r>
                  <w:r>
                    <w:rPr>
                      <w:rFonts w:hint="eastAsia" w:cs="Times New Roman"/>
                    </w:rPr>
                    <w:t>平昌县</w:t>
                  </w:r>
                  <w:r>
                    <w:rPr>
                      <w:rFonts w:cs="Times New Roman"/>
                    </w:rPr>
                    <w:t>“十四五”生态环境保护规划》</w:t>
                  </w:r>
                </w:p>
              </w:tc>
              <w:tc>
                <w:tcPr>
                  <w:tcW w:w="2486" w:type="pct"/>
                  <w:shd w:val="clear" w:color="auto" w:fill="auto"/>
                  <w:vAlign w:val="center"/>
                </w:tcPr>
                <w:p w14:paraId="4EDA394F">
                  <w:pPr>
                    <w:pStyle w:val="12"/>
                    <w:rPr>
                      <w:rFonts w:cs="Times New Roman"/>
                    </w:rPr>
                  </w:pPr>
                  <w:r>
                    <w:rPr>
                      <w:rFonts w:hint="eastAsia"/>
                    </w:rPr>
                    <w:t>加强扬尘污染治理。完善文明施工和绿色施工管理工作制度。建筑工地全面建立扬尘监控平台，逐步实现污染源信息共享、联动响应。强化道路扬尘治理，严格运渣车辆落实运输环保要求，推进泥头车全密闭运输，遵守运输路线与运输时限要求。加强堆场和裸露地扬尘污染控制。更新优化机械化清扫设备，有效控制道路扬尘污染。</w:t>
                  </w:r>
                </w:p>
              </w:tc>
              <w:tc>
                <w:tcPr>
                  <w:tcW w:w="1392" w:type="pct"/>
                  <w:shd w:val="clear" w:color="auto" w:fill="auto"/>
                  <w:vAlign w:val="center"/>
                </w:tcPr>
                <w:p w14:paraId="24D5749A">
                  <w:pPr>
                    <w:pStyle w:val="12"/>
                    <w:rPr>
                      <w:rFonts w:cs="Times New Roman"/>
                    </w:rPr>
                  </w:pPr>
                  <w:r>
                    <w:rPr>
                      <w:rFonts w:hint="eastAsia" w:ascii="宋体" w:cs="宋体" w:hAnsiTheme="minorHAnsi"/>
                      <w:szCs w:val="21"/>
                      <w:lang w:eastAsia="zh-CN"/>
                    </w:rPr>
                    <w:t>项</w:t>
                  </w:r>
                  <w:r>
                    <w:rPr>
                      <w:rFonts w:hint="eastAsia"/>
                    </w:rPr>
                    <w:t>目租用现有厂房建设，施工期主要进行厂房</w:t>
                  </w:r>
                  <w:r>
                    <w:rPr>
                      <w:rFonts w:hint="eastAsia"/>
                      <w:lang w:val="en-US" w:eastAsia="zh-CN"/>
                    </w:rPr>
                    <w:t>扩建及适应性改造、</w:t>
                  </w:r>
                  <w:r>
                    <w:rPr>
                      <w:rFonts w:hint="eastAsia"/>
                    </w:rPr>
                    <w:t>设备安装，施工期采取洒水降尘、篷布覆盖等措施，控制施工扬尘。</w:t>
                  </w:r>
                </w:p>
              </w:tc>
              <w:tc>
                <w:tcPr>
                  <w:tcW w:w="374" w:type="pct"/>
                  <w:shd w:val="clear" w:color="auto" w:fill="auto"/>
                  <w:vAlign w:val="center"/>
                </w:tcPr>
                <w:p w14:paraId="2BE6F6D0">
                  <w:pPr>
                    <w:pStyle w:val="12"/>
                    <w:rPr>
                      <w:rFonts w:cs="Times New Roman"/>
                    </w:rPr>
                  </w:pPr>
                  <w:r>
                    <w:rPr>
                      <w:rFonts w:hint="eastAsia" w:cs="Times New Roman"/>
                    </w:rPr>
                    <w:t>符合</w:t>
                  </w:r>
                </w:p>
              </w:tc>
            </w:tr>
            <w:tr w14:paraId="6A4B1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48" w:type="pct"/>
                  <w:vMerge w:val="continue"/>
                  <w:shd w:val="clear" w:color="auto" w:fill="auto"/>
                  <w:vAlign w:val="center"/>
                </w:tcPr>
                <w:p w14:paraId="548610B6">
                  <w:pPr>
                    <w:pStyle w:val="12"/>
                    <w:rPr>
                      <w:rFonts w:cs="Times New Roman"/>
                    </w:rPr>
                  </w:pPr>
                </w:p>
              </w:tc>
              <w:tc>
                <w:tcPr>
                  <w:tcW w:w="2486" w:type="pct"/>
                  <w:shd w:val="clear" w:color="auto" w:fill="auto"/>
                  <w:vAlign w:val="center"/>
                </w:tcPr>
                <w:p w14:paraId="363C09BC">
                  <w:pPr>
                    <w:pStyle w:val="12"/>
                    <w:rPr>
                      <w:rFonts w:cs="Times New Roman"/>
                    </w:rPr>
                  </w:pPr>
                  <w:r>
                    <w:rPr>
                      <w:rFonts w:hint="eastAsia"/>
                    </w:rPr>
                    <w:t>强化工业污水综合整治。严格执行工业企业废水排放标准，以排污许可为核心，持续开展工业企业污染源监督检查。强化白酒、食品、农副产品加工行业废水治理。完善经开区及企业雨污分流系统，推动初期雨水收集处理，实施入园白酒企业“一企一管、明管输送、实时监测”，推进星光工业园污水处理厂污水管网排查整治。</w:t>
                  </w:r>
                </w:p>
              </w:tc>
              <w:tc>
                <w:tcPr>
                  <w:tcW w:w="1392" w:type="pct"/>
                  <w:shd w:val="clear" w:color="auto" w:fill="auto"/>
                  <w:vAlign w:val="center"/>
                </w:tcPr>
                <w:p w14:paraId="384E2F30">
                  <w:pPr>
                    <w:pStyle w:val="12"/>
                    <w:rPr>
                      <w:rFonts w:hint="eastAsia" w:eastAsia="宋体" w:cs="Times New Roman"/>
                      <w:lang w:eastAsia="zh-CN"/>
                    </w:rPr>
                  </w:pPr>
                  <w:r>
                    <w:rPr>
                      <w:rFonts w:hint="eastAsia"/>
                    </w:rPr>
                    <w:t>本项目为水基岩屑</w:t>
                  </w:r>
                  <w:r>
                    <w:rPr>
                      <w:rFonts w:hint="eastAsia"/>
                      <w:lang w:val="en-US" w:eastAsia="zh-CN"/>
                    </w:rPr>
                    <w:t>和热脱附干渣</w:t>
                  </w:r>
                  <w:r>
                    <w:rPr>
                      <w:rFonts w:hint="eastAsia"/>
                    </w:rPr>
                    <w:t>综合利用项目，不属于白酒、食品、农副产品加工行业。</w:t>
                  </w:r>
                  <w:r>
                    <w:rPr>
                      <w:rFonts w:hint="eastAsia"/>
                      <w:lang w:val="en-US" w:eastAsia="zh-CN"/>
                    </w:rPr>
                    <w:t>生活污水</w:t>
                  </w:r>
                  <w:r>
                    <w:rPr>
                      <w:rFonts w:hint="eastAsia"/>
                    </w:rPr>
                    <w:t>经预处理后经园区管网输送至星光</w:t>
                  </w:r>
                  <w:r>
                    <w:rPr>
                      <w:rFonts w:hint="eastAsia"/>
                      <w:lang w:val="en-US" w:eastAsia="zh-CN"/>
                    </w:rPr>
                    <w:t>工业园区</w:t>
                  </w:r>
                  <w:r>
                    <w:rPr>
                      <w:rFonts w:hint="eastAsia"/>
                    </w:rPr>
                    <w:t>污水处理厂处理</w:t>
                  </w:r>
                  <w:r>
                    <w:rPr>
                      <w:rFonts w:hint="eastAsia"/>
                      <w:lang w:eastAsia="zh-CN"/>
                    </w:rPr>
                    <w:t>。</w:t>
                  </w:r>
                </w:p>
              </w:tc>
              <w:tc>
                <w:tcPr>
                  <w:tcW w:w="374" w:type="pct"/>
                  <w:shd w:val="clear" w:color="auto" w:fill="auto"/>
                  <w:vAlign w:val="center"/>
                </w:tcPr>
                <w:p w14:paraId="2A751FA0">
                  <w:pPr>
                    <w:pStyle w:val="12"/>
                    <w:rPr>
                      <w:rFonts w:cs="Times New Roman"/>
                    </w:rPr>
                  </w:pPr>
                  <w:r>
                    <w:rPr>
                      <w:rFonts w:cs="Times New Roman"/>
                    </w:rPr>
                    <w:t>符合</w:t>
                  </w:r>
                </w:p>
              </w:tc>
            </w:tr>
            <w:tr w14:paraId="731DF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48" w:type="pct"/>
                  <w:vMerge w:val="continue"/>
                  <w:shd w:val="clear" w:color="auto" w:fill="auto"/>
                  <w:vAlign w:val="center"/>
                </w:tcPr>
                <w:p w14:paraId="7BDB102B">
                  <w:pPr>
                    <w:pStyle w:val="12"/>
                    <w:rPr>
                      <w:rFonts w:cs="Times New Roman"/>
                    </w:rPr>
                  </w:pPr>
                </w:p>
              </w:tc>
              <w:tc>
                <w:tcPr>
                  <w:tcW w:w="2486" w:type="pct"/>
                  <w:shd w:val="clear" w:color="auto" w:fill="auto"/>
                  <w:vAlign w:val="center"/>
                </w:tcPr>
                <w:p w14:paraId="1E08334A">
                  <w:pPr>
                    <w:pStyle w:val="12"/>
                    <w:rPr>
                      <w:rFonts w:cs="Times New Roman"/>
                    </w:rPr>
                  </w:pPr>
                  <w:r>
                    <w:rPr>
                      <w:rFonts w:hint="eastAsia"/>
                    </w:rPr>
                    <w:t>加强建设用地风险管控。开展土壤污染状况调查，全面掌握辖区土壤污染现状，建立土壤污染风险源清单。加强危险废物规范化管理。严格转移审批，严格执行危险废物转移联单制度。切实强化储运过程风险防控，落实储运过程污染防治措施，严控长距离运输，防止二次污染。防范建设用地新增污染。排放重点污染物的建设项目，在开展环境影响评价时，增加土壤环境影响评价专篇（章），提出和实施防范土壤污染具体措施。</w:t>
                  </w:r>
                </w:p>
              </w:tc>
              <w:tc>
                <w:tcPr>
                  <w:tcW w:w="1392" w:type="pct"/>
                  <w:shd w:val="clear" w:color="auto" w:fill="auto"/>
                  <w:vAlign w:val="center"/>
                </w:tcPr>
                <w:p w14:paraId="3BA4667D">
                  <w:pPr>
                    <w:pStyle w:val="12"/>
                    <w:rPr>
                      <w:rFonts w:cs="Times New Roman"/>
                    </w:rPr>
                  </w:pPr>
                  <w:r>
                    <w:rPr>
                      <w:rFonts w:hint="eastAsia"/>
                    </w:rPr>
                    <w:t>本项目</w:t>
                  </w:r>
                  <w:r>
                    <w:rPr>
                      <w:rFonts w:hint="eastAsia"/>
                      <w:lang w:val="en-US" w:eastAsia="zh-CN"/>
                    </w:rPr>
                    <w:t>各类危险废物均</w:t>
                  </w:r>
                  <w:r>
                    <w:rPr>
                      <w:rFonts w:hint="eastAsia"/>
                    </w:rPr>
                    <w:t>暂存于危废暂存间，《危险废物转移管理办法》要求，定期交由资质单位处置，做好台账记录；根据《危险废</w:t>
                  </w:r>
                  <w:r>
                    <w:rPr>
                      <w:rFonts w:hint="default" w:ascii="Times New Roman" w:hAnsi="Times New Roman" w:cs="Times New Roman"/>
                    </w:rPr>
                    <w:t>物贮存污染控制标准》（GB18597-2023）要求，做好</w:t>
                  </w:r>
                  <w:r>
                    <w:rPr>
                      <w:rFonts w:hint="eastAsia" w:ascii="宋体" w:hAnsi="宋体" w:eastAsia="宋体" w:cs="宋体"/>
                    </w:rPr>
                    <w:t>“六防”</w:t>
                  </w:r>
                  <w:r>
                    <w:rPr>
                      <w:rFonts w:hint="default" w:ascii="Times New Roman" w:hAnsi="Times New Roman" w:cs="Times New Roman"/>
                    </w:rPr>
                    <w:t>措施；本项目提出了防范土壤污染</w:t>
                  </w:r>
                  <w:r>
                    <w:rPr>
                      <w:rFonts w:hint="eastAsia"/>
                    </w:rPr>
                    <w:t>的具体措施；本项目拟根据要求实行分区防渗措施，分区防渗措施与主体工程同时设计、同时施工，同时投产。</w:t>
                  </w:r>
                </w:p>
              </w:tc>
              <w:tc>
                <w:tcPr>
                  <w:tcW w:w="374" w:type="pct"/>
                  <w:shd w:val="clear" w:color="auto" w:fill="auto"/>
                  <w:vAlign w:val="center"/>
                </w:tcPr>
                <w:p w14:paraId="2CFCA3A0">
                  <w:pPr>
                    <w:pStyle w:val="12"/>
                    <w:rPr>
                      <w:rFonts w:cs="Times New Roman"/>
                    </w:rPr>
                  </w:pPr>
                  <w:r>
                    <w:rPr>
                      <w:rFonts w:cs="Times New Roman"/>
                    </w:rPr>
                    <w:t>符合</w:t>
                  </w:r>
                </w:p>
              </w:tc>
            </w:tr>
            <w:tr w14:paraId="778CE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48" w:type="pct"/>
                  <w:vMerge w:val="continue"/>
                  <w:shd w:val="clear" w:color="auto" w:fill="auto"/>
                  <w:vAlign w:val="center"/>
                </w:tcPr>
                <w:p w14:paraId="1C6BA2F9">
                  <w:pPr>
                    <w:pStyle w:val="12"/>
                    <w:rPr>
                      <w:rFonts w:cs="Times New Roman"/>
                    </w:rPr>
                  </w:pPr>
                </w:p>
              </w:tc>
              <w:tc>
                <w:tcPr>
                  <w:tcW w:w="2486" w:type="pct"/>
                  <w:shd w:val="clear" w:color="auto" w:fill="auto"/>
                  <w:vAlign w:val="center"/>
                </w:tcPr>
                <w:p w14:paraId="6857EE57">
                  <w:pPr>
                    <w:pStyle w:val="12"/>
                    <w:rPr>
                      <w:rFonts w:cs="Times New Roman"/>
                    </w:rPr>
                  </w:pPr>
                  <w:r>
                    <w:rPr>
                      <w:rFonts w:hint="eastAsia"/>
                    </w:rPr>
                    <w:t>确保危险废物安全处理处置。强化危险废物日常监管，落实危险废物申报登记和管理计划备案制度</w:t>
                  </w:r>
                  <w:r>
                    <w:rPr>
                      <w:rFonts w:ascii="TimesNewRomanPSMT" w:hAnsi="TimesNewRomanPSMT" w:cs="TimesNewRomanPSMT"/>
                    </w:rPr>
                    <w:t>,</w:t>
                  </w:r>
                  <w:r>
                    <w:rPr>
                      <w:rFonts w:hint="eastAsia"/>
                    </w:rPr>
                    <w:t>建立危险废物管理台账，完善危险废物产生单位内部管理制度。对危险废物的产生、收集、贮存、包装、运输及处理处置实施全过程、全方位跟踪管理，确</w:t>
                  </w:r>
                  <w:r>
                    <w:rPr>
                      <w:rFonts w:hint="default" w:ascii="Times New Roman" w:hAnsi="Times New Roman" w:cs="Times New Roman"/>
                    </w:rPr>
                    <w:t>保到2025年危险废物利用处置率保持在100%</w:t>
                  </w:r>
                  <w:r>
                    <w:rPr>
                      <w:rFonts w:hint="eastAsia"/>
                    </w:rPr>
                    <w:t>。</w:t>
                  </w:r>
                </w:p>
              </w:tc>
              <w:tc>
                <w:tcPr>
                  <w:tcW w:w="1392" w:type="pct"/>
                  <w:shd w:val="clear" w:color="auto" w:fill="auto"/>
                  <w:vAlign w:val="center"/>
                </w:tcPr>
                <w:p w14:paraId="105F6F2D">
                  <w:pPr>
                    <w:pStyle w:val="12"/>
                    <w:rPr>
                      <w:rFonts w:cs="Times New Roman"/>
                    </w:rPr>
                  </w:pPr>
                  <w:r>
                    <w:rPr>
                      <w:rFonts w:cs="Times New Roman"/>
                    </w:rPr>
                    <w:t>本项目严格落实一般工业固废管理制度要求，所有固废均得到妥善处置。</w:t>
                  </w:r>
                </w:p>
              </w:tc>
              <w:tc>
                <w:tcPr>
                  <w:tcW w:w="374" w:type="pct"/>
                  <w:shd w:val="clear" w:color="auto" w:fill="auto"/>
                  <w:vAlign w:val="center"/>
                </w:tcPr>
                <w:p w14:paraId="3838D695">
                  <w:pPr>
                    <w:pStyle w:val="12"/>
                    <w:rPr>
                      <w:rFonts w:cs="Times New Roman"/>
                    </w:rPr>
                  </w:pPr>
                  <w:r>
                    <w:rPr>
                      <w:rFonts w:cs="Times New Roman"/>
                    </w:rPr>
                    <w:t>符合</w:t>
                  </w:r>
                </w:p>
              </w:tc>
            </w:tr>
          </w:tbl>
          <w:p w14:paraId="2424198C">
            <w:pPr>
              <w:ind w:firstLine="480"/>
              <w:rPr>
                <w:rFonts w:cs="Times New Roman"/>
              </w:rPr>
            </w:pPr>
            <w:r>
              <w:rPr>
                <w:rFonts w:cs="Times New Roman"/>
              </w:rPr>
              <w:t>综上所述，本项目符合巴中市、</w:t>
            </w:r>
            <w:r>
              <w:rPr>
                <w:rFonts w:hint="eastAsia" w:cs="Times New Roman"/>
              </w:rPr>
              <w:t>平昌</w:t>
            </w:r>
            <w:r>
              <w:rPr>
                <w:rFonts w:hint="eastAsia" w:ascii="宋体" w:hAnsi="宋体" w:eastAsia="宋体" w:cs="宋体"/>
              </w:rPr>
              <w:t>县“十四五”生</w:t>
            </w:r>
            <w:r>
              <w:rPr>
                <w:rFonts w:cs="Times New Roman"/>
              </w:rPr>
              <w:t>态环境保护规划的要求。</w:t>
            </w:r>
          </w:p>
          <w:p w14:paraId="28AA77C9">
            <w:pPr>
              <w:pStyle w:val="3"/>
              <w:keepLines w:val="0"/>
              <w:pageBreakBefore w:val="0"/>
              <w:kinsoku/>
              <w:wordWrap/>
              <w:overflowPunct/>
              <w:topLinePunct w:val="0"/>
              <w:autoSpaceDE/>
              <w:autoSpaceDN/>
              <w:bidi w:val="0"/>
              <w:spacing w:before="0" w:beforeLines="0"/>
              <w:textAlignment w:val="auto"/>
            </w:pPr>
            <w:r>
              <w:t>5、与大气污染防治相关要求符合性分析</w:t>
            </w:r>
          </w:p>
          <w:p w14:paraId="69C2824F">
            <w:pPr>
              <w:keepLines w:val="0"/>
              <w:pageBreakBefore w:val="0"/>
              <w:kinsoku/>
              <w:wordWrap/>
              <w:overflowPunct/>
              <w:topLinePunct w:val="0"/>
              <w:autoSpaceDE/>
              <w:autoSpaceDN/>
              <w:bidi w:val="0"/>
              <w:ind w:firstLine="480"/>
              <w:textAlignment w:val="auto"/>
              <w:rPr>
                <w:rFonts w:cs="Times New Roman"/>
              </w:rPr>
            </w:pPr>
            <w:r>
              <w:rPr>
                <w:rFonts w:cs="Times New Roman"/>
              </w:rPr>
              <w:t>本项目与大气污染防治相关要求符合性见下表：</w:t>
            </w:r>
          </w:p>
          <w:p w14:paraId="06E5C415">
            <w:pPr>
              <w:pStyle w:val="11"/>
              <w:keepNext/>
              <w:keepLines w:val="0"/>
              <w:pageBreakBefore w:val="0"/>
              <w:kinsoku/>
              <w:wordWrap/>
              <w:overflowPunct/>
              <w:topLinePunct w:val="0"/>
              <w:autoSpaceDE/>
              <w:autoSpaceDN/>
              <w:bidi w:val="0"/>
              <w:spacing w:after="0"/>
              <w:textAlignment w:val="auto"/>
              <w:rPr>
                <w:rFonts w:cs="Times New Roman"/>
              </w:rPr>
            </w:pPr>
            <w:r>
              <w:rPr>
                <w:rFonts w:cs="Times New Roman"/>
              </w:rPr>
              <w:t>表</w:t>
            </w:r>
            <w:r>
              <w:rPr>
                <w:rFonts w:hint="eastAsia" w:cs="Times New Roman"/>
                <w:lang w:val="en-US" w:eastAsia="zh-CN"/>
              </w:rPr>
              <w:t>1</w:t>
            </w:r>
            <w:r>
              <w:rPr>
                <w:rFonts w:cs="Times New Roman"/>
              </w:rPr>
              <w:noBreakHyphen/>
            </w:r>
            <w:r>
              <w:rPr>
                <w:rFonts w:cs="Times New Roman"/>
              </w:rPr>
              <w:fldChar w:fldCharType="begin"/>
            </w:r>
            <w:r>
              <w:rPr>
                <w:rFonts w:cs="Times New Roman"/>
              </w:rPr>
              <w:instrText xml:space="preserve"> SEQ 表 \* ARABIC \s 1 </w:instrText>
            </w:r>
            <w:r>
              <w:rPr>
                <w:rFonts w:cs="Times New Roman"/>
              </w:rPr>
              <w:fldChar w:fldCharType="separate"/>
            </w:r>
            <w:r>
              <w:rPr>
                <w:rFonts w:cs="Times New Roman"/>
              </w:rPr>
              <w:t>8</w:t>
            </w:r>
            <w:r>
              <w:rPr>
                <w:rFonts w:cs="Times New Roman"/>
              </w:rPr>
              <w:fldChar w:fldCharType="end"/>
            </w:r>
            <w:r>
              <w:rPr>
                <w:rFonts w:cs="Times New Roman"/>
              </w:rPr>
              <w:t xml:space="preserve"> 与大气污染防治相关要求符合性分析</w:t>
            </w:r>
          </w:p>
          <w:tbl>
            <w:tblPr>
              <w:tblStyle w:val="2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10"/>
              <w:gridCol w:w="4009"/>
              <w:gridCol w:w="2528"/>
              <w:gridCol w:w="659"/>
            </w:tblGrid>
            <w:tr w14:paraId="463A7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14" w:type="pct"/>
                  <w:shd w:val="clear" w:color="auto" w:fill="auto"/>
                  <w:vAlign w:val="center"/>
                </w:tcPr>
                <w:p w14:paraId="7E1B062C">
                  <w:pPr>
                    <w:pStyle w:val="45"/>
                    <w:rPr>
                      <w:rFonts w:cs="Times New Roman"/>
                    </w:rPr>
                  </w:pPr>
                  <w:r>
                    <w:rPr>
                      <w:rFonts w:cs="Times New Roman"/>
                    </w:rPr>
                    <w:t>名称</w:t>
                  </w:r>
                </w:p>
              </w:tc>
              <w:tc>
                <w:tcPr>
                  <w:tcW w:w="2275" w:type="pct"/>
                  <w:shd w:val="clear" w:color="auto" w:fill="auto"/>
                  <w:vAlign w:val="center"/>
                </w:tcPr>
                <w:p w14:paraId="6DC8B118">
                  <w:pPr>
                    <w:pStyle w:val="45"/>
                    <w:rPr>
                      <w:rFonts w:cs="Times New Roman"/>
                    </w:rPr>
                  </w:pPr>
                  <w:r>
                    <w:rPr>
                      <w:rFonts w:cs="Times New Roman"/>
                    </w:rPr>
                    <w:t>要求内容</w:t>
                  </w:r>
                </w:p>
              </w:tc>
              <w:tc>
                <w:tcPr>
                  <w:tcW w:w="1435" w:type="pct"/>
                  <w:shd w:val="clear" w:color="auto" w:fill="auto"/>
                  <w:vAlign w:val="center"/>
                </w:tcPr>
                <w:p w14:paraId="473EC58D">
                  <w:pPr>
                    <w:pStyle w:val="45"/>
                    <w:rPr>
                      <w:rFonts w:cs="Times New Roman"/>
                    </w:rPr>
                  </w:pPr>
                  <w:r>
                    <w:rPr>
                      <w:rFonts w:cs="Times New Roman"/>
                    </w:rPr>
                    <w:t>本项目情况</w:t>
                  </w:r>
                </w:p>
              </w:tc>
              <w:tc>
                <w:tcPr>
                  <w:tcW w:w="374" w:type="pct"/>
                  <w:shd w:val="clear" w:color="auto" w:fill="auto"/>
                  <w:vAlign w:val="center"/>
                </w:tcPr>
                <w:p w14:paraId="4E2D9859">
                  <w:pPr>
                    <w:pStyle w:val="45"/>
                    <w:rPr>
                      <w:rFonts w:cs="Times New Roman"/>
                    </w:rPr>
                  </w:pPr>
                  <w:r>
                    <w:rPr>
                      <w:rFonts w:cs="Times New Roman"/>
                    </w:rPr>
                    <w:t>符合性</w:t>
                  </w:r>
                </w:p>
              </w:tc>
            </w:tr>
            <w:tr w14:paraId="74A61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14" w:type="pct"/>
                  <w:shd w:val="clear" w:color="auto" w:fill="auto"/>
                  <w:vAlign w:val="center"/>
                </w:tcPr>
                <w:p w14:paraId="7014B0E7">
                  <w:pPr>
                    <w:spacing w:line="240" w:lineRule="auto"/>
                    <w:ind w:firstLine="0" w:firstLineChars="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《挥发性有机物（VOCs）污染防治技术政策》</w:t>
                  </w:r>
                </w:p>
              </w:tc>
              <w:tc>
                <w:tcPr>
                  <w:tcW w:w="2275" w:type="pct"/>
                  <w:shd w:val="clear" w:color="auto" w:fill="auto"/>
                  <w:vAlign w:val="center"/>
                </w:tcPr>
                <w:p w14:paraId="3067504B">
                  <w:pPr>
                    <w:spacing w:line="240" w:lineRule="auto"/>
                    <w:ind w:firstLine="0" w:firstLineChars="0"/>
                    <w:jc w:val="left"/>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含VOCs产品的使用过程中，应采取废气收集措施，提高废气收集效率，减少废气的无组织排放与逸散，并对收集后的废气进行回收或处理后达标排放。</w:t>
                  </w:r>
                </w:p>
              </w:tc>
              <w:tc>
                <w:tcPr>
                  <w:tcW w:w="1435" w:type="pct"/>
                  <w:vMerge w:val="restart"/>
                  <w:shd w:val="clear" w:color="auto" w:fill="auto"/>
                  <w:vAlign w:val="center"/>
                </w:tcPr>
                <w:p w14:paraId="390795FC">
                  <w:pPr>
                    <w:pStyle w:val="12"/>
                    <w:rPr>
                      <w:rFonts w:hint="eastAsia"/>
                    </w:rPr>
                  </w:pPr>
                  <w:r>
                    <w:rPr>
                      <w:rFonts w:hint="eastAsia" w:cs="Times New Roman"/>
                      <w:color w:val="000000" w:themeColor="text1"/>
                      <w:sz w:val="21"/>
                      <w:szCs w:val="21"/>
                      <w:highlight w:val="none"/>
                      <w:lang w:val="en-US" w:eastAsia="zh-CN"/>
                      <w14:textFill>
                        <w14:solidFill>
                          <w14:schemeClr w14:val="tx1"/>
                        </w14:solidFill>
                      </w14:textFill>
                    </w:rPr>
                    <w:t>本项目含烃类物质（以非甲烷总烃计）随水基岩屑和热脱附干渣煅烧而直接焚烧处理后，经1根25m高排气筒（DA001）排放。</w:t>
                  </w:r>
                </w:p>
              </w:tc>
              <w:tc>
                <w:tcPr>
                  <w:tcW w:w="374" w:type="pct"/>
                  <w:shd w:val="clear" w:color="auto" w:fill="auto"/>
                  <w:vAlign w:val="center"/>
                </w:tcPr>
                <w:p w14:paraId="5D19F12B">
                  <w:pPr>
                    <w:pStyle w:val="12"/>
                    <w:ind w:firstLine="0" w:firstLineChars="0"/>
                    <w:rPr>
                      <w:rFonts w:hint="default" w:ascii="Times New Roman" w:hAnsi="Times New Roman" w:eastAsia="宋体" w:cs="Times New Roman"/>
                      <w:b w:val="0"/>
                      <w:bCs/>
                      <w:kern w:val="0"/>
                      <w:sz w:val="21"/>
                      <w:szCs w:val="24"/>
                      <w:lang w:val="en-US" w:eastAsia="zh-CN" w:bidi="ar-SA"/>
                    </w:rPr>
                  </w:pPr>
                  <w:r>
                    <w:rPr>
                      <w:rFonts w:hint="eastAsia" w:cs="Times New Roman"/>
                      <w:lang w:val="en-US" w:eastAsia="zh-CN"/>
                    </w:rPr>
                    <w:t>符合</w:t>
                  </w:r>
                </w:p>
              </w:tc>
            </w:tr>
            <w:tr w14:paraId="5CF62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14" w:type="pct"/>
                  <w:shd w:val="clear" w:color="auto" w:fill="auto"/>
                  <w:vAlign w:val="center"/>
                </w:tcPr>
                <w:p w14:paraId="37CE5C8B">
                  <w:pPr>
                    <w:spacing w:line="240" w:lineRule="auto"/>
                    <w:ind w:firstLine="0" w:firstLineChars="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《重点行业挥发性有机物综合治理方案》</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环大气〔2019〕53号</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p>
              </w:tc>
              <w:tc>
                <w:tcPr>
                  <w:tcW w:w="2275" w:type="pct"/>
                  <w:shd w:val="clear" w:color="auto" w:fill="auto"/>
                  <w:vAlign w:val="center"/>
                </w:tcPr>
                <w:p w14:paraId="003365BC">
                  <w:pPr>
                    <w:spacing w:line="240" w:lineRule="auto"/>
                    <w:ind w:firstLine="0" w:firstLineChars="0"/>
                    <w:jc w:val="left"/>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全面加强无组织排放控制。重点对含VOCs物料（包括含VOCs原辅料、含VOCs产品、含VOCs废料以及有机聚合物材料等）储存、转移和输送、设备与管线组件泄漏、敞开液面逸散及工艺过程等五类排放源实施管控，通过采取设备与场所密闭、工艺改进、废气有效收集等措施，削减VOCs无组织排放。</w:t>
                  </w:r>
                </w:p>
              </w:tc>
              <w:tc>
                <w:tcPr>
                  <w:tcW w:w="1435" w:type="pct"/>
                  <w:vMerge w:val="continue"/>
                  <w:shd w:val="clear" w:color="auto" w:fill="auto"/>
                  <w:vAlign w:val="center"/>
                </w:tcPr>
                <w:p w14:paraId="059FA374">
                  <w:pPr>
                    <w:pStyle w:val="12"/>
                    <w:rPr>
                      <w:rFonts w:hint="eastAsia"/>
                    </w:rPr>
                  </w:pPr>
                </w:p>
              </w:tc>
              <w:tc>
                <w:tcPr>
                  <w:tcW w:w="374" w:type="pct"/>
                  <w:shd w:val="clear" w:color="auto" w:fill="auto"/>
                  <w:vAlign w:val="center"/>
                </w:tcPr>
                <w:p w14:paraId="633260BB">
                  <w:pPr>
                    <w:pStyle w:val="12"/>
                    <w:ind w:firstLine="0" w:firstLineChars="0"/>
                    <w:rPr>
                      <w:rFonts w:hint="eastAsia" w:ascii="Times New Roman" w:hAnsi="Times New Roman" w:eastAsia="宋体" w:cs="Times New Roman"/>
                      <w:b w:val="0"/>
                      <w:bCs/>
                      <w:kern w:val="0"/>
                      <w:sz w:val="21"/>
                      <w:szCs w:val="24"/>
                      <w:lang w:val="en-US" w:eastAsia="zh-CN" w:bidi="ar-SA"/>
                    </w:rPr>
                  </w:pPr>
                  <w:r>
                    <w:rPr>
                      <w:rFonts w:hint="eastAsia" w:cs="Times New Roman"/>
                      <w:lang w:val="en-US" w:eastAsia="zh-CN"/>
                    </w:rPr>
                    <w:t>符合</w:t>
                  </w:r>
                </w:p>
              </w:tc>
            </w:tr>
            <w:tr w14:paraId="613E9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14" w:type="pct"/>
                  <w:shd w:val="clear" w:color="auto" w:fill="auto"/>
                  <w:vAlign w:val="center"/>
                </w:tcPr>
                <w:p w14:paraId="15678213">
                  <w:pPr>
                    <w:spacing w:line="240" w:lineRule="auto"/>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《四</w:t>
                  </w:r>
                  <w:r>
                    <w:rPr>
                      <w:rFonts w:hint="eastAsia" w:ascii="宋体" w:hAnsi="宋体" w:eastAsia="宋体" w:cs="宋体"/>
                      <w:color w:val="000000" w:themeColor="text1"/>
                      <w:sz w:val="21"/>
                      <w:szCs w:val="21"/>
                      <w:highlight w:val="none"/>
                      <w:lang w:val="en-US" w:eastAsia="zh-CN"/>
                      <w14:textFill>
                        <w14:solidFill>
                          <w14:schemeClr w14:val="tx1"/>
                        </w14:solidFill>
                      </w14:textFill>
                    </w:rPr>
                    <w:t>川省“十四五”生态环境保护规划》</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的通知（川府发〔2022〕2号）</w:t>
                  </w:r>
                </w:p>
              </w:tc>
              <w:tc>
                <w:tcPr>
                  <w:tcW w:w="2275" w:type="pct"/>
                  <w:shd w:val="clear" w:color="auto" w:fill="auto"/>
                  <w:vAlign w:val="center"/>
                </w:tcPr>
                <w:p w14:paraId="1867FC04">
                  <w:pPr>
                    <w:spacing w:line="240" w:lineRule="auto"/>
                    <w:ind w:firstLine="0" w:firstLineChars="0"/>
                    <w:jc w:val="left"/>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新、改、扩建涉VOCs排放项目，应从源头加强控制，使用低（无）VOCs含量的原辅材料，加强废气收集，安装高效治理措施。</w:t>
                  </w:r>
                </w:p>
              </w:tc>
              <w:tc>
                <w:tcPr>
                  <w:tcW w:w="1435" w:type="pct"/>
                  <w:vMerge w:val="continue"/>
                  <w:shd w:val="clear" w:color="auto" w:fill="auto"/>
                  <w:vAlign w:val="center"/>
                </w:tcPr>
                <w:p w14:paraId="6D55EC7E">
                  <w:pPr>
                    <w:pStyle w:val="12"/>
                    <w:rPr>
                      <w:rFonts w:hint="eastAsia"/>
                    </w:rPr>
                  </w:pPr>
                </w:p>
              </w:tc>
              <w:tc>
                <w:tcPr>
                  <w:tcW w:w="374" w:type="pct"/>
                  <w:shd w:val="clear" w:color="auto" w:fill="auto"/>
                  <w:vAlign w:val="center"/>
                </w:tcPr>
                <w:p w14:paraId="6D95B7C4">
                  <w:pPr>
                    <w:pStyle w:val="12"/>
                    <w:ind w:firstLine="0" w:firstLineChars="0"/>
                    <w:rPr>
                      <w:rFonts w:hint="eastAsia" w:cs="Times New Roman"/>
                      <w:lang w:val="en-US" w:eastAsia="zh-CN"/>
                    </w:rPr>
                  </w:pPr>
                  <w:r>
                    <w:rPr>
                      <w:rFonts w:hint="eastAsia" w:cs="Times New Roman"/>
                      <w:lang w:val="en-US" w:eastAsia="zh-CN"/>
                    </w:rPr>
                    <w:t>符合</w:t>
                  </w:r>
                </w:p>
              </w:tc>
            </w:tr>
            <w:tr w14:paraId="2E37A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14" w:type="pct"/>
                  <w:vMerge w:val="restart"/>
                  <w:shd w:val="clear" w:color="auto" w:fill="auto"/>
                  <w:vAlign w:val="center"/>
                </w:tcPr>
                <w:p w14:paraId="5FBFC3FD">
                  <w:pPr>
                    <w:spacing w:line="240" w:lineRule="auto"/>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color w:val="000000" w:themeColor="text1"/>
                      <w:sz w:val="21"/>
                      <w:szCs w:val="21"/>
                      <w:highlight w:val="none"/>
                      <w14:textFill>
                        <w14:solidFill>
                          <w14:schemeClr w14:val="tx1"/>
                        </w14:solidFill>
                      </w14:textFill>
                    </w:rPr>
                    <w:t>《四川省空气质量持续改善行动计划实施方案》的通知（川府发〔2024〕15号）</w:t>
                  </w:r>
                </w:p>
              </w:tc>
              <w:tc>
                <w:tcPr>
                  <w:tcW w:w="2275" w:type="pct"/>
                  <w:shd w:val="clear" w:color="auto" w:fill="auto"/>
                  <w:vAlign w:val="center"/>
                </w:tcPr>
                <w:p w14:paraId="1210C82A">
                  <w:pPr>
                    <w:spacing w:line="240" w:lineRule="auto"/>
                    <w:ind w:firstLine="0" w:firstLineChars="0"/>
                    <w:jc w:val="left"/>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color w:val="000000" w:themeColor="text1"/>
                      <w:sz w:val="21"/>
                      <w:szCs w:val="21"/>
                      <w:highlight w:val="none"/>
                      <w14:textFill>
                        <w14:solidFill>
                          <w14:schemeClr w14:val="tx1"/>
                        </w14:solidFill>
                      </w14:textFill>
                    </w:rPr>
                    <w:t>加强含</w:t>
                  </w:r>
                  <w:r>
                    <w:rPr>
                      <w:rFonts w:hint="eastAsia"/>
                      <w:color w:val="000000" w:themeColor="text1"/>
                      <w:sz w:val="21"/>
                      <w:szCs w:val="21"/>
                      <w:highlight w:val="none"/>
                      <w:lang w:eastAsia="zh-CN"/>
                      <w14:textFill>
                        <w14:solidFill>
                          <w14:schemeClr w14:val="tx1"/>
                        </w14:solidFill>
                      </w14:textFill>
                    </w:rPr>
                    <w:t>V</w:t>
                  </w:r>
                  <w:r>
                    <w:rPr>
                      <w:rFonts w:hint="eastAsia"/>
                      <w:color w:val="000000" w:themeColor="text1"/>
                      <w:sz w:val="21"/>
                      <w:szCs w:val="21"/>
                      <w:highlight w:val="none"/>
                      <w:lang w:val="en-US" w:eastAsia="zh-CN"/>
                      <w14:textFill>
                        <w14:solidFill>
                          <w14:schemeClr w14:val="tx1"/>
                        </w14:solidFill>
                      </w14:textFill>
                    </w:rPr>
                    <w:t>OCs</w:t>
                  </w:r>
                  <w:r>
                    <w:rPr>
                      <w:rFonts w:hint="default"/>
                      <w:color w:val="000000" w:themeColor="text1"/>
                      <w:sz w:val="21"/>
                      <w:szCs w:val="21"/>
                      <w:highlight w:val="none"/>
                      <w14:textFill>
                        <w14:solidFill>
                          <w14:schemeClr w14:val="tx1"/>
                        </w14:solidFill>
                      </w14:textFill>
                    </w:rPr>
                    <w:t>原辅材料源头管控</w:t>
                  </w:r>
                  <w:r>
                    <w:rPr>
                      <w:rFonts w:hint="eastAsia"/>
                      <w:color w:val="000000" w:themeColor="text1"/>
                      <w:sz w:val="21"/>
                      <w:szCs w:val="21"/>
                      <w:highlight w:val="none"/>
                      <w:lang w:eastAsia="zh-CN"/>
                      <w14:textFill>
                        <w14:solidFill>
                          <w14:schemeClr w14:val="tx1"/>
                        </w14:solidFill>
                      </w14:textFill>
                    </w:rPr>
                    <w:t>。</w:t>
                  </w:r>
                  <w:r>
                    <w:rPr>
                      <w:rFonts w:hint="default"/>
                      <w:color w:val="000000" w:themeColor="text1"/>
                      <w:sz w:val="21"/>
                      <w:szCs w:val="21"/>
                      <w:highlight w:val="none"/>
                      <w14:textFill>
                        <w14:solidFill>
                          <w14:schemeClr w14:val="tx1"/>
                        </w14:solidFill>
                      </w14:textFill>
                    </w:rPr>
                    <w:t>严格控制生产和使用高</w:t>
                  </w:r>
                  <w:r>
                    <w:rPr>
                      <w:rFonts w:hint="eastAsia"/>
                      <w:color w:val="000000" w:themeColor="text1"/>
                      <w:sz w:val="21"/>
                      <w:szCs w:val="21"/>
                      <w:highlight w:val="none"/>
                      <w:lang w:eastAsia="zh-CN"/>
                      <w14:textFill>
                        <w14:solidFill>
                          <w14:schemeClr w14:val="tx1"/>
                        </w14:solidFill>
                      </w14:textFill>
                    </w:rPr>
                    <w:t>V</w:t>
                  </w:r>
                  <w:r>
                    <w:rPr>
                      <w:rFonts w:hint="eastAsia"/>
                      <w:color w:val="000000" w:themeColor="text1"/>
                      <w:sz w:val="21"/>
                      <w:szCs w:val="21"/>
                      <w:highlight w:val="none"/>
                      <w:lang w:val="en-US" w:eastAsia="zh-CN"/>
                      <w14:textFill>
                        <w14:solidFill>
                          <w14:schemeClr w14:val="tx1"/>
                        </w14:solidFill>
                      </w14:textFill>
                    </w:rPr>
                    <w:t>OCs</w:t>
                  </w:r>
                  <w:r>
                    <w:rPr>
                      <w:rFonts w:hint="default"/>
                      <w:color w:val="000000" w:themeColor="text1"/>
                      <w:sz w:val="21"/>
                      <w:szCs w:val="21"/>
                      <w:highlight w:val="none"/>
                      <w14:textFill>
                        <w14:solidFill>
                          <w14:schemeClr w14:val="tx1"/>
                        </w14:solidFill>
                      </w14:textFill>
                    </w:rPr>
                    <w:t>含量涂料、油墨、胶粘剂、清洗剂等建设项目</w:t>
                  </w:r>
                  <w:r>
                    <w:rPr>
                      <w:rFonts w:hint="eastAsia"/>
                      <w:color w:val="000000" w:themeColor="text1"/>
                      <w:sz w:val="21"/>
                      <w:szCs w:val="21"/>
                      <w:highlight w:val="none"/>
                      <w:lang w:eastAsia="zh-CN"/>
                      <w14:textFill>
                        <w14:solidFill>
                          <w14:schemeClr w14:val="tx1"/>
                        </w14:solidFill>
                      </w14:textFill>
                    </w:rPr>
                    <w:t>。</w:t>
                  </w:r>
                  <w:r>
                    <w:rPr>
                      <w:rFonts w:hint="default"/>
                      <w:color w:val="000000" w:themeColor="text1"/>
                      <w:sz w:val="21"/>
                      <w:szCs w:val="21"/>
                      <w:highlight w:val="none"/>
                      <w14:textFill>
                        <w14:solidFill>
                          <w14:schemeClr w14:val="tx1"/>
                        </w14:solidFill>
                      </w14:textFill>
                    </w:rPr>
                    <w:t>定期编制发布</w:t>
                  </w:r>
                  <w:r>
                    <w:rPr>
                      <w:rFonts w:hint="eastAsia" w:ascii="宋体" w:hAnsi="宋体" w:eastAsia="宋体" w:cs="宋体"/>
                      <w:color w:val="000000" w:themeColor="text1"/>
                      <w:sz w:val="21"/>
                      <w:szCs w:val="21"/>
                      <w:highlight w:val="none"/>
                      <w14:textFill>
                        <w14:solidFill>
                          <w14:schemeClr w14:val="tx1"/>
                        </w14:solidFill>
                      </w14:textFill>
                    </w:rPr>
                    <w:t>低</w:t>
                  </w:r>
                  <w:r>
                    <w:rPr>
                      <w:rFonts w:hint="eastAsia" w:ascii="宋体" w:hAnsi="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无</w:t>
                  </w:r>
                  <w:r>
                    <w:rPr>
                      <w:rFonts w:hint="eastAsia" w:ascii="宋体" w:hAnsi="宋体" w:cs="宋体"/>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lang w:eastAsia="zh-CN"/>
                      <w14:textFill>
                        <w14:solidFill>
                          <w14:schemeClr w14:val="tx1"/>
                        </w14:solidFill>
                      </w14:textFill>
                    </w:rPr>
                    <w:t>V</w:t>
                  </w:r>
                  <w:r>
                    <w:rPr>
                      <w:rFonts w:hint="eastAsia"/>
                      <w:color w:val="000000" w:themeColor="text1"/>
                      <w:sz w:val="21"/>
                      <w:szCs w:val="21"/>
                      <w:highlight w:val="none"/>
                      <w:lang w:val="en-US" w:eastAsia="zh-CN"/>
                      <w14:textFill>
                        <w14:solidFill>
                          <w14:schemeClr w14:val="tx1"/>
                        </w14:solidFill>
                      </w14:textFill>
                    </w:rPr>
                    <w:t>OCs</w:t>
                  </w:r>
                  <w:r>
                    <w:rPr>
                      <w:rFonts w:hint="default"/>
                      <w:color w:val="000000" w:themeColor="text1"/>
                      <w:sz w:val="21"/>
                      <w:szCs w:val="21"/>
                      <w:highlight w:val="none"/>
                      <w14:textFill>
                        <w14:solidFill>
                          <w14:schemeClr w14:val="tx1"/>
                        </w14:solidFill>
                      </w14:textFill>
                    </w:rPr>
                    <w:t>原辅材料和产品目录</w:t>
                  </w:r>
                  <w:r>
                    <w:rPr>
                      <w:rFonts w:hint="eastAsia"/>
                      <w:color w:val="000000" w:themeColor="text1"/>
                      <w:sz w:val="21"/>
                      <w:szCs w:val="21"/>
                      <w:highlight w:val="none"/>
                      <w:lang w:eastAsia="zh-CN"/>
                      <w14:textFill>
                        <w14:solidFill>
                          <w14:schemeClr w14:val="tx1"/>
                        </w14:solidFill>
                      </w14:textFill>
                    </w:rPr>
                    <w:t>。</w:t>
                  </w:r>
                  <w:r>
                    <w:rPr>
                      <w:rFonts w:hint="default"/>
                      <w:color w:val="000000" w:themeColor="text1"/>
                      <w:sz w:val="21"/>
                      <w:szCs w:val="21"/>
                      <w:highlight w:val="none"/>
                      <w14:textFill>
                        <w14:solidFill>
                          <w14:schemeClr w14:val="tx1"/>
                        </w14:solidFill>
                      </w14:textFill>
                    </w:rPr>
                    <w:t>在生产、销售、进口、使用等环节严格执行</w:t>
                  </w:r>
                  <w:r>
                    <w:rPr>
                      <w:rFonts w:hint="eastAsia"/>
                      <w:color w:val="000000" w:themeColor="text1"/>
                      <w:sz w:val="21"/>
                      <w:szCs w:val="21"/>
                      <w:highlight w:val="none"/>
                      <w:lang w:eastAsia="zh-CN"/>
                      <w14:textFill>
                        <w14:solidFill>
                          <w14:schemeClr w14:val="tx1"/>
                        </w14:solidFill>
                      </w14:textFill>
                    </w:rPr>
                    <w:t>V</w:t>
                  </w:r>
                  <w:r>
                    <w:rPr>
                      <w:rFonts w:hint="eastAsia"/>
                      <w:color w:val="000000" w:themeColor="text1"/>
                      <w:sz w:val="21"/>
                      <w:szCs w:val="21"/>
                      <w:highlight w:val="none"/>
                      <w:lang w:val="en-US" w:eastAsia="zh-CN"/>
                      <w14:textFill>
                        <w14:solidFill>
                          <w14:schemeClr w14:val="tx1"/>
                        </w14:solidFill>
                      </w14:textFill>
                    </w:rPr>
                    <w:t>OCs</w:t>
                  </w:r>
                  <w:r>
                    <w:rPr>
                      <w:rFonts w:hint="default"/>
                      <w:color w:val="000000" w:themeColor="text1"/>
                      <w:sz w:val="21"/>
                      <w:szCs w:val="21"/>
                      <w:highlight w:val="none"/>
                      <w14:textFill>
                        <w14:solidFill>
                          <w14:schemeClr w14:val="tx1"/>
                        </w14:solidFill>
                      </w14:textFill>
                    </w:rPr>
                    <w:t>含量限值标准</w:t>
                  </w:r>
                  <w:r>
                    <w:rPr>
                      <w:rFonts w:hint="eastAsia"/>
                      <w:color w:val="000000" w:themeColor="text1"/>
                      <w:sz w:val="21"/>
                      <w:szCs w:val="21"/>
                      <w:highlight w:val="none"/>
                      <w:lang w:eastAsia="zh-CN"/>
                      <w14:textFill>
                        <w14:solidFill>
                          <w14:schemeClr w14:val="tx1"/>
                        </w14:solidFill>
                      </w14:textFill>
                    </w:rPr>
                    <w:t>，</w:t>
                  </w:r>
                  <w:r>
                    <w:rPr>
                      <w:rFonts w:hint="default"/>
                      <w:color w:val="000000" w:themeColor="text1"/>
                      <w:sz w:val="21"/>
                      <w:szCs w:val="21"/>
                      <w:highlight w:val="none"/>
                      <w14:textFill>
                        <w14:solidFill>
                          <w14:schemeClr w14:val="tx1"/>
                        </w14:solidFill>
                      </w14:textFill>
                    </w:rPr>
                    <w:t>建立低</w:t>
                  </w:r>
                  <w:r>
                    <w:rPr>
                      <w:rFonts w:hint="eastAsia" w:ascii="宋体" w:hAnsi="宋体" w:eastAsia="宋体" w:cs="宋体"/>
                      <w:color w:val="000000" w:themeColor="text1"/>
                      <w:sz w:val="21"/>
                      <w:szCs w:val="21"/>
                      <w:highlight w:val="none"/>
                      <w14:textFill>
                        <w14:solidFill>
                          <w14:schemeClr w14:val="tx1"/>
                        </w14:solidFill>
                      </w14:textFill>
                    </w:rPr>
                    <w:t>(无)</w:t>
                  </w:r>
                  <w:r>
                    <w:rPr>
                      <w:rFonts w:hint="eastAsia"/>
                      <w:color w:val="000000" w:themeColor="text1"/>
                      <w:sz w:val="21"/>
                      <w:szCs w:val="21"/>
                      <w:highlight w:val="none"/>
                      <w:lang w:eastAsia="zh-CN"/>
                      <w14:textFill>
                        <w14:solidFill>
                          <w14:schemeClr w14:val="tx1"/>
                        </w14:solidFill>
                      </w14:textFill>
                    </w:rPr>
                    <w:t>V</w:t>
                  </w:r>
                  <w:r>
                    <w:rPr>
                      <w:rFonts w:hint="eastAsia"/>
                      <w:color w:val="000000" w:themeColor="text1"/>
                      <w:sz w:val="21"/>
                      <w:szCs w:val="21"/>
                      <w:highlight w:val="none"/>
                      <w:lang w:val="en-US" w:eastAsia="zh-CN"/>
                      <w14:textFill>
                        <w14:solidFill>
                          <w14:schemeClr w14:val="tx1"/>
                        </w14:solidFill>
                      </w14:textFill>
                    </w:rPr>
                    <w:t>OCs</w:t>
                  </w:r>
                  <w:r>
                    <w:rPr>
                      <w:rFonts w:hint="default"/>
                      <w:color w:val="000000" w:themeColor="text1"/>
                      <w:sz w:val="21"/>
                      <w:szCs w:val="21"/>
                      <w:highlight w:val="none"/>
                      <w14:textFill>
                        <w14:solidFill>
                          <w14:schemeClr w14:val="tx1"/>
                        </w14:solidFill>
                      </w14:textFill>
                    </w:rPr>
                    <w:t>含量产品标识制度</w:t>
                  </w:r>
                  <w:r>
                    <w:rPr>
                      <w:rFonts w:hint="eastAsia"/>
                      <w:color w:val="000000" w:themeColor="text1"/>
                      <w:sz w:val="21"/>
                      <w:szCs w:val="21"/>
                      <w:highlight w:val="none"/>
                      <w:lang w:eastAsia="zh-CN"/>
                      <w14:textFill>
                        <w14:solidFill>
                          <w14:schemeClr w14:val="tx1"/>
                        </w14:solidFill>
                      </w14:textFill>
                    </w:rPr>
                    <w:t>。</w:t>
                  </w:r>
                  <w:r>
                    <w:rPr>
                      <w:rFonts w:hint="default"/>
                      <w:color w:val="000000" w:themeColor="text1"/>
                      <w:sz w:val="21"/>
                      <w:szCs w:val="21"/>
                      <w:highlight w:val="none"/>
                      <w14:textFill>
                        <w14:solidFill>
                          <w14:schemeClr w14:val="tx1"/>
                        </w14:solidFill>
                      </w14:textFill>
                    </w:rPr>
                    <w:t>实施重点领域原辅材料替代工程</w:t>
                  </w:r>
                  <w:r>
                    <w:rPr>
                      <w:rFonts w:hint="eastAsia"/>
                      <w:color w:val="000000" w:themeColor="text1"/>
                      <w:sz w:val="21"/>
                      <w:szCs w:val="21"/>
                      <w:highlight w:val="none"/>
                      <w:lang w:eastAsia="zh-CN"/>
                      <w14:textFill>
                        <w14:solidFill>
                          <w14:schemeClr w14:val="tx1"/>
                        </w14:solidFill>
                      </w14:textFill>
                    </w:rPr>
                    <w:t>，</w:t>
                  </w:r>
                  <w:r>
                    <w:rPr>
                      <w:rFonts w:hint="default"/>
                      <w:color w:val="000000" w:themeColor="text1"/>
                      <w:sz w:val="21"/>
                      <w:szCs w:val="21"/>
                      <w:highlight w:val="none"/>
                      <w14:textFill>
                        <w14:solidFill>
                          <w14:schemeClr w14:val="tx1"/>
                        </w14:solidFill>
                      </w14:textFill>
                    </w:rPr>
                    <w:t>到</w:t>
                  </w:r>
                  <w:r>
                    <w:rPr>
                      <w:rFonts w:hint="eastAsia"/>
                      <w:color w:val="000000" w:themeColor="text1"/>
                      <w:sz w:val="21"/>
                      <w:szCs w:val="21"/>
                      <w:highlight w:val="none"/>
                      <w:lang w:eastAsia="zh-CN"/>
                      <w14:textFill>
                        <w14:solidFill>
                          <w14:schemeClr w14:val="tx1"/>
                        </w14:solidFill>
                      </w14:textFill>
                    </w:rPr>
                    <w:t>2</w:t>
                  </w:r>
                  <w:r>
                    <w:rPr>
                      <w:rFonts w:hint="eastAsia"/>
                      <w:color w:val="000000" w:themeColor="text1"/>
                      <w:sz w:val="21"/>
                      <w:szCs w:val="21"/>
                      <w:highlight w:val="none"/>
                      <w:lang w:val="en-US" w:eastAsia="zh-CN"/>
                      <w14:textFill>
                        <w14:solidFill>
                          <w14:schemeClr w14:val="tx1"/>
                        </w14:solidFill>
                      </w14:textFill>
                    </w:rPr>
                    <w:t>025</w:t>
                  </w:r>
                  <w:r>
                    <w:rPr>
                      <w:rFonts w:hint="default"/>
                      <w:color w:val="000000" w:themeColor="text1"/>
                      <w:sz w:val="21"/>
                      <w:szCs w:val="21"/>
                      <w:highlight w:val="none"/>
                      <w14:textFill>
                        <w14:solidFill>
                          <w14:schemeClr w14:val="tx1"/>
                        </w14:solidFill>
                      </w14:textFill>
                    </w:rPr>
                    <w:t>年</w:t>
                  </w:r>
                  <w:r>
                    <w:rPr>
                      <w:rFonts w:hint="eastAsia"/>
                      <w:color w:val="000000" w:themeColor="text1"/>
                      <w:sz w:val="21"/>
                      <w:szCs w:val="21"/>
                      <w:highlight w:val="none"/>
                      <w:lang w:eastAsia="zh-CN"/>
                      <w14:textFill>
                        <w14:solidFill>
                          <w14:schemeClr w14:val="tx1"/>
                        </w14:solidFill>
                      </w14:textFill>
                    </w:rPr>
                    <w:t>，</w:t>
                  </w:r>
                  <w:r>
                    <w:rPr>
                      <w:rFonts w:hint="default"/>
                      <w:color w:val="000000" w:themeColor="text1"/>
                      <w:sz w:val="21"/>
                      <w:szCs w:val="21"/>
                      <w:highlight w:val="none"/>
                      <w14:textFill>
                        <w14:solidFill>
                          <w14:schemeClr w14:val="tx1"/>
                        </w14:solidFill>
                      </w14:textFill>
                    </w:rPr>
                    <w:t>力争重点行业原辅材料替代比例</w:t>
                  </w:r>
                  <w:r>
                    <w:rPr>
                      <w:rFonts w:hint="eastAsia" w:ascii="宋体" w:hAnsi="宋体" w:eastAsia="宋体" w:cs="宋体"/>
                      <w:color w:val="000000" w:themeColor="text1"/>
                      <w:sz w:val="21"/>
                      <w:szCs w:val="21"/>
                      <w:highlight w:val="none"/>
                      <w14:textFill>
                        <w14:solidFill>
                          <w14:schemeClr w14:val="tx1"/>
                        </w14:solidFill>
                      </w14:textFill>
                    </w:rPr>
                    <w:t>在“十三五”</w:t>
                  </w:r>
                  <w:r>
                    <w:rPr>
                      <w:rFonts w:hint="default"/>
                      <w:color w:val="000000" w:themeColor="text1"/>
                      <w:sz w:val="21"/>
                      <w:szCs w:val="21"/>
                      <w:highlight w:val="none"/>
                      <w14:textFill>
                        <w14:solidFill>
                          <w14:schemeClr w14:val="tx1"/>
                        </w14:solidFill>
                      </w14:textFill>
                    </w:rPr>
                    <w:t>末期的基础上进一步提升全面推广房屋建筑和市政工程涉</w:t>
                  </w:r>
                  <w:r>
                    <w:rPr>
                      <w:rFonts w:hint="eastAsia"/>
                      <w:color w:val="000000" w:themeColor="text1"/>
                      <w:sz w:val="21"/>
                      <w:szCs w:val="21"/>
                      <w:highlight w:val="none"/>
                      <w:lang w:eastAsia="zh-CN"/>
                      <w14:textFill>
                        <w14:solidFill>
                          <w14:schemeClr w14:val="tx1"/>
                        </w14:solidFill>
                      </w14:textFill>
                    </w:rPr>
                    <w:t>V</w:t>
                  </w:r>
                  <w:r>
                    <w:rPr>
                      <w:rFonts w:hint="eastAsia"/>
                      <w:color w:val="000000" w:themeColor="text1"/>
                      <w:sz w:val="21"/>
                      <w:szCs w:val="21"/>
                      <w:highlight w:val="none"/>
                      <w:lang w:val="en-US" w:eastAsia="zh-CN"/>
                      <w14:textFill>
                        <w14:solidFill>
                          <w14:schemeClr w14:val="tx1"/>
                        </w14:solidFill>
                      </w14:textFill>
                    </w:rPr>
                    <w:t>OCs</w:t>
                  </w:r>
                  <w:r>
                    <w:rPr>
                      <w:rFonts w:hint="default"/>
                      <w:color w:val="000000" w:themeColor="text1"/>
                      <w:sz w:val="21"/>
                      <w:szCs w:val="21"/>
                      <w:highlight w:val="none"/>
                      <w14:textFill>
                        <w14:solidFill>
                          <w14:schemeClr w14:val="tx1"/>
                        </w14:solidFill>
                      </w14:textFill>
                    </w:rPr>
                    <w:t>工序环节使用低</w:t>
                  </w:r>
                  <w:r>
                    <w:rPr>
                      <w:rFonts w:hint="eastAsia"/>
                      <w:color w:val="000000" w:themeColor="text1"/>
                      <w:sz w:val="21"/>
                      <w:szCs w:val="21"/>
                      <w:highlight w:val="none"/>
                      <w:lang w:eastAsia="zh-CN"/>
                      <w14:textFill>
                        <w14:solidFill>
                          <w14:schemeClr w14:val="tx1"/>
                        </w14:solidFill>
                      </w14:textFill>
                    </w:rPr>
                    <w:t>V</w:t>
                  </w:r>
                  <w:r>
                    <w:rPr>
                      <w:rFonts w:hint="eastAsia"/>
                      <w:color w:val="000000" w:themeColor="text1"/>
                      <w:sz w:val="21"/>
                      <w:szCs w:val="21"/>
                      <w:highlight w:val="none"/>
                      <w:lang w:val="en-US" w:eastAsia="zh-CN"/>
                      <w14:textFill>
                        <w14:solidFill>
                          <w14:schemeClr w14:val="tx1"/>
                        </w14:solidFill>
                      </w14:textFill>
                    </w:rPr>
                    <w:t>OCs</w:t>
                  </w:r>
                  <w:r>
                    <w:rPr>
                      <w:rFonts w:hint="default"/>
                      <w:color w:val="000000" w:themeColor="text1"/>
                      <w:sz w:val="21"/>
                      <w:szCs w:val="21"/>
                      <w:highlight w:val="none"/>
                      <w14:textFill>
                        <w14:solidFill>
                          <w14:schemeClr w14:val="tx1"/>
                        </w14:solidFill>
                      </w14:textFill>
                    </w:rPr>
                    <w:t>含量涂料和胶粘剂ꎻ重点区域除特殊功能要求外的室内地坪施工、室外构筑物防护和城市道路交通标志基本使用低</w:t>
                  </w:r>
                  <w:r>
                    <w:rPr>
                      <w:rFonts w:hint="eastAsia"/>
                      <w:color w:val="000000" w:themeColor="text1"/>
                      <w:sz w:val="21"/>
                      <w:szCs w:val="21"/>
                      <w:highlight w:val="none"/>
                      <w:lang w:eastAsia="zh-CN"/>
                      <w14:textFill>
                        <w14:solidFill>
                          <w14:schemeClr w14:val="tx1"/>
                        </w14:solidFill>
                      </w14:textFill>
                    </w:rPr>
                    <w:t>V</w:t>
                  </w:r>
                  <w:r>
                    <w:rPr>
                      <w:rFonts w:hint="eastAsia"/>
                      <w:color w:val="000000" w:themeColor="text1"/>
                      <w:sz w:val="21"/>
                      <w:szCs w:val="21"/>
                      <w:highlight w:val="none"/>
                      <w:lang w:val="en-US" w:eastAsia="zh-CN"/>
                      <w14:textFill>
                        <w14:solidFill>
                          <w14:schemeClr w14:val="tx1"/>
                        </w14:solidFill>
                      </w14:textFill>
                    </w:rPr>
                    <w:t>OCs</w:t>
                  </w:r>
                  <w:r>
                    <w:rPr>
                      <w:rFonts w:hint="default"/>
                      <w:color w:val="000000" w:themeColor="text1"/>
                      <w:sz w:val="21"/>
                      <w:szCs w:val="21"/>
                      <w:highlight w:val="none"/>
                      <w14:textFill>
                        <w14:solidFill>
                          <w14:schemeClr w14:val="tx1"/>
                        </w14:solidFill>
                      </w14:textFill>
                    </w:rPr>
                    <w:t>含量涂料</w:t>
                  </w:r>
                </w:p>
              </w:tc>
              <w:tc>
                <w:tcPr>
                  <w:tcW w:w="1435" w:type="pct"/>
                  <w:shd w:val="clear" w:color="auto" w:fill="auto"/>
                  <w:vAlign w:val="center"/>
                </w:tcPr>
                <w:p w14:paraId="6C8AF165">
                  <w:pPr>
                    <w:keepNext w:val="0"/>
                    <w:keepLines w:val="0"/>
                    <w:pageBreakBefore w:val="0"/>
                    <w:kinsoku/>
                    <w:wordWrap/>
                    <w:overflowPunct/>
                    <w:topLinePunct w:val="0"/>
                    <w:autoSpaceDE/>
                    <w:autoSpaceDN/>
                    <w:bidi w:val="0"/>
                    <w:spacing w:line="240" w:lineRule="auto"/>
                    <w:ind w:firstLine="0" w:firstLineChars="0"/>
                    <w:jc w:val="left"/>
                    <w:textAlignment w:val="auto"/>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本项目不生产和使用高VOCs含量涂料、油墨、胶粘剂、清洗剂。</w:t>
                  </w:r>
                  <w:r>
                    <w:rPr>
                      <w:rFonts w:hint="eastAsia" w:cs="Times New Roman"/>
                      <w:color w:val="000000" w:themeColor="text1"/>
                      <w:sz w:val="21"/>
                      <w:szCs w:val="21"/>
                      <w:highlight w:val="none"/>
                      <w:lang w:val="en-US" w:eastAsia="zh-CN"/>
                      <w14:textFill>
                        <w14:solidFill>
                          <w14:schemeClr w14:val="tx1"/>
                        </w14:solidFill>
                      </w14:textFill>
                    </w:rPr>
                    <w:t>含烃类物质（以非甲烷总烃计）随水基岩屑和热脱附干渣煅烧而直接焚烧处理后，经1根25m高排气筒（DA001）排放。</w:t>
                  </w:r>
                </w:p>
              </w:tc>
              <w:tc>
                <w:tcPr>
                  <w:tcW w:w="374" w:type="pct"/>
                  <w:shd w:val="clear" w:color="auto" w:fill="auto"/>
                  <w:vAlign w:val="center"/>
                </w:tcPr>
                <w:p w14:paraId="16464DD8">
                  <w:pPr>
                    <w:pStyle w:val="12"/>
                    <w:ind w:firstLine="0" w:firstLineChars="0"/>
                    <w:rPr>
                      <w:rFonts w:hint="eastAsia" w:ascii="Times New Roman" w:hAnsi="Times New Roman" w:eastAsia="宋体" w:cs="Times New Roman"/>
                      <w:b w:val="0"/>
                      <w:bCs/>
                      <w:kern w:val="0"/>
                      <w:sz w:val="21"/>
                      <w:szCs w:val="24"/>
                      <w:lang w:val="en-US" w:eastAsia="zh-CN" w:bidi="ar-SA"/>
                    </w:rPr>
                  </w:pPr>
                  <w:r>
                    <w:rPr>
                      <w:rFonts w:hint="eastAsia" w:cs="Times New Roman"/>
                      <w:lang w:val="en-US" w:eastAsia="zh-CN"/>
                    </w:rPr>
                    <w:t>符合</w:t>
                  </w:r>
                </w:p>
              </w:tc>
            </w:tr>
            <w:tr w14:paraId="36C63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14" w:type="pct"/>
                  <w:vMerge w:val="continue"/>
                  <w:shd w:val="clear" w:color="auto" w:fill="auto"/>
                  <w:vAlign w:val="center"/>
                </w:tcPr>
                <w:p w14:paraId="6BB14610">
                  <w:pPr>
                    <w:spacing w:line="240" w:lineRule="auto"/>
                    <w:ind w:firstLine="0" w:firstLineChars="0"/>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p>
              </w:tc>
              <w:tc>
                <w:tcPr>
                  <w:tcW w:w="2275" w:type="pct"/>
                  <w:shd w:val="clear" w:color="auto" w:fill="auto"/>
                  <w:vAlign w:val="center"/>
                </w:tcPr>
                <w:p w14:paraId="15C85F95">
                  <w:pPr>
                    <w:spacing w:line="240" w:lineRule="auto"/>
                    <w:ind w:firstLine="0" w:firstLineChars="0"/>
                    <w:jc w:val="both"/>
                    <w:rPr>
                      <w:rFonts w:hint="default" w:ascii="Times New Roman" w:hAnsi="Times New Roman" w:eastAsia="宋体" w:cstheme="minorBidi"/>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sz w:val="21"/>
                      <w:szCs w:val="21"/>
                      <w:highlight w:val="none"/>
                      <w14:textFill>
                        <w14:solidFill>
                          <w14:schemeClr w14:val="tx1"/>
                        </w14:solidFill>
                      </w14:textFill>
                    </w:rPr>
                    <w:t>加快工业炉窑清洁化改造</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14:textFill>
                        <w14:solidFill>
                          <w14:schemeClr w14:val="tx1"/>
                        </w14:solidFill>
                      </w14:textFill>
                    </w:rPr>
                    <w:t>重点区域原则上不再新增燃料类煤气发生炉</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14:textFill>
                        <w14:solidFill>
                          <w14:schemeClr w14:val="tx1"/>
                        </w14:solidFill>
                      </w14:textFill>
                    </w:rPr>
                    <w:t>现有燃料类煤气发生炉实行清洁能源替代</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14:textFill>
                        <w14:solidFill>
                          <w14:schemeClr w14:val="tx1"/>
                        </w14:solidFill>
                      </w14:textFill>
                    </w:rPr>
                    <w:t>或因地制宜采取</w:t>
                  </w:r>
                  <w:r>
                    <w:rPr>
                      <w:rFonts w:hint="eastAsia" w:ascii="宋体" w:hAnsi="宋体" w:eastAsia="宋体" w:cs="宋体"/>
                      <w:color w:val="000000" w:themeColor="text1"/>
                      <w:sz w:val="21"/>
                      <w:szCs w:val="21"/>
                      <w:highlight w:val="none"/>
                      <w14:textFill>
                        <w14:solidFill>
                          <w14:schemeClr w14:val="tx1"/>
                        </w14:solidFill>
                      </w14:textFill>
                    </w:rPr>
                    <w:t>园区</w:t>
                  </w:r>
                  <w:r>
                    <w:rPr>
                      <w:rFonts w:hint="eastAsia" w:ascii="宋体" w:hAnsi="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集群</w:t>
                  </w:r>
                  <w:r>
                    <w:rPr>
                      <w:rFonts w:hint="eastAsia" w:ascii="宋体" w:hAnsi="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集中</w:t>
                  </w:r>
                  <w:r>
                    <w:rPr>
                      <w:rFonts w:hint="eastAsia"/>
                      <w:color w:val="000000" w:themeColor="text1"/>
                      <w:sz w:val="21"/>
                      <w:szCs w:val="21"/>
                      <w:highlight w:val="none"/>
                      <w14:textFill>
                        <w14:solidFill>
                          <w14:schemeClr w14:val="tx1"/>
                        </w14:solidFill>
                      </w14:textFill>
                    </w:rPr>
                    <w:t>供气、分散使用方式</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14:textFill>
                        <w14:solidFill>
                          <w14:schemeClr w14:val="tx1"/>
                        </w14:solidFill>
                      </w14:textFill>
                    </w:rPr>
                    <w:t>逐步淘汰固定床间歇式煤气发生炉</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14:textFill>
                        <w14:solidFill>
                          <w14:schemeClr w14:val="tx1"/>
                        </w14:solidFill>
                      </w14:textFill>
                    </w:rPr>
                    <w:t>新改扩建加热炉、热处理炉、干燥炉、熔化炉原则上采用清洁低碳能源</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14:textFill>
                        <w14:solidFill>
                          <w14:schemeClr w14:val="tx1"/>
                        </w14:solidFill>
                      </w14:textFill>
                    </w:rPr>
                    <w:t>安全稳妥推进使用高污染燃料的工业炉窑改用工业余热、电能、天然气等</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14:textFill>
                        <w14:solidFill>
                          <w14:schemeClr w14:val="tx1"/>
                        </w14:solidFill>
                      </w14:textFill>
                    </w:rPr>
                    <w:t>持续抓好燃</w:t>
                  </w:r>
                  <w:r>
                    <w:rPr>
                      <w:rFonts w:hint="eastAsia" w:ascii="宋体" w:hAnsi="宋体" w:eastAsia="宋体" w:cs="宋体"/>
                      <w:color w:val="000000" w:themeColor="text1"/>
                      <w:sz w:val="21"/>
                      <w:szCs w:val="21"/>
                      <w:highlight w:val="none"/>
                      <w14:textFill>
                        <w14:solidFill>
                          <w14:schemeClr w14:val="tx1"/>
                        </w14:solidFill>
                      </w14:textFill>
                    </w:rPr>
                    <w:t>煤</w:t>
                  </w:r>
                  <w:r>
                    <w:rPr>
                      <w:rFonts w:hint="eastAsia" w:ascii="宋体" w:hAnsi="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油、柴、气</w:t>
                  </w:r>
                  <w:r>
                    <w:rPr>
                      <w:rFonts w:hint="eastAsia" w:ascii="宋体" w:hAnsi="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锅</w:t>
                  </w:r>
                  <w:r>
                    <w:rPr>
                      <w:rFonts w:hint="eastAsia"/>
                      <w:color w:val="000000" w:themeColor="text1"/>
                      <w:sz w:val="21"/>
                      <w:szCs w:val="21"/>
                      <w:highlight w:val="none"/>
                      <w14:textFill>
                        <w14:solidFill>
                          <w14:schemeClr w14:val="tx1"/>
                        </w14:solidFill>
                      </w14:textFill>
                    </w:rPr>
                    <w:t>炉窑炉电能替代传统项目</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14:textFill>
                        <w14:solidFill>
                          <w14:schemeClr w14:val="tx1"/>
                        </w14:solidFill>
                      </w14:textFill>
                    </w:rPr>
                    <w:t>重点做好“电烤烟”“电制茶”</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14:textFill>
                        <w14:solidFill>
                          <w14:schemeClr w14:val="tx1"/>
                        </w14:solidFill>
                      </w14:textFill>
                    </w:rPr>
                    <w:t>页岩气开采“以电代油”等电能替代示范项目</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14:textFill>
                        <w14:solidFill>
                          <w14:schemeClr w14:val="tx1"/>
                        </w14:solidFill>
                      </w14:textFill>
                    </w:rPr>
                    <w:t>到</w:t>
                  </w:r>
                  <w:r>
                    <w:rPr>
                      <w:rFonts w:hint="eastAsia"/>
                      <w:color w:val="000000" w:themeColor="text1"/>
                      <w:sz w:val="21"/>
                      <w:szCs w:val="21"/>
                      <w:highlight w:val="none"/>
                      <w:lang w:val="en-US" w:eastAsia="zh-CN"/>
                      <w14:textFill>
                        <w14:solidFill>
                          <w14:schemeClr w14:val="tx1"/>
                        </w14:solidFill>
                      </w14:textFill>
                    </w:rPr>
                    <w:t>2025</w:t>
                  </w:r>
                  <w:r>
                    <w:rPr>
                      <w:rFonts w:hint="eastAsia"/>
                      <w:color w:val="000000" w:themeColor="text1"/>
                      <w:sz w:val="21"/>
                      <w:szCs w:val="21"/>
                      <w:highlight w:val="none"/>
                      <w14:textFill>
                        <w14:solidFill>
                          <w14:schemeClr w14:val="tx1"/>
                        </w14:solidFill>
                      </w14:textFill>
                    </w:rPr>
                    <w:t>年</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14:textFill>
                        <w14:solidFill>
                          <w14:schemeClr w14:val="tx1"/>
                        </w14:solidFill>
                      </w14:textFill>
                    </w:rPr>
                    <w:t>力争完成</w:t>
                  </w:r>
                  <w:r>
                    <w:rPr>
                      <w:rFonts w:hint="eastAsia"/>
                      <w:color w:val="000000" w:themeColor="text1"/>
                      <w:sz w:val="21"/>
                      <w:szCs w:val="21"/>
                      <w:highlight w:val="none"/>
                      <w:lang w:val="en-US" w:eastAsia="zh-CN"/>
                      <w14:textFill>
                        <w14:solidFill>
                          <w14:schemeClr w14:val="tx1"/>
                        </w14:solidFill>
                      </w14:textFill>
                    </w:rPr>
                    <w:t>80%</w:t>
                  </w:r>
                  <w:r>
                    <w:rPr>
                      <w:rFonts w:hint="eastAsia"/>
                      <w:color w:val="000000" w:themeColor="text1"/>
                      <w:sz w:val="21"/>
                      <w:szCs w:val="21"/>
                      <w:highlight w:val="none"/>
                      <w14:textFill>
                        <w14:solidFill>
                          <w14:schemeClr w14:val="tx1"/>
                        </w14:solidFill>
                      </w14:textFill>
                    </w:rPr>
                    <w:t>的集中式烤烟房煤改电改造</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14:textFill>
                        <w14:solidFill>
                          <w14:schemeClr w14:val="tx1"/>
                        </w14:solidFill>
                      </w14:textFill>
                    </w:rPr>
                    <w:t>全省电制茶比例达到</w:t>
                  </w:r>
                  <w:r>
                    <w:rPr>
                      <w:rFonts w:hint="eastAsia"/>
                      <w:color w:val="000000" w:themeColor="text1"/>
                      <w:sz w:val="21"/>
                      <w:szCs w:val="21"/>
                      <w:highlight w:val="none"/>
                      <w:lang w:val="en-US" w:eastAsia="zh-CN"/>
                      <w14:textFill>
                        <w14:solidFill>
                          <w14:schemeClr w14:val="tx1"/>
                        </w14:solidFill>
                      </w14:textFill>
                    </w:rPr>
                    <w:t>80%。</w:t>
                  </w:r>
                </w:p>
              </w:tc>
              <w:tc>
                <w:tcPr>
                  <w:tcW w:w="1435" w:type="pct"/>
                  <w:shd w:val="clear" w:color="auto" w:fill="auto"/>
                  <w:vAlign w:val="center"/>
                </w:tcPr>
                <w:p w14:paraId="08E92E4F">
                  <w:pPr>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ascii="Times New Roman" w:hAnsi="Times New Roman" w:eastAsia="宋体" w:cstheme="minorBidi"/>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本项目使用的回转窑使用电能、天然气，不使用高污染燃料。</w:t>
                  </w:r>
                </w:p>
              </w:tc>
              <w:tc>
                <w:tcPr>
                  <w:tcW w:w="374" w:type="pct"/>
                  <w:shd w:val="clear" w:color="auto" w:fill="auto"/>
                  <w:vAlign w:val="center"/>
                </w:tcPr>
                <w:p w14:paraId="4A355C4E">
                  <w:pPr>
                    <w:pStyle w:val="12"/>
                    <w:ind w:firstLine="0" w:firstLineChars="0"/>
                    <w:rPr>
                      <w:rFonts w:hint="eastAsia" w:ascii="Times New Roman" w:hAnsi="Times New Roman" w:eastAsia="宋体" w:cs="Times New Roman"/>
                      <w:b w:val="0"/>
                      <w:bCs/>
                      <w:kern w:val="0"/>
                      <w:sz w:val="21"/>
                      <w:szCs w:val="24"/>
                      <w:lang w:val="en-US" w:eastAsia="zh-CN" w:bidi="ar-SA"/>
                    </w:rPr>
                  </w:pPr>
                  <w:r>
                    <w:rPr>
                      <w:rFonts w:hint="eastAsia" w:cs="Times New Roman"/>
                      <w:lang w:val="en-US" w:eastAsia="zh-CN"/>
                    </w:rPr>
                    <w:t>符合</w:t>
                  </w:r>
                </w:p>
              </w:tc>
            </w:tr>
            <w:tr w14:paraId="6113B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14" w:type="pct"/>
                  <w:vMerge w:val="continue"/>
                  <w:shd w:val="clear" w:color="auto" w:fill="auto"/>
                  <w:vAlign w:val="center"/>
                </w:tcPr>
                <w:p w14:paraId="4B7426F9">
                  <w:pPr>
                    <w:spacing w:line="240" w:lineRule="auto"/>
                    <w:ind w:firstLine="0" w:firstLineChars="0"/>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p>
              </w:tc>
              <w:tc>
                <w:tcPr>
                  <w:tcW w:w="2275" w:type="pct"/>
                  <w:shd w:val="clear" w:color="auto" w:fill="auto"/>
                  <w:vAlign w:val="center"/>
                </w:tcPr>
                <w:p w14:paraId="78945ACF">
                  <w:pPr>
                    <w:spacing w:line="240" w:lineRule="auto"/>
                    <w:ind w:firstLine="0" w:firstLineChars="0"/>
                    <w:jc w:val="left"/>
                    <w:rPr>
                      <w:rFonts w:hint="default" w:ascii="Times New Roman" w:hAnsi="Times New Roman" w:eastAsia="宋体" w:cstheme="minorBidi"/>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sz w:val="21"/>
                      <w:szCs w:val="21"/>
                      <w:highlight w:val="none"/>
                      <w14:textFill>
                        <w14:solidFill>
                          <w14:schemeClr w14:val="tx1"/>
                        </w14:solidFill>
                      </w14:textFill>
                    </w:rPr>
                    <w:t>强化</w:t>
                  </w:r>
                  <w:r>
                    <w:rPr>
                      <w:rFonts w:hint="default"/>
                      <w:color w:val="000000" w:themeColor="text1"/>
                      <w:sz w:val="21"/>
                      <w:szCs w:val="21"/>
                      <w:highlight w:val="none"/>
                      <w:lang w:val="en-US" w:eastAsia="zh-CN"/>
                      <w14:textFill>
                        <w14:solidFill>
                          <w14:schemeClr w14:val="tx1"/>
                        </w14:solidFill>
                      </w14:textFill>
                    </w:rPr>
                    <w:t>VOCs</w:t>
                  </w:r>
                  <w:r>
                    <w:rPr>
                      <w:rFonts w:hint="eastAsia"/>
                      <w:color w:val="000000" w:themeColor="text1"/>
                      <w:sz w:val="21"/>
                      <w:szCs w:val="21"/>
                      <w:highlight w:val="none"/>
                      <w14:textFill>
                        <w14:solidFill>
                          <w14:schemeClr w14:val="tx1"/>
                        </w14:solidFill>
                      </w14:textFill>
                    </w:rPr>
                    <w:t>全过程管控</w:t>
                  </w:r>
                  <w:r>
                    <w:rPr>
                      <w:rFonts w:hint="default"/>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14:textFill>
                        <w14:solidFill>
                          <w14:schemeClr w14:val="tx1"/>
                        </w14:solidFill>
                      </w14:textFill>
                    </w:rPr>
                    <w:t>开展低效失效</w:t>
                  </w:r>
                  <w:r>
                    <w:rPr>
                      <w:rFonts w:hint="default"/>
                      <w:color w:val="000000" w:themeColor="text1"/>
                      <w:sz w:val="21"/>
                      <w:szCs w:val="21"/>
                      <w:highlight w:val="none"/>
                      <w:lang w:eastAsia="zh-CN"/>
                      <w14:textFill>
                        <w14:solidFill>
                          <w14:schemeClr w14:val="tx1"/>
                        </w14:solidFill>
                      </w14:textFill>
                    </w:rPr>
                    <w:t>VOCs</w:t>
                  </w:r>
                  <w:r>
                    <w:rPr>
                      <w:rFonts w:hint="eastAsia"/>
                      <w:color w:val="000000" w:themeColor="text1"/>
                      <w:sz w:val="21"/>
                      <w:szCs w:val="21"/>
                      <w:highlight w:val="none"/>
                      <w14:textFill>
                        <w14:solidFill>
                          <w14:schemeClr w14:val="tx1"/>
                        </w14:solidFill>
                      </w14:textFill>
                    </w:rPr>
                    <w:t>处理设施排查整治</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14:textFill>
                        <w14:solidFill>
                          <w14:schemeClr w14:val="tx1"/>
                        </w14:solidFill>
                      </w14:textFill>
                    </w:rPr>
                    <w:t>储罐使用低泄漏的呼吸阀、紧急泄压阀</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14:textFill>
                        <w14:solidFill>
                          <w14:schemeClr w14:val="tx1"/>
                        </w14:solidFill>
                      </w14:textFill>
                    </w:rPr>
                    <w:t>定期开展密封性检测</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14:textFill>
                        <w14:solidFill>
                          <w14:schemeClr w14:val="tx1"/>
                        </w14:solidFill>
                      </w14:textFill>
                    </w:rPr>
                    <w:t>汽车罐车推广使用密封式快速接头</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14:textFill>
                        <w14:solidFill>
                          <w14:schemeClr w14:val="tx1"/>
                        </w14:solidFill>
                      </w14:textFill>
                    </w:rPr>
                    <w:t>污水处理场所高浓度有机废气要单独收集处理</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14:textFill>
                        <w14:solidFill>
                          <w14:schemeClr w14:val="tx1"/>
                        </w14:solidFill>
                      </w14:textFill>
                    </w:rPr>
                    <w:t>含</w:t>
                  </w:r>
                  <w:r>
                    <w:rPr>
                      <w:rFonts w:hint="default"/>
                      <w:color w:val="000000" w:themeColor="text1"/>
                      <w:sz w:val="21"/>
                      <w:szCs w:val="21"/>
                      <w:highlight w:val="none"/>
                      <w:lang w:eastAsia="zh-CN"/>
                      <w14:textFill>
                        <w14:solidFill>
                          <w14:schemeClr w14:val="tx1"/>
                        </w14:solidFill>
                      </w14:textFill>
                    </w:rPr>
                    <w:t>VOCs</w:t>
                  </w:r>
                  <w:r>
                    <w:rPr>
                      <w:rFonts w:hint="eastAsia"/>
                      <w:color w:val="000000" w:themeColor="text1"/>
                      <w:sz w:val="21"/>
                      <w:szCs w:val="21"/>
                      <w:highlight w:val="none"/>
                      <w14:textFill>
                        <w14:solidFill>
                          <w14:schemeClr w14:val="tx1"/>
                        </w14:solidFill>
                      </w14:textFill>
                    </w:rPr>
                    <w:t>有机废水储罐、装置区集</w:t>
                  </w:r>
                  <w:r>
                    <w:rPr>
                      <w:rFonts w:hint="eastAsia" w:ascii="宋体" w:hAnsi="宋体" w:eastAsia="宋体" w:cs="宋体"/>
                      <w:color w:val="000000" w:themeColor="text1"/>
                      <w:sz w:val="21"/>
                      <w:szCs w:val="21"/>
                      <w:highlight w:val="none"/>
                      <w14:textFill>
                        <w14:solidFill>
                          <w14:schemeClr w14:val="tx1"/>
                        </w14:solidFill>
                      </w14:textFill>
                    </w:rPr>
                    <w:t>水井(池)有机废气要密闭收集处理</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推动各市(州)和重</w:t>
                  </w:r>
                  <w:r>
                    <w:rPr>
                      <w:rFonts w:hint="eastAsia"/>
                      <w:color w:val="000000" w:themeColor="text1"/>
                      <w:sz w:val="21"/>
                      <w:szCs w:val="21"/>
                      <w:highlight w:val="none"/>
                      <w14:textFill>
                        <w14:solidFill>
                          <w14:schemeClr w14:val="tx1"/>
                        </w14:solidFill>
                      </w14:textFill>
                    </w:rPr>
                    <w:t>点工业园区的泄漏检测与修复管理规范化、信息化</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14:textFill>
                        <w14:solidFill>
                          <w14:schemeClr w14:val="tx1"/>
                        </w14:solidFill>
                      </w14:textFill>
                    </w:rPr>
                    <w:t>加强非正常工况废气排放管控</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14:textFill>
                        <w14:solidFill>
                          <w14:schemeClr w14:val="tx1"/>
                        </w14:solidFill>
                      </w14:textFill>
                    </w:rPr>
                    <w:t>企业开停工、检维修期间</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14:textFill>
                        <w14:solidFill>
                          <w14:schemeClr w14:val="tx1"/>
                        </w14:solidFill>
                      </w14:textFill>
                    </w:rPr>
                    <w:t>及时收集处理退料、清洗、吹扫等作业产生的</w:t>
                  </w:r>
                  <w:r>
                    <w:rPr>
                      <w:rFonts w:hint="default"/>
                      <w:color w:val="000000" w:themeColor="text1"/>
                      <w:sz w:val="21"/>
                      <w:szCs w:val="21"/>
                      <w:highlight w:val="none"/>
                      <w:lang w:eastAsia="zh-CN"/>
                      <w14:textFill>
                        <w14:solidFill>
                          <w14:schemeClr w14:val="tx1"/>
                        </w14:solidFill>
                      </w14:textFill>
                    </w:rPr>
                    <w:t>VOCs</w:t>
                  </w:r>
                  <w:r>
                    <w:rPr>
                      <w:rFonts w:hint="eastAsia"/>
                      <w:color w:val="000000" w:themeColor="text1"/>
                      <w:sz w:val="21"/>
                      <w:szCs w:val="21"/>
                      <w:highlight w:val="none"/>
                      <w14:textFill>
                        <w14:solidFill>
                          <w14:schemeClr w14:val="tx1"/>
                        </w14:solidFill>
                      </w14:textFill>
                    </w:rPr>
                    <w:t>废气</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14:textFill>
                        <w14:solidFill>
                          <w14:schemeClr w14:val="tx1"/>
                        </w14:solidFill>
                      </w14:textFill>
                    </w:rPr>
                    <w:t>企业不得将火炬燃烧装置作为日常大气污染处理设施</w:t>
                  </w:r>
                  <w:r>
                    <w:rPr>
                      <w:rFonts w:hint="eastAsia"/>
                      <w:color w:val="000000" w:themeColor="text1"/>
                      <w:sz w:val="21"/>
                      <w:szCs w:val="21"/>
                      <w:highlight w:val="none"/>
                      <w:lang w:eastAsia="zh-CN"/>
                      <w14:textFill>
                        <w14:solidFill>
                          <w14:schemeClr w14:val="tx1"/>
                        </w14:solidFill>
                      </w14:textFill>
                    </w:rPr>
                    <w:t>。</w:t>
                  </w:r>
                </w:p>
              </w:tc>
              <w:tc>
                <w:tcPr>
                  <w:tcW w:w="1435" w:type="pct"/>
                  <w:shd w:val="clear" w:color="auto" w:fill="auto"/>
                  <w:vAlign w:val="center"/>
                </w:tcPr>
                <w:p w14:paraId="6362279F">
                  <w:pPr>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ascii="Times New Roman" w:hAnsi="Times New Roman" w:eastAsia="宋体" w:cstheme="minorBidi"/>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本项目水基岩屑和热脱附干渣采用密闭车辆进行运输至厂内，</w:t>
                  </w:r>
                  <w:r>
                    <w:rPr>
                      <w:rFonts w:hint="eastAsia" w:cs="Times New Roman"/>
                      <w:color w:val="000000" w:themeColor="text1"/>
                      <w:sz w:val="21"/>
                      <w:szCs w:val="21"/>
                      <w:highlight w:val="none"/>
                      <w:lang w:val="en-US" w:eastAsia="zh-CN"/>
                      <w14:textFill>
                        <w14:solidFill>
                          <w14:schemeClr w14:val="tx1"/>
                        </w14:solidFill>
                      </w14:textFill>
                    </w:rPr>
                    <w:t>水基岩屑和热脱附干渣中的含烃类物质（以非甲烷总烃计）随水基岩屑和热脱附干渣煅烧而直接焚烧处理后，经1根25m高排气筒（DA001）排放。</w:t>
                  </w:r>
                </w:p>
              </w:tc>
              <w:tc>
                <w:tcPr>
                  <w:tcW w:w="374" w:type="pct"/>
                  <w:shd w:val="clear" w:color="auto" w:fill="auto"/>
                  <w:vAlign w:val="center"/>
                </w:tcPr>
                <w:p w14:paraId="2B66CA5F">
                  <w:pPr>
                    <w:pStyle w:val="12"/>
                    <w:ind w:firstLine="0" w:firstLineChars="0"/>
                    <w:rPr>
                      <w:rFonts w:hint="eastAsia" w:ascii="Times New Roman" w:hAnsi="Times New Roman" w:eastAsia="宋体" w:cs="Times New Roman"/>
                      <w:b w:val="0"/>
                      <w:bCs/>
                      <w:kern w:val="0"/>
                      <w:sz w:val="21"/>
                      <w:szCs w:val="24"/>
                      <w:lang w:val="en-US" w:eastAsia="zh-CN" w:bidi="ar-SA"/>
                    </w:rPr>
                  </w:pPr>
                  <w:r>
                    <w:rPr>
                      <w:rFonts w:hint="eastAsia" w:cs="Times New Roman"/>
                      <w:lang w:val="en-US" w:eastAsia="zh-CN"/>
                    </w:rPr>
                    <w:t>符合</w:t>
                  </w:r>
                </w:p>
              </w:tc>
            </w:tr>
            <w:tr w14:paraId="017DA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14" w:type="pct"/>
                  <w:vMerge w:val="continue"/>
                  <w:shd w:val="clear" w:color="auto" w:fill="auto"/>
                  <w:vAlign w:val="center"/>
                </w:tcPr>
                <w:p w14:paraId="572A9B1C">
                  <w:pPr>
                    <w:spacing w:line="240" w:lineRule="auto"/>
                    <w:ind w:firstLine="0" w:firstLineChars="0"/>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p>
              </w:tc>
              <w:tc>
                <w:tcPr>
                  <w:tcW w:w="2275" w:type="pct"/>
                  <w:shd w:val="clear" w:color="auto" w:fill="auto"/>
                  <w:vAlign w:val="center"/>
                </w:tcPr>
                <w:p w14:paraId="7A99304C">
                  <w:pPr>
                    <w:spacing w:line="240" w:lineRule="auto"/>
                    <w:ind w:firstLine="0" w:firstLineChars="0"/>
                    <w:jc w:val="both"/>
                    <w:rPr>
                      <w:rFonts w:hint="default" w:ascii="Times New Roman" w:hAnsi="Times New Roman" w:eastAsia="宋体" w:cstheme="minorBidi"/>
                      <w:color w:val="000000" w:themeColor="text1"/>
                      <w:kern w:val="2"/>
                      <w:sz w:val="21"/>
                      <w:szCs w:val="21"/>
                      <w:highlight w:val="none"/>
                      <w:lang w:val="en-US" w:eastAsia="zh-CN" w:bidi="ar-SA"/>
                      <w14:textFill>
                        <w14:solidFill>
                          <w14:schemeClr w14:val="tx1"/>
                        </w14:solidFill>
                      </w14:textFill>
                    </w:rPr>
                  </w:pPr>
                  <w:r>
                    <w:rPr>
                      <w:rFonts w:hint="default"/>
                      <w:color w:val="000000" w:themeColor="text1"/>
                      <w:sz w:val="21"/>
                      <w:szCs w:val="21"/>
                      <w:highlight w:val="none"/>
                      <w14:textFill>
                        <w14:solidFill>
                          <w14:schemeClr w14:val="tx1"/>
                        </w14:solidFill>
                      </w14:textFill>
                    </w:rPr>
                    <w:t>开展餐饮油烟、恶臭异味专项治理。拟开设餐饮服务单位的建筑应建设专用烟道。城市建成区产生油烟的餐饮服务单位应当全部安装油烟净化装置或采取等效措施，做好定期维护。推动成都市等有条件的地区实施第三方运维管理、运行状态监控。因地制宜解决人民群众反映集中的油烟及恶臭异味扰民问题，投诉集中的工业园区、重点企业要安装运行在线监测系统。</w:t>
                  </w:r>
                </w:p>
              </w:tc>
              <w:tc>
                <w:tcPr>
                  <w:tcW w:w="1435" w:type="pct"/>
                  <w:shd w:val="clear" w:color="auto" w:fill="auto"/>
                  <w:vAlign w:val="center"/>
                </w:tcPr>
                <w:p w14:paraId="38B38A3D">
                  <w:pPr>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ascii="Times New Roman" w:hAnsi="Times New Roman" w:eastAsia="宋体" w:cstheme="minorBidi"/>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本项目产生的食堂油烟依托已建的油烟净化器处理后达标引至楼顶排放；煅烧工序异味经煅烧后有效去除；车间异味经密闭厂房+喷洒除臭剂得到有效治理。</w:t>
                  </w:r>
                </w:p>
              </w:tc>
              <w:tc>
                <w:tcPr>
                  <w:tcW w:w="374" w:type="pct"/>
                  <w:shd w:val="clear" w:color="auto" w:fill="auto"/>
                  <w:vAlign w:val="center"/>
                </w:tcPr>
                <w:p w14:paraId="254A059A">
                  <w:pPr>
                    <w:pStyle w:val="12"/>
                    <w:ind w:firstLine="0" w:firstLineChars="0"/>
                    <w:rPr>
                      <w:rFonts w:hint="eastAsia" w:ascii="Times New Roman" w:hAnsi="Times New Roman" w:eastAsia="宋体" w:cs="Times New Roman"/>
                      <w:b w:val="0"/>
                      <w:bCs/>
                      <w:kern w:val="0"/>
                      <w:sz w:val="21"/>
                      <w:szCs w:val="24"/>
                      <w:lang w:val="en-US" w:eastAsia="zh-CN" w:bidi="ar-SA"/>
                    </w:rPr>
                  </w:pPr>
                  <w:r>
                    <w:rPr>
                      <w:rFonts w:hint="eastAsia" w:cs="Times New Roman"/>
                      <w:lang w:val="en-US" w:eastAsia="zh-CN"/>
                    </w:rPr>
                    <w:t>符合</w:t>
                  </w:r>
                </w:p>
              </w:tc>
            </w:tr>
            <w:tr w14:paraId="72201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14" w:type="pct"/>
                  <w:shd w:val="clear" w:color="auto" w:fill="auto"/>
                  <w:vAlign w:val="center"/>
                </w:tcPr>
                <w:p w14:paraId="5260EA3F">
                  <w:pPr>
                    <w:pStyle w:val="12"/>
                    <w:rPr>
                      <w:rFonts w:cs="Times New Roman"/>
                    </w:rPr>
                  </w:pPr>
                  <w:r>
                    <w:rPr>
                      <w:rFonts w:cs="Times New Roman"/>
                    </w:rPr>
                    <w:t>《四川省打赢蓝天保卫战实施方案》（川府发</w:t>
                  </w:r>
                  <w:r>
                    <w:rPr>
                      <w:rFonts w:hint="eastAsia" w:cs="Times New Roman"/>
                      <w:lang w:eastAsia="zh-CN"/>
                    </w:rPr>
                    <w:t>〔2019〕4号</w:t>
                  </w:r>
                  <w:r>
                    <w:rPr>
                      <w:rFonts w:cs="Times New Roman"/>
                    </w:rPr>
                    <w:t>）</w:t>
                  </w:r>
                </w:p>
              </w:tc>
              <w:tc>
                <w:tcPr>
                  <w:tcW w:w="2275" w:type="pct"/>
                  <w:shd w:val="clear" w:color="auto" w:fill="auto"/>
                  <w:vAlign w:val="center"/>
                </w:tcPr>
                <w:p w14:paraId="15646739">
                  <w:pPr>
                    <w:pStyle w:val="12"/>
                    <w:rPr>
                      <w:rFonts w:cs="Times New Roman"/>
                    </w:rPr>
                  </w:pPr>
                  <w:r>
                    <w:rPr>
                      <w:rFonts w:hint="eastAsia"/>
                    </w:rPr>
                    <w:t>三、重点任务（四）加强扬尘管控，提高城市环境管理水平。强化堆场扬尘管控。工业企业堆场实施规范化全封闭管理。并采取覆盖措施有效控制扬尘污染；堆场内进行搅拌、破碎、筛分等作业时应喷水抑尘，遇重污染天气时禁止进行产生扬尘的作业。物料装卸配备喷淋等防尘措施，转运物料尽量采取封闭式皮带输送。厂区主要运输通道实施硬化并定期冲洗或湿式清扫，堆场进出口设车辆冲洗设施，运输车辆实施密闭或全覆盖，及时收集清理堆场外道路上洒落的物料。</w:t>
                  </w:r>
                </w:p>
              </w:tc>
              <w:tc>
                <w:tcPr>
                  <w:tcW w:w="1435" w:type="pct"/>
                  <w:shd w:val="clear" w:color="auto" w:fill="auto"/>
                  <w:vAlign w:val="center"/>
                </w:tcPr>
                <w:p w14:paraId="47D8B8C5">
                  <w:pPr>
                    <w:pStyle w:val="12"/>
                  </w:pPr>
                  <w:r>
                    <w:rPr>
                      <w:rFonts w:hint="eastAsia"/>
                    </w:rPr>
                    <w:t>本项目</w:t>
                  </w:r>
                  <w:r>
                    <w:rPr>
                      <w:rFonts w:hint="eastAsia"/>
                      <w:lang w:eastAsia="zh-CN"/>
                    </w:rPr>
                    <w:t>水基岩屑堆存区</w:t>
                  </w:r>
                  <w:r>
                    <w:rPr>
                      <w:rFonts w:hint="eastAsia"/>
                    </w:rPr>
                    <w:t>、</w:t>
                  </w:r>
                  <w:r>
                    <w:rPr>
                      <w:rFonts w:hint="eastAsia"/>
                      <w:lang w:val="en-US" w:eastAsia="zh-CN"/>
                    </w:rPr>
                    <w:t>热脱附干渣堆存区、</w:t>
                  </w:r>
                  <w:r>
                    <w:rPr>
                      <w:rFonts w:hint="eastAsia"/>
                    </w:rPr>
                    <w:t>水基岩屑</w:t>
                  </w:r>
                  <w:r>
                    <w:rPr>
                      <w:rFonts w:hint="eastAsia"/>
                      <w:lang w:val="en-US" w:eastAsia="zh-CN"/>
                    </w:rPr>
                    <w:t>储存池</w:t>
                  </w:r>
                  <w:r>
                    <w:rPr>
                      <w:rFonts w:hint="eastAsia"/>
                    </w:rPr>
                    <w:t>和砂石</w:t>
                  </w:r>
                  <w:r>
                    <w:rPr>
                      <w:rFonts w:hint="eastAsia"/>
                      <w:lang w:val="en-US" w:eastAsia="zh-CN"/>
                    </w:rPr>
                    <w:t>堆放区、水泥筒仓</w:t>
                  </w:r>
                  <w:r>
                    <w:rPr>
                      <w:rFonts w:hint="eastAsia"/>
                    </w:rPr>
                    <w:t>均位于厂房内，厂房起围挡作用，受风力起尘影响较小；水基岩屑</w:t>
                  </w:r>
                  <w:r>
                    <w:rPr>
                      <w:rFonts w:hint="eastAsia"/>
                      <w:lang w:eastAsia="zh-CN"/>
                    </w:rPr>
                    <w:t>、</w:t>
                  </w:r>
                  <w:r>
                    <w:rPr>
                      <w:rFonts w:hint="eastAsia"/>
                      <w:lang w:val="en-US" w:eastAsia="zh-CN"/>
                    </w:rPr>
                    <w:t>热脱附干渣、水泥和</w:t>
                  </w:r>
                  <w:r>
                    <w:rPr>
                      <w:rFonts w:hint="eastAsia"/>
                    </w:rPr>
                    <w:t>砂石在</w:t>
                  </w:r>
                  <w:r>
                    <w:rPr>
                      <w:rFonts w:hint="eastAsia"/>
                      <w:lang w:val="en-US" w:eastAsia="zh-CN"/>
                    </w:rPr>
                    <w:t>使用</w:t>
                  </w:r>
                  <w:r>
                    <w:rPr>
                      <w:rFonts w:hint="eastAsia"/>
                    </w:rPr>
                    <w:t>过程采用封闭式输送带输送；厂区道路已硬化；定期对车间及周边区域进行地面冲洗；在水基岩屑储存池位置设置有车辆冲洗区域；水基岩屑</w:t>
                  </w:r>
                  <w:r>
                    <w:rPr>
                      <w:rFonts w:hint="eastAsia"/>
                      <w:lang w:eastAsia="zh-CN"/>
                    </w:rPr>
                    <w:t>、</w:t>
                  </w:r>
                  <w:r>
                    <w:rPr>
                      <w:rFonts w:hint="eastAsia"/>
                      <w:lang w:val="en-US" w:eastAsia="zh-CN"/>
                    </w:rPr>
                    <w:t>热脱附干渣</w:t>
                  </w:r>
                  <w:r>
                    <w:rPr>
                      <w:rFonts w:hint="eastAsia"/>
                    </w:rPr>
                    <w:t>通过密闭车辆或罐装车辆运输至厂房内。</w:t>
                  </w:r>
                </w:p>
              </w:tc>
              <w:tc>
                <w:tcPr>
                  <w:tcW w:w="374" w:type="pct"/>
                  <w:shd w:val="clear" w:color="auto" w:fill="auto"/>
                  <w:vAlign w:val="center"/>
                </w:tcPr>
                <w:p w14:paraId="603526D8">
                  <w:pPr>
                    <w:pStyle w:val="12"/>
                    <w:rPr>
                      <w:rFonts w:cs="Times New Roman"/>
                    </w:rPr>
                  </w:pPr>
                  <w:r>
                    <w:rPr>
                      <w:rFonts w:cs="Times New Roman"/>
                    </w:rPr>
                    <w:t>符合</w:t>
                  </w:r>
                </w:p>
              </w:tc>
            </w:tr>
            <w:tr w14:paraId="1F8E3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14" w:type="pct"/>
                  <w:vMerge w:val="restart"/>
                  <w:shd w:val="clear" w:color="auto" w:fill="auto"/>
                  <w:vAlign w:val="center"/>
                </w:tcPr>
                <w:p w14:paraId="06DF160F">
                  <w:pPr>
                    <w:pStyle w:val="12"/>
                    <w:rPr>
                      <w:rFonts w:cs="Times New Roman"/>
                    </w:rPr>
                  </w:pPr>
                  <w:r>
                    <w:rPr>
                      <w:rFonts w:cs="Times New Roman"/>
                    </w:rPr>
                    <w:t>《巴中市空气质量持续改善行动计划实施方案》（巴府发</w:t>
                  </w:r>
                  <w:r>
                    <w:rPr>
                      <w:rFonts w:hint="eastAsia" w:cs="Times New Roman"/>
                      <w:lang w:eastAsia="zh-CN"/>
                    </w:rPr>
                    <w:t>〔2025〕1号</w:t>
                  </w:r>
                  <w:r>
                    <w:rPr>
                      <w:rFonts w:cs="Times New Roman"/>
                    </w:rPr>
                    <w:t>）</w:t>
                  </w:r>
                </w:p>
              </w:tc>
              <w:tc>
                <w:tcPr>
                  <w:tcW w:w="2275" w:type="pct"/>
                  <w:shd w:val="clear" w:color="auto" w:fill="auto"/>
                  <w:vAlign w:val="center"/>
                </w:tcPr>
                <w:p w14:paraId="375DF1AD">
                  <w:pPr>
                    <w:pStyle w:val="12"/>
                    <w:rPr>
                      <w:rFonts w:cs="Times New Roman"/>
                    </w:rPr>
                  </w:pPr>
                  <w:r>
                    <w:rPr>
                      <w:rFonts w:cs="Times New Roman"/>
                    </w:rPr>
                    <w:t>坚决遏制高耗能、高排放、低水平项目盲目上马，新（改、扩）建项目要严格落实国（省）产业规划、产业政策、生态环境分区管控、规划环评、项目环评、节能审查、产能置换、重点污染物总量控制、污染物排放区域削减、碳排放碳达峰目标等相关要求，原则上采用清洁运输方式。</w:t>
                  </w:r>
                </w:p>
              </w:tc>
              <w:tc>
                <w:tcPr>
                  <w:tcW w:w="1435" w:type="pct"/>
                  <w:shd w:val="clear" w:color="auto" w:fill="auto"/>
                  <w:vAlign w:val="center"/>
                </w:tcPr>
                <w:p w14:paraId="2A0D447A">
                  <w:pPr>
                    <w:pStyle w:val="12"/>
                    <w:rPr>
                      <w:rFonts w:cs="Times New Roman"/>
                    </w:rPr>
                  </w:pPr>
                  <w:r>
                    <w:rPr>
                      <w:rFonts w:cs="Times New Roman"/>
                    </w:rPr>
                    <w:t>本项目不属于高耗能、高排放、低水平项目，项目符合产业规划、产业政策、生态环境分区管控、规划环评等相关要求。</w:t>
                  </w:r>
                </w:p>
              </w:tc>
              <w:tc>
                <w:tcPr>
                  <w:tcW w:w="374" w:type="pct"/>
                  <w:shd w:val="clear" w:color="auto" w:fill="auto"/>
                  <w:vAlign w:val="center"/>
                </w:tcPr>
                <w:p w14:paraId="5A08D2DC">
                  <w:pPr>
                    <w:pStyle w:val="12"/>
                    <w:rPr>
                      <w:rFonts w:cs="Times New Roman"/>
                    </w:rPr>
                  </w:pPr>
                  <w:r>
                    <w:rPr>
                      <w:rFonts w:cs="Times New Roman"/>
                    </w:rPr>
                    <w:t>符合</w:t>
                  </w:r>
                </w:p>
              </w:tc>
            </w:tr>
            <w:tr w14:paraId="6C6D3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14" w:type="pct"/>
                  <w:vMerge w:val="continue"/>
                  <w:shd w:val="clear" w:color="auto" w:fill="auto"/>
                  <w:vAlign w:val="center"/>
                </w:tcPr>
                <w:p w14:paraId="2E5DC4E1">
                  <w:pPr>
                    <w:pStyle w:val="12"/>
                    <w:rPr>
                      <w:rFonts w:cs="Times New Roman"/>
                    </w:rPr>
                  </w:pPr>
                </w:p>
              </w:tc>
              <w:tc>
                <w:tcPr>
                  <w:tcW w:w="2275" w:type="pct"/>
                  <w:shd w:val="clear" w:color="auto" w:fill="auto"/>
                  <w:vAlign w:val="center"/>
                </w:tcPr>
                <w:p w14:paraId="5E56A97A">
                  <w:pPr>
                    <w:pStyle w:val="12"/>
                    <w:rPr>
                      <w:rFonts w:cs="Times New Roman"/>
                    </w:rPr>
                  </w:pPr>
                  <w:r>
                    <w:rPr>
                      <w:rFonts w:cs="Times New Roman"/>
                    </w:rPr>
                    <w:t>加快重点行业落后产能淘汰。严格执行《产业结构调整指导目录（2024年本）》，制定实施年度落后产能退出工作方案，依法依规推动落后产能退出，支持限制类涉气行业工艺装备通过等量或减量置换退出或进行深度治理、超低排放改造。</w:t>
                  </w:r>
                </w:p>
              </w:tc>
              <w:tc>
                <w:tcPr>
                  <w:tcW w:w="1435" w:type="pct"/>
                  <w:shd w:val="clear" w:color="auto" w:fill="auto"/>
                  <w:vAlign w:val="center"/>
                </w:tcPr>
                <w:p w14:paraId="3DB0A0EF">
                  <w:pPr>
                    <w:pStyle w:val="12"/>
                    <w:rPr>
                      <w:rFonts w:cs="Times New Roman"/>
                    </w:rPr>
                  </w:pPr>
                  <w:r>
                    <w:rPr>
                      <w:rFonts w:cs="Times New Roman"/>
                    </w:rPr>
                    <w:t>本项目对照《产业结构调整指导目录（2024年本）》，属</w:t>
                  </w:r>
                  <w:r>
                    <w:rPr>
                      <w:rFonts w:hint="eastAsia" w:cs="Times New Roman"/>
                    </w:rPr>
                    <w:t>鼓励</w:t>
                  </w:r>
                  <w:r>
                    <w:rPr>
                      <w:rFonts w:cs="Times New Roman"/>
                    </w:rPr>
                    <w:t>类项目。</w:t>
                  </w:r>
                </w:p>
              </w:tc>
              <w:tc>
                <w:tcPr>
                  <w:tcW w:w="374" w:type="pct"/>
                  <w:shd w:val="clear" w:color="auto" w:fill="auto"/>
                  <w:vAlign w:val="center"/>
                </w:tcPr>
                <w:p w14:paraId="3C1AD514">
                  <w:pPr>
                    <w:pStyle w:val="12"/>
                    <w:rPr>
                      <w:rFonts w:cs="Times New Roman"/>
                    </w:rPr>
                  </w:pPr>
                  <w:r>
                    <w:rPr>
                      <w:rFonts w:cs="Times New Roman"/>
                    </w:rPr>
                    <w:t>符合</w:t>
                  </w:r>
                </w:p>
              </w:tc>
            </w:tr>
            <w:tr w14:paraId="743F3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14" w:type="pct"/>
                  <w:vMerge w:val="continue"/>
                  <w:shd w:val="clear" w:color="auto" w:fill="auto"/>
                  <w:vAlign w:val="center"/>
                </w:tcPr>
                <w:p w14:paraId="345A4E28">
                  <w:pPr>
                    <w:pStyle w:val="12"/>
                    <w:rPr>
                      <w:rFonts w:cs="Times New Roman"/>
                    </w:rPr>
                  </w:pPr>
                </w:p>
              </w:tc>
              <w:tc>
                <w:tcPr>
                  <w:tcW w:w="2275" w:type="pct"/>
                  <w:shd w:val="clear" w:color="auto" w:fill="auto"/>
                  <w:vAlign w:val="center"/>
                </w:tcPr>
                <w:p w14:paraId="07751892">
                  <w:pPr>
                    <w:pStyle w:val="12"/>
                    <w:rPr>
                      <w:rFonts w:cs="Times New Roman"/>
                    </w:rPr>
                  </w:pPr>
                  <w:r>
                    <w:rPr>
                      <w:rFonts w:cs="Times New Roman"/>
                    </w:rPr>
                    <w:t>大力推进工业炉窑清洁化改造。有序推进以电代煤，积极稳妥推进以气代煤。巴州区、恩阳区、巴中经开区原则上不再新增燃料类煤气发生炉，现有的煤气发生炉逐步实行清洁能源替代，或因地制宜采取园区（集群）集中供气、分散使用方式。新（改、扩）建加热炉、热处理炉、干燥炉、熔化炉原则上采用清洁低碳能源。</w:t>
                  </w:r>
                </w:p>
              </w:tc>
              <w:tc>
                <w:tcPr>
                  <w:tcW w:w="1435" w:type="pct"/>
                  <w:shd w:val="clear" w:color="auto" w:fill="auto"/>
                  <w:vAlign w:val="center"/>
                </w:tcPr>
                <w:p w14:paraId="323C49D2">
                  <w:pPr>
                    <w:pStyle w:val="12"/>
                    <w:rPr>
                      <w:rFonts w:cs="Times New Roman"/>
                    </w:rPr>
                  </w:pPr>
                  <w:r>
                    <w:rPr>
                      <w:rFonts w:cs="Times New Roman"/>
                    </w:rPr>
                    <w:t>本项目</w:t>
                  </w:r>
                  <w:r>
                    <w:rPr>
                      <w:rFonts w:hint="eastAsia" w:cs="Times New Roman"/>
                      <w:lang w:eastAsia="zh-CN"/>
                    </w:rPr>
                    <w:t>煅烧</w:t>
                  </w:r>
                  <w:r>
                    <w:rPr>
                      <w:rFonts w:hint="eastAsia" w:cs="Times New Roman"/>
                      <w:lang w:val="en-US" w:eastAsia="zh-CN"/>
                    </w:rPr>
                    <w:t>窑</w:t>
                  </w:r>
                  <w:r>
                    <w:rPr>
                      <w:rFonts w:cs="Times New Roman"/>
                    </w:rPr>
                    <w:t>采用天然气为燃料，属清洁能源。</w:t>
                  </w:r>
                </w:p>
              </w:tc>
              <w:tc>
                <w:tcPr>
                  <w:tcW w:w="374" w:type="pct"/>
                  <w:shd w:val="clear" w:color="auto" w:fill="auto"/>
                  <w:vAlign w:val="center"/>
                </w:tcPr>
                <w:p w14:paraId="4DE8BA48">
                  <w:pPr>
                    <w:pStyle w:val="12"/>
                    <w:rPr>
                      <w:rFonts w:cs="Times New Roman"/>
                    </w:rPr>
                  </w:pPr>
                  <w:r>
                    <w:rPr>
                      <w:rFonts w:cs="Times New Roman"/>
                    </w:rPr>
                    <w:t>符合</w:t>
                  </w:r>
                </w:p>
              </w:tc>
            </w:tr>
            <w:tr w14:paraId="37F69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14" w:type="pct"/>
                  <w:vMerge w:val="continue"/>
                  <w:shd w:val="clear" w:color="auto" w:fill="auto"/>
                  <w:vAlign w:val="center"/>
                </w:tcPr>
                <w:p w14:paraId="15DADFDB">
                  <w:pPr>
                    <w:pStyle w:val="12"/>
                    <w:rPr>
                      <w:rFonts w:cs="Times New Roman"/>
                    </w:rPr>
                  </w:pPr>
                </w:p>
              </w:tc>
              <w:tc>
                <w:tcPr>
                  <w:tcW w:w="2275" w:type="pct"/>
                  <w:shd w:val="clear" w:color="auto" w:fill="auto"/>
                  <w:vAlign w:val="center"/>
                </w:tcPr>
                <w:p w14:paraId="08CA8A96">
                  <w:pPr>
                    <w:pStyle w:val="12"/>
                    <w:rPr>
                      <w:rFonts w:cs="Times New Roman"/>
                    </w:rPr>
                  </w:pPr>
                  <w:r>
                    <w:rPr>
                      <w:rFonts w:cs="Times New Roman"/>
                    </w:rPr>
                    <w:t>深化扬尘污染综合治理。严格落实《四川省建筑工程施工扬尘防治标准》要求，推行绿色标杆工地创建，建设用地面积5000平方米及以上且施工周期6个月及以上的建筑工地安装视频监控并接入监管平台。</w:t>
                  </w:r>
                </w:p>
              </w:tc>
              <w:tc>
                <w:tcPr>
                  <w:tcW w:w="1435" w:type="pct"/>
                  <w:shd w:val="clear" w:color="auto" w:fill="auto"/>
                  <w:vAlign w:val="center"/>
                </w:tcPr>
                <w:p w14:paraId="5D334E8B">
                  <w:pPr>
                    <w:pStyle w:val="12"/>
                    <w:rPr>
                      <w:rFonts w:cs="Times New Roman"/>
                    </w:rPr>
                  </w:pPr>
                  <w:r>
                    <w:rPr>
                      <w:rFonts w:cs="Times New Roman"/>
                    </w:rPr>
                    <w:t>本项目租用已建成厂房建设，施工期较短（6个月），施工期严格落实本次评价提出的扬尘控制措施，文明施工，绿色施工。</w:t>
                  </w:r>
                </w:p>
              </w:tc>
              <w:tc>
                <w:tcPr>
                  <w:tcW w:w="374" w:type="pct"/>
                  <w:shd w:val="clear" w:color="auto" w:fill="auto"/>
                  <w:vAlign w:val="center"/>
                </w:tcPr>
                <w:p w14:paraId="1459113A">
                  <w:pPr>
                    <w:pStyle w:val="12"/>
                    <w:rPr>
                      <w:rFonts w:cs="Times New Roman"/>
                    </w:rPr>
                  </w:pPr>
                  <w:r>
                    <w:rPr>
                      <w:rFonts w:cs="Times New Roman"/>
                    </w:rPr>
                    <w:t>符合</w:t>
                  </w:r>
                </w:p>
              </w:tc>
            </w:tr>
            <w:tr w14:paraId="657CC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14" w:type="pct"/>
                  <w:shd w:val="clear" w:color="auto" w:fill="auto"/>
                  <w:vAlign w:val="center"/>
                </w:tcPr>
                <w:p w14:paraId="2C964833">
                  <w:pPr>
                    <w:pStyle w:val="12"/>
                    <w:rPr>
                      <w:rFonts w:cs="Times New Roman"/>
                    </w:rPr>
                  </w:pPr>
                  <w:r>
                    <w:rPr>
                      <w:rFonts w:hint="eastAsia" w:cs="Times New Roman"/>
                    </w:rPr>
                    <w:t>《巴中市扬尘污染防治条例》</w:t>
                  </w:r>
                </w:p>
              </w:tc>
              <w:tc>
                <w:tcPr>
                  <w:tcW w:w="2275" w:type="pct"/>
                  <w:shd w:val="clear" w:color="auto" w:fill="auto"/>
                  <w:vAlign w:val="center"/>
                </w:tcPr>
                <w:p w14:paraId="1C5C8CBE">
                  <w:pPr>
                    <w:pStyle w:val="12"/>
                    <w:rPr>
                      <w:rFonts w:cs="Times New Roman"/>
                    </w:rPr>
                  </w:pPr>
                  <w:r>
                    <w:rPr>
                      <w:rFonts w:cs="Times New Roman"/>
                      <w:szCs w:val="21"/>
                    </w:rPr>
                    <w:t>第三十二条工业生产企业在物料堆存、传输、装卸等环节，应当按照法律法规和其他规定采取密闭、围挡、遮盖、清扫、洒水等防尘措施，符合工业物料堆场有关技术规范。易产生粉尘的工业生产企业，应当配套建设粉尘收集处理设施，鼓励采用先进的清洁生产工艺，减少粉尘排放。</w:t>
                  </w:r>
                </w:p>
              </w:tc>
              <w:tc>
                <w:tcPr>
                  <w:tcW w:w="1435" w:type="pct"/>
                  <w:shd w:val="clear" w:color="auto" w:fill="auto"/>
                  <w:vAlign w:val="center"/>
                </w:tcPr>
                <w:p w14:paraId="2590220D">
                  <w:pPr>
                    <w:pStyle w:val="12"/>
                    <w:rPr>
                      <w:rFonts w:hint="eastAsia" w:cs="Times New Roman"/>
                    </w:rPr>
                  </w:pPr>
                  <w:r>
                    <w:rPr>
                      <w:rFonts w:hint="eastAsia" w:cs="Times New Roman"/>
                    </w:rPr>
                    <w:t>原料堆存在密闭车间内；</w:t>
                  </w:r>
                  <w:r>
                    <w:rPr>
                      <w:rFonts w:hint="eastAsia" w:cs="Times New Roman"/>
                      <w:lang w:val="en-US" w:eastAsia="zh-CN"/>
                    </w:rPr>
                    <w:t>成品堆存设置三面围挡+顶棚+洒水等防尘措施；</w:t>
                  </w:r>
                  <w:r>
                    <w:rPr>
                      <w:rFonts w:hint="eastAsia" w:cs="Times New Roman"/>
                    </w:rPr>
                    <w:t>运输过程采用密闭传送带，生产过程各环节产生的粉尘均有效收集处理；设置洗车区对车辆轮胎进行冲洗；厂内道路硬化，定期清扫和洒水降尘。</w:t>
                  </w:r>
                </w:p>
              </w:tc>
              <w:tc>
                <w:tcPr>
                  <w:tcW w:w="374" w:type="pct"/>
                  <w:shd w:val="clear" w:color="auto" w:fill="auto"/>
                  <w:vAlign w:val="center"/>
                </w:tcPr>
                <w:p w14:paraId="25771C13">
                  <w:pPr>
                    <w:pStyle w:val="12"/>
                    <w:rPr>
                      <w:rFonts w:cs="Times New Roman"/>
                    </w:rPr>
                  </w:pPr>
                  <w:r>
                    <w:rPr>
                      <w:rFonts w:hint="eastAsia" w:cs="Times New Roman"/>
                    </w:rPr>
                    <w:t>符合</w:t>
                  </w:r>
                </w:p>
              </w:tc>
            </w:tr>
          </w:tbl>
          <w:p w14:paraId="52F63ACA">
            <w:pPr>
              <w:ind w:firstLine="480"/>
              <w:rPr>
                <w:rFonts w:cs="Times New Roman"/>
              </w:rPr>
            </w:pPr>
            <w:r>
              <w:rPr>
                <w:rFonts w:cs="Times New Roman"/>
              </w:rPr>
              <w:t>综上所述，本项目符合大气污染防治相关的法规、规范要求。</w:t>
            </w:r>
          </w:p>
          <w:p w14:paraId="2A5FB795">
            <w:pPr>
              <w:pStyle w:val="3"/>
              <w:spacing w:before="163"/>
            </w:pPr>
            <w:r>
              <w:rPr>
                <w:rFonts w:hint="eastAsia"/>
                <w:lang w:val="en-US" w:eastAsia="zh-CN"/>
              </w:rPr>
              <w:t>6</w:t>
            </w:r>
            <w:r>
              <w:t>、与水污染防治相关要求符合性分析</w:t>
            </w:r>
          </w:p>
          <w:p w14:paraId="03BB809C">
            <w:pPr>
              <w:pStyle w:val="11"/>
              <w:keepNext/>
              <w:rPr>
                <w:rFonts w:cs="Times New Roman"/>
              </w:rPr>
            </w:pPr>
            <w:r>
              <w:rPr>
                <w:rFonts w:cs="Times New Roman"/>
              </w:rPr>
              <w:t>表</w:t>
            </w:r>
            <w:r>
              <w:rPr>
                <w:rFonts w:hint="eastAsia" w:cs="Times New Roman"/>
                <w:lang w:val="en-US" w:eastAsia="zh-CN"/>
              </w:rPr>
              <w:t>1</w:t>
            </w:r>
            <w:r>
              <w:rPr>
                <w:rFonts w:cs="Times New Roman"/>
              </w:rPr>
              <w:noBreakHyphen/>
            </w:r>
            <w:r>
              <w:rPr>
                <w:rFonts w:cs="Times New Roman"/>
              </w:rPr>
              <w:fldChar w:fldCharType="begin"/>
            </w:r>
            <w:r>
              <w:rPr>
                <w:rFonts w:cs="Times New Roman"/>
              </w:rPr>
              <w:instrText xml:space="preserve"> SEQ 表 \* ARABIC \s 1 </w:instrText>
            </w:r>
            <w:r>
              <w:rPr>
                <w:rFonts w:cs="Times New Roman"/>
              </w:rPr>
              <w:fldChar w:fldCharType="separate"/>
            </w:r>
            <w:r>
              <w:rPr>
                <w:rFonts w:cs="Times New Roman"/>
              </w:rPr>
              <w:t>9</w:t>
            </w:r>
            <w:r>
              <w:rPr>
                <w:rFonts w:cs="Times New Roman"/>
              </w:rPr>
              <w:fldChar w:fldCharType="end"/>
            </w:r>
            <w:r>
              <w:rPr>
                <w:rFonts w:cs="Times New Roman"/>
              </w:rPr>
              <w:t xml:space="preserve"> 项目与水污染防治相关要求符合性分析</w:t>
            </w:r>
          </w:p>
          <w:tbl>
            <w:tblPr>
              <w:tblStyle w:val="2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6"/>
              <w:gridCol w:w="4692"/>
              <w:gridCol w:w="2357"/>
              <w:gridCol w:w="701"/>
            </w:tblGrid>
            <w:tr w14:paraId="6D653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99" w:type="pct"/>
                  <w:shd w:val="clear" w:color="auto" w:fill="auto"/>
                  <w:vAlign w:val="center"/>
                </w:tcPr>
                <w:p w14:paraId="28803DC8">
                  <w:pPr>
                    <w:pStyle w:val="45"/>
                    <w:rPr>
                      <w:rFonts w:cs="Times New Roman"/>
                    </w:rPr>
                  </w:pPr>
                  <w:bookmarkStart w:id="26" w:name="_Hlk206146367"/>
                  <w:r>
                    <w:rPr>
                      <w:rFonts w:cs="Times New Roman"/>
                    </w:rPr>
                    <w:t>规划名称</w:t>
                  </w:r>
                </w:p>
              </w:tc>
              <w:tc>
                <w:tcPr>
                  <w:tcW w:w="2664" w:type="pct"/>
                  <w:shd w:val="clear" w:color="auto" w:fill="auto"/>
                  <w:vAlign w:val="center"/>
                </w:tcPr>
                <w:p w14:paraId="5ACEFABF">
                  <w:pPr>
                    <w:pStyle w:val="45"/>
                    <w:rPr>
                      <w:rFonts w:cs="Times New Roman"/>
                    </w:rPr>
                  </w:pPr>
                  <w:r>
                    <w:rPr>
                      <w:rFonts w:cs="Times New Roman"/>
                    </w:rPr>
                    <w:t>内容</w:t>
                  </w:r>
                </w:p>
              </w:tc>
              <w:tc>
                <w:tcPr>
                  <w:tcW w:w="1338" w:type="pct"/>
                  <w:shd w:val="clear" w:color="auto" w:fill="auto"/>
                  <w:vAlign w:val="center"/>
                </w:tcPr>
                <w:p w14:paraId="51764A1A">
                  <w:pPr>
                    <w:pStyle w:val="45"/>
                    <w:rPr>
                      <w:rFonts w:cs="Times New Roman"/>
                    </w:rPr>
                  </w:pPr>
                  <w:r>
                    <w:rPr>
                      <w:rFonts w:cs="Times New Roman"/>
                    </w:rPr>
                    <w:t>本项目情况</w:t>
                  </w:r>
                </w:p>
              </w:tc>
              <w:tc>
                <w:tcPr>
                  <w:tcW w:w="398" w:type="pct"/>
                  <w:shd w:val="clear" w:color="auto" w:fill="auto"/>
                  <w:vAlign w:val="center"/>
                </w:tcPr>
                <w:p w14:paraId="4205A3AF">
                  <w:pPr>
                    <w:pStyle w:val="45"/>
                    <w:rPr>
                      <w:rFonts w:cs="Times New Roman"/>
                    </w:rPr>
                  </w:pPr>
                  <w:r>
                    <w:rPr>
                      <w:rFonts w:cs="Times New Roman"/>
                    </w:rPr>
                    <w:t>符合性</w:t>
                  </w:r>
                </w:p>
              </w:tc>
            </w:tr>
            <w:bookmarkEnd w:id="26"/>
            <w:tr w14:paraId="45532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99" w:type="pct"/>
                  <w:vMerge w:val="restart"/>
                  <w:shd w:val="clear" w:color="auto" w:fill="auto"/>
                  <w:vAlign w:val="center"/>
                </w:tcPr>
                <w:p w14:paraId="117E160F">
                  <w:pPr>
                    <w:pStyle w:val="12"/>
                    <w:rPr>
                      <w:rFonts w:cs="Times New Roman"/>
                      <w:szCs w:val="21"/>
                    </w:rPr>
                  </w:pPr>
                  <w:r>
                    <w:rPr>
                      <w:rFonts w:cs="Times New Roman"/>
                      <w:szCs w:val="21"/>
                    </w:rPr>
                    <w:t>《四川省、重庆市长江经</w:t>
                  </w:r>
                </w:p>
                <w:p w14:paraId="59F73084">
                  <w:pPr>
                    <w:pStyle w:val="12"/>
                    <w:rPr>
                      <w:rFonts w:cs="Times New Roman"/>
                    </w:rPr>
                  </w:pPr>
                  <w:r>
                    <w:rPr>
                      <w:rFonts w:cs="Times New Roman"/>
                    </w:rPr>
                    <w:t>济带发展负面清单实施细则》（试行，</w:t>
                  </w:r>
                  <w:r>
                    <w:rPr>
                      <w:rFonts w:eastAsia="TimesNewRomanPSMT" w:cs="Times New Roman"/>
                    </w:rPr>
                    <w:t>2022</w:t>
                  </w:r>
                  <w:r>
                    <w:rPr>
                      <w:rFonts w:cs="Times New Roman"/>
                    </w:rPr>
                    <w:t>年版）</w:t>
                  </w:r>
                </w:p>
              </w:tc>
              <w:tc>
                <w:tcPr>
                  <w:tcW w:w="2664" w:type="pct"/>
                  <w:shd w:val="clear" w:color="auto" w:fill="auto"/>
                  <w:vAlign w:val="center"/>
                </w:tcPr>
                <w:p w14:paraId="7B0D0FB1">
                  <w:pPr>
                    <w:pStyle w:val="12"/>
                    <w:rPr>
                      <w:rFonts w:eastAsia="TimesNewRomanPSMT" w:cs="Times New Roman"/>
                    </w:rPr>
                  </w:pPr>
                  <w:r>
                    <w:rPr>
                      <w:rFonts w:cs="Times New Roman"/>
                    </w:rPr>
                    <w:t>第十八条：禁止在长江干流、重要湖泊岸线一公里范围内新建、扩建化工园区和化工项目</w:t>
                  </w:r>
                </w:p>
              </w:tc>
              <w:tc>
                <w:tcPr>
                  <w:tcW w:w="1338" w:type="pct"/>
                  <w:shd w:val="clear" w:color="auto" w:fill="auto"/>
                  <w:vAlign w:val="center"/>
                </w:tcPr>
                <w:p w14:paraId="3F1FEE0A">
                  <w:pPr>
                    <w:pStyle w:val="12"/>
                    <w:rPr>
                      <w:rFonts w:cs="Times New Roman"/>
                    </w:rPr>
                  </w:pPr>
                  <w:r>
                    <w:rPr>
                      <w:rFonts w:cs="Times New Roman"/>
                    </w:rPr>
                    <w:t>本项目不属于化工项目。</w:t>
                  </w:r>
                </w:p>
              </w:tc>
              <w:tc>
                <w:tcPr>
                  <w:tcW w:w="398" w:type="pct"/>
                  <w:shd w:val="clear" w:color="auto" w:fill="auto"/>
                  <w:vAlign w:val="center"/>
                </w:tcPr>
                <w:p w14:paraId="46FBCF79">
                  <w:pPr>
                    <w:pStyle w:val="12"/>
                    <w:rPr>
                      <w:rFonts w:cs="Times New Roman"/>
                    </w:rPr>
                  </w:pPr>
                  <w:r>
                    <w:rPr>
                      <w:rFonts w:cs="Times New Roman"/>
                    </w:rPr>
                    <w:t>符合</w:t>
                  </w:r>
                </w:p>
              </w:tc>
            </w:tr>
            <w:tr w14:paraId="2EB61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99" w:type="pct"/>
                  <w:vMerge w:val="continue"/>
                  <w:shd w:val="clear" w:color="auto" w:fill="auto"/>
                  <w:vAlign w:val="center"/>
                </w:tcPr>
                <w:p w14:paraId="68D99B0F">
                  <w:pPr>
                    <w:pStyle w:val="12"/>
                    <w:rPr>
                      <w:rFonts w:cs="Times New Roman"/>
                    </w:rPr>
                  </w:pPr>
                </w:p>
              </w:tc>
              <w:tc>
                <w:tcPr>
                  <w:tcW w:w="2664" w:type="pct"/>
                  <w:shd w:val="clear" w:color="auto" w:fill="auto"/>
                  <w:vAlign w:val="center"/>
                </w:tcPr>
                <w:p w14:paraId="7F1E8954">
                  <w:pPr>
                    <w:pStyle w:val="12"/>
                    <w:rPr>
                      <w:rFonts w:eastAsia="TimesNewRomanPSMT" w:cs="Times New Roman"/>
                    </w:rPr>
                  </w:pPr>
                  <w:r>
                    <w:rPr>
                      <w:rFonts w:cs="Times New Roman"/>
                    </w:rPr>
                    <w:t>第二十一条：禁止在合规园区外新建、扩建钢铁、石化、化工、焦化、建材、有色、制浆等高污染项目。</w:t>
                  </w:r>
                </w:p>
              </w:tc>
              <w:tc>
                <w:tcPr>
                  <w:tcW w:w="1338" w:type="pct"/>
                  <w:shd w:val="clear" w:color="auto" w:fill="auto"/>
                  <w:vAlign w:val="center"/>
                </w:tcPr>
                <w:p w14:paraId="51875785">
                  <w:pPr>
                    <w:pStyle w:val="12"/>
                    <w:rPr>
                      <w:rFonts w:cs="Times New Roman"/>
                    </w:rPr>
                  </w:pPr>
                  <w:r>
                    <w:rPr>
                      <w:rFonts w:cs="Times New Roman"/>
                    </w:rPr>
                    <w:t>本项目位于四川省人民政府批准的</w:t>
                  </w:r>
                  <w:r>
                    <w:rPr>
                      <w:rFonts w:hint="eastAsia" w:cs="Times New Roman"/>
                    </w:rPr>
                    <w:t>四川平昌经济开发区</w:t>
                  </w:r>
                  <w:r>
                    <w:rPr>
                      <w:rFonts w:cs="Times New Roman"/>
                    </w:rPr>
                    <w:t>内</w:t>
                  </w:r>
                  <w:r>
                    <w:rPr>
                      <w:rFonts w:hint="eastAsia" w:cs="Times New Roman"/>
                    </w:rPr>
                    <w:t>，属合规园区</w:t>
                  </w:r>
                  <w:r>
                    <w:rPr>
                      <w:rFonts w:cs="Times New Roman"/>
                    </w:rPr>
                    <w:t>。</w:t>
                  </w:r>
                </w:p>
              </w:tc>
              <w:tc>
                <w:tcPr>
                  <w:tcW w:w="398" w:type="pct"/>
                  <w:shd w:val="clear" w:color="auto" w:fill="auto"/>
                  <w:vAlign w:val="center"/>
                </w:tcPr>
                <w:p w14:paraId="50357AD5">
                  <w:pPr>
                    <w:pStyle w:val="12"/>
                    <w:rPr>
                      <w:rFonts w:cs="Times New Roman"/>
                    </w:rPr>
                  </w:pPr>
                  <w:r>
                    <w:rPr>
                      <w:rFonts w:cs="Times New Roman"/>
                    </w:rPr>
                    <w:t>符合</w:t>
                  </w:r>
                </w:p>
              </w:tc>
            </w:tr>
            <w:tr w14:paraId="580B7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99" w:type="pct"/>
                  <w:vMerge w:val="continue"/>
                  <w:shd w:val="clear" w:color="auto" w:fill="auto"/>
                  <w:vAlign w:val="center"/>
                </w:tcPr>
                <w:p w14:paraId="32FF681C">
                  <w:pPr>
                    <w:pStyle w:val="12"/>
                    <w:rPr>
                      <w:rFonts w:cs="Times New Roman"/>
                    </w:rPr>
                  </w:pPr>
                </w:p>
              </w:tc>
              <w:tc>
                <w:tcPr>
                  <w:tcW w:w="2664" w:type="pct"/>
                  <w:shd w:val="clear" w:color="auto" w:fill="auto"/>
                  <w:vAlign w:val="center"/>
                </w:tcPr>
                <w:p w14:paraId="63C2175C">
                  <w:pPr>
                    <w:pStyle w:val="12"/>
                    <w:rPr>
                      <w:rFonts w:cs="Times New Roman"/>
                    </w:rPr>
                  </w:pPr>
                  <w:r>
                    <w:rPr>
                      <w:rFonts w:cs="Times New Roman"/>
                    </w:rPr>
                    <w:t>第二十三条：禁止新建、扩建法律法规和相关政策明令禁止的落后产能项目。对《产业结构调整指导目录》中淘汰类项目，禁止投资；限制类的新建项目，禁止投资，对属于限制类的现有生产能力，允许企业</w:t>
                  </w:r>
                </w:p>
                <w:p w14:paraId="0B49DB22">
                  <w:pPr>
                    <w:pStyle w:val="12"/>
                    <w:rPr>
                      <w:rFonts w:eastAsia="TimesNewRomanPSMT" w:cs="Times New Roman"/>
                    </w:rPr>
                  </w:pPr>
                  <w:r>
                    <w:rPr>
                      <w:rFonts w:cs="Times New Roman"/>
                    </w:rPr>
                    <w:t>在一定期限内采取措施改造升级。</w:t>
                  </w:r>
                </w:p>
              </w:tc>
              <w:tc>
                <w:tcPr>
                  <w:tcW w:w="1338" w:type="pct"/>
                  <w:shd w:val="clear" w:color="auto" w:fill="auto"/>
                  <w:vAlign w:val="center"/>
                </w:tcPr>
                <w:p w14:paraId="2B685C7A">
                  <w:pPr>
                    <w:pStyle w:val="12"/>
                    <w:rPr>
                      <w:rFonts w:cs="Times New Roman"/>
                    </w:rPr>
                  </w:pPr>
                  <w:r>
                    <w:rPr>
                      <w:rFonts w:cs="Times New Roman"/>
                    </w:rPr>
                    <w:t>本项目不属于《产业结构调整指导目录》中淘汰类、限制类项目</w:t>
                  </w:r>
                  <w:r>
                    <w:rPr>
                      <w:rFonts w:hint="eastAsia" w:cs="Times New Roman"/>
                      <w:lang w:eastAsia="zh-CN"/>
                    </w:rPr>
                    <w:t>，</w:t>
                  </w:r>
                  <w:r>
                    <w:rPr>
                      <w:rFonts w:hint="eastAsia" w:cs="Times New Roman"/>
                      <w:lang w:val="en-US" w:eastAsia="zh-CN"/>
                    </w:rPr>
                    <w:t>属于鼓励类项目</w:t>
                  </w:r>
                  <w:r>
                    <w:rPr>
                      <w:rFonts w:cs="Times New Roman"/>
                    </w:rPr>
                    <w:t>。</w:t>
                  </w:r>
                </w:p>
              </w:tc>
              <w:tc>
                <w:tcPr>
                  <w:tcW w:w="398" w:type="pct"/>
                  <w:shd w:val="clear" w:color="auto" w:fill="auto"/>
                  <w:vAlign w:val="center"/>
                </w:tcPr>
                <w:p w14:paraId="5DB085D7">
                  <w:pPr>
                    <w:pStyle w:val="12"/>
                    <w:rPr>
                      <w:rFonts w:cs="Times New Roman"/>
                    </w:rPr>
                  </w:pPr>
                  <w:r>
                    <w:rPr>
                      <w:rFonts w:cs="Times New Roman"/>
                    </w:rPr>
                    <w:t>符合</w:t>
                  </w:r>
                </w:p>
              </w:tc>
            </w:tr>
            <w:tr w14:paraId="75180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99" w:type="pct"/>
                  <w:shd w:val="clear" w:color="auto" w:fill="auto"/>
                  <w:vAlign w:val="center"/>
                </w:tcPr>
                <w:p w14:paraId="7C930FF3">
                  <w:pPr>
                    <w:pStyle w:val="12"/>
                    <w:rPr>
                      <w:rFonts w:cs="Times New Roman"/>
                    </w:rPr>
                  </w:pPr>
                  <w:r>
                    <w:rPr>
                      <w:rFonts w:cs="Times New Roman"/>
                    </w:rPr>
                    <w:t>《〈水污染防治行动计划〉四川省工作方案》</w:t>
                  </w:r>
                </w:p>
                <w:p w14:paraId="30D7CF52">
                  <w:pPr>
                    <w:pStyle w:val="12"/>
                    <w:rPr>
                      <w:rFonts w:cs="Times New Roman"/>
                    </w:rPr>
                  </w:pPr>
                  <w:r>
                    <w:rPr>
                      <w:rFonts w:cs="Times New Roman"/>
                    </w:rPr>
                    <w:t>（川府发59号）</w:t>
                  </w:r>
                </w:p>
              </w:tc>
              <w:tc>
                <w:tcPr>
                  <w:tcW w:w="2664" w:type="pct"/>
                  <w:shd w:val="clear" w:color="auto" w:fill="auto"/>
                  <w:vAlign w:val="center"/>
                </w:tcPr>
                <w:p w14:paraId="623941F2">
                  <w:pPr>
                    <w:pStyle w:val="12"/>
                    <w:rPr>
                      <w:rFonts w:cs="Times New Roman"/>
                    </w:rPr>
                  </w:pPr>
                  <w:r>
                    <w:rPr>
                      <w:rFonts w:cs="Times New Roman"/>
                    </w:rPr>
                    <w:t>（一）狠抓工业污染防治</w:t>
                  </w:r>
                </w:p>
                <w:p w14:paraId="49A3D3DB">
                  <w:pPr>
                    <w:pStyle w:val="12"/>
                    <w:rPr>
                      <w:rFonts w:cs="Times New Roman"/>
                    </w:rPr>
                  </w:pPr>
                  <w:r>
                    <w:rPr>
                      <w:rFonts w:cs="Times New Roman"/>
                    </w:rPr>
                    <w:t>2.专项整</w:t>
                  </w:r>
                  <w:r>
                    <w:rPr>
                      <w:rFonts w:hint="eastAsia" w:ascii="宋体" w:hAnsi="宋体" w:eastAsia="宋体" w:cs="宋体"/>
                    </w:rPr>
                    <w:t>治“</w:t>
                  </w:r>
                  <w:r>
                    <w:rPr>
                      <w:rFonts w:hint="default" w:ascii="Times New Roman" w:hAnsi="Times New Roman" w:eastAsia="宋体" w:cs="Times New Roman"/>
                    </w:rPr>
                    <w:t>10+1</w:t>
                  </w:r>
                  <w:r>
                    <w:rPr>
                      <w:rFonts w:hint="eastAsia" w:ascii="宋体" w:hAnsi="宋体" w:eastAsia="宋体" w:cs="宋体"/>
                    </w:rPr>
                    <w:t>”重</w:t>
                  </w:r>
                  <w:r>
                    <w:rPr>
                      <w:rFonts w:cs="Times New Roman"/>
                    </w:rPr>
                    <w:t>点行业。环境保护、经济和信息化部门联合制定造纸、焦化、氮肥、有色金属、印染、农副食品加工、原料药制造、制革、农药、电镀和磷化工等行业专项治理方案并组织实施；新建、改建、扩建上述行业的建设项目执行氨氮、化学需氧量等量或减量置换。</w:t>
                  </w:r>
                </w:p>
                <w:p w14:paraId="2D034476">
                  <w:pPr>
                    <w:pStyle w:val="12"/>
                    <w:rPr>
                      <w:rFonts w:cs="Times New Roman"/>
                    </w:rPr>
                  </w:pPr>
                  <w:r>
                    <w:rPr>
                      <w:rFonts w:cs="Times New Roman"/>
                    </w:rPr>
                    <w:t>（五）调整产业结构</w:t>
                  </w:r>
                </w:p>
                <w:p w14:paraId="71663CC7">
                  <w:pPr>
                    <w:pStyle w:val="12"/>
                    <w:rPr>
                      <w:rFonts w:cs="Times New Roman"/>
                    </w:rPr>
                  </w:pPr>
                  <w:r>
                    <w:rPr>
                      <w:rFonts w:cs="Times New Roman"/>
                    </w:rPr>
                    <w:t>17.严格环境准入。环境保护部门按照流域水质目标、区域功能划分、容量总量核</w:t>
                  </w:r>
                  <w:r>
                    <w:rPr>
                      <w:rFonts w:hint="eastAsia" w:ascii="宋体" w:hAnsi="宋体" w:eastAsia="宋体" w:cs="宋体"/>
                    </w:rPr>
                    <w:t>定的“三位一体”</w:t>
                  </w:r>
                  <w:r>
                    <w:rPr>
                      <w:rFonts w:cs="Times New Roman"/>
                    </w:rPr>
                    <w:t>环境准入要求，进一步细化准入条件，严格准入标准，强化分类指导；执行规划环境影响评价、项目环境影响评价以及流域、区域水环境质量和水污染物减排绩效挂钩制度；逐步建立水环境承载能力监测评价体系，对已超过水环境承载能力的地方，由各地制定并组织实施水环境质量达标方案。</w:t>
                  </w:r>
                </w:p>
              </w:tc>
              <w:tc>
                <w:tcPr>
                  <w:tcW w:w="1338" w:type="pct"/>
                  <w:shd w:val="clear" w:color="auto" w:fill="auto"/>
                  <w:vAlign w:val="center"/>
                </w:tcPr>
                <w:p w14:paraId="7A369D4B">
                  <w:pPr>
                    <w:pStyle w:val="12"/>
                    <w:rPr>
                      <w:rFonts w:cs="Times New Roman"/>
                    </w:rPr>
                  </w:pPr>
                  <w:r>
                    <w:rPr>
                      <w:rFonts w:cs="Times New Roman"/>
                    </w:rPr>
                    <w:t>本项目不属</w:t>
                  </w:r>
                  <w:r>
                    <w:rPr>
                      <w:rFonts w:hint="eastAsia" w:ascii="宋体" w:hAnsi="宋体" w:eastAsia="宋体" w:cs="宋体"/>
                    </w:rPr>
                    <w:t>于“</w:t>
                  </w:r>
                  <w:r>
                    <w:rPr>
                      <w:rFonts w:hint="default" w:ascii="Times New Roman" w:hAnsi="Times New Roman" w:cs="Times New Roman"/>
                      <w:lang w:val="en-US" w:eastAsia="zh-CN"/>
                    </w:rPr>
                    <w:t>10+1</w:t>
                  </w:r>
                  <w:r>
                    <w:rPr>
                      <w:rFonts w:hint="eastAsia" w:ascii="宋体" w:hAnsi="宋体" w:eastAsia="宋体" w:cs="宋体"/>
                    </w:rPr>
                    <w:t>”重点行业</w:t>
                  </w:r>
                  <w:r>
                    <w:rPr>
                      <w:rFonts w:cs="Times New Roman"/>
                    </w:rPr>
                    <w:t>，所在区域地表水环境达标。</w:t>
                  </w:r>
                </w:p>
              </w:tc>
              <w:tc>
                <w:tcPr>
                  <w:tcW w:w="398" w:type="pct"/>
                  <w:shd w:val="clear" w:color="auto" w:fill="auto"/>
                  <w:vAlign w:val="center"/>
                </w:tcPr>
                <w:p w14:paraId="1C3D41F5">
                  <w:pPr>
                    <w:pStyle w:val="12"/>
                    <w:rPr>
                      <w:rFonts w:cs="Times New Roman"/>
                    </w:rPr>
                  </w:pPr>
                  <w:r>
                    <w:rPr>
                      <w:rFonts w:cs="Times New Roman"/>
                    </w:rPr>
                    <w:t>符合</w:t>
                  </w:r>
                </w:p>
              </w:tc>
            </w:tr>
            <w:tr w14:paraId="049A4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0" w:hRule="atLeast"/>
                <w:jc w:val="center"/>
              </w:trPr>
              <w:tc>
                <w:tcPr>
                  <w:tcW w:w="599" w:type="pct"/>
                  <w:vMerge w:val="restart"/>
                  <w:shd w:val="clear" w:color="auto" w:fill="auto"/>
                  <w:vAlign w:val="center"/>
                </w:tcPr>
                <w:p w14:paraId="61838436">
                  <w:pPr>
                    <w:pStyle w:val="12"/>
                    <w:rPr>
                      <w:rFonts w:cs="Times New Roman"/>
                    </w:rPr>
                  </w:pPr>
                  <w:r>
                    <w:rPr>
                      <w:rFonts w:cs="Times New Roman"/>
                    </w:rPr>
                    <w:t>《四川省打赢碧水保卫战实施方案》（川府发〔2019〕4 号）</w:t>
                  </w:r>
                </w:p>
              </w:tc>
              <w:tc>
                <w:tcPr>
                  <w:tcW w:w="2664" w:type="pct"/>
                  <w:shd w:val="clear" w:color="auto" w:fill="auto"/>
                  <w:vAlign w:val="center"/>
                </w:tcPr>
                <w:p w14:paraId="0D73F2A6">
                  <w:pPr>
                    <w:pStyle w:val="12"/>
                    <w:rPr>
                      <w:rFonts w:cs="Times New Roman"/>
                    </w:rPr>
                  </w:pPr>
                  <w:r>
                    <w:rPr>
                      <w:rFonts w:cs="Times New Roman"/>
                    </w:rPr>
                    <w:t>实施园区工业废水达标整治。在处理设施建成前，依托生活污水处理厂、一体化应急设备全面处理工业废水，确保达标排放；处理设施建成后，加强运行维护，确保设施稳定运行。</w:t>
                  </w:r>
                </w:p>
              </w:tc>
              <w:tc>
                <w:tcPr>
                  <w:tcW w:w="1338" w:type="pct"/>
                  <w:shd w:val="clear" w:color="auto" w:fill="auto"/>
                  <w:vAlign w:val="center"/>
                </w:tcPr>
                <w:p w14:paraId="3430746A">
                  <w:pPr>
                    <w:pStyle w:val="12"/>
                    <w:rPr>
                      <w:rFonts w:cs="Times New Roman"/>
                    </w:rPr>
                  </w:pPr>
                  <w:r>
                    <w:rPr>
                      <w:rFonts w:cs="Times New Roman"/>
                    </w:rPr>
                    <w:t>本项目</w:t>
                  </w:r>
                  <w:r>
                    <w:rPr>
                      <w:rFonts w:hint="eastAsia" w:cs="Times New Roman"/>
                      <w:lang w:val="en-US" w:eastAsia="zh-CN"/>
                    </w:rPr>
                    <w:t>仅外排生活污水，</w:t>
                  </w:r>
                  <w:r>
                    <w:rPr>
                      <w:rFonts w:cs="Times New Roman"/>
                    </w:rPr>
                    <w:t>经预处理后排入市政污水管网，送至</w:t>
                  </w:r>
                  <w:r>
                    <w:rPr>
                      <w:rFonts w:hint="eastAsia" w:cs="Times New Roman"/>
                    </w:rPr>
                    <w:t>园区</w:t>
                  </w:r>
                  <w:r>
                    <w:rPr>
                      <w:rFonts w:cs="Times New Roman"/>
                    </w:rPr>
                    <w:t>污水处理厂进一步处理后达标排放</w:t>
                  </w:r>
                  <w:r>
                    <w:rPr>
                      <w:rFonts w:hint="eastAsia" w:cs="Times New Roman"/>
                      <w:lang w:eastAsia="zh-CN"/>
                    </w:rPr>
                    <w:t>；</w:t>
                  </w:r>
                  <w:r>
                    <w:rPr>
                      <w:rFonts w:hint="eastAsia" w:cs="Times New Roman"/>
                      <w:lang w:val="en-US" w:eastAsia="zh-CN"/>
                    </w:rPr>
                    <w:t>生产废水部分回用于生产，其余部分委托四川洁安环境科技有限公司清运处理</w:t>
                  </w:r>
                  <w:r>
                    <w:rPr>
                      <w:rFonts w:cs="Times New Roman"/>
                    </w:rPr>
                    <w:t>。</w:t>
                  </w:r>
                </w:p>
              </w:tc>
              <w:tc>
                <w:tcPr>
                  <w:tcW w:w="398" w:type="pct"/>
                  <w:shd w:val="clear" w:color="auto" w:fill="auto"/>
                  <w:vAlign w:val="center"/>
                </w:tcPr>
                <w:p w14:paraId="41EEE37E">
                  <w:pPr>
                    <w:pStyle w:val="12"/>
                    <w:rPr>
                      <w:rFonts w:cs="Times New Roman"/>
                    </w:rPr>
                  </w:pPr>
                  <w:r>
                    <w:rPr>
                      <w:rFonts w:cs="Times New Roman"/>
                    </w:rPr>
                    <w:t>符合</w:t>
                  </w:r>
                </w:p>
              </w:tc>
            </w:tr>
            <w:tr w14:paraId="55FA0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99" w:type="pct"/>
                  <w:vMerge w:val="continue"/>
                  <w:shd w:val="clear" w:color="auto" w:fill="auto"/>
                  <w:vAlign w:val="center"/>
                </w:tcPr>
                <w:p w14:paraId="43F5941D">
                  <w:pPr>
                    <w:pStyle w:val="12"/>
                    <w:rPr>
                      <w:rFonts w:cs="Times New Roman"/>
                    </w:rPr>
                  </w:pPr>
                </w:p>
              </w:tc>
              <w:tc>
                <w:tcPr>
                  <w:tcW w:w="2664" w:type="pct"/>
                  <w:shd w:val="clear" w:color="auto" w:fill="auto"/>
                  <w:vAlign w:val="center"/>
                </w:tcPr>
                <w:p w14:paraId="3F40006A">
                  <w:pPr>
                    <w:pStyle w:val="12"/>
                    <w:rPr>
                      <w:rFonts w:cs="Times New Roman"/>
                    </w:rPr>
                  </w:pPr>
                  <w:r>
                    <w:rPr>
                      <w:rFonts w:cs="Times New Roman"/>
                    </w:rPr>
                    <w:t>减少工业废水排放量。减少重点行业工业企业废水排放量。指导钢铁、印染、造纸、石油化工、化工、制革等高耗水企业废水深度处理回收利用。</w:t>
                  </w:r>
                </w:p>
              </w:tc>
              <w:tc>
                <w:tcPr>
                  <w:tcW w:w="1338" w:type="pct"/>
                  <w:shd w:val="clear" w:color="auto" w:fill="auto"/>
                  <w:vAlign w:val="center"/>
                </w:tcPr>
                <w:p w14:paraId="155CC138">
                  <w:pPr>
                    <w:pStyle w:val="12"/>
                    <w:rPr>
                      <w:rFonts w:cs="Times New Roman"/>
                    </w:rPr>
                  </w:pPr>
                  <w:r>
                    <w:rPr>
                      <w:rFonts w:cs="Times New Roman"/>
                    </w:rPr>
                    <w:t>本项目不属于高耗水项目，项目生产过程中对可利用的循环水进行了全部利用，有效减少了用水量和排水量。</w:t>
                  </w:r>
                </w:p>
              </w:tc>
              <w:tc>
                <w:tcPr>
                  <w:tcW w:w="398" w:type="pct"/>
                  <w:shd w:val="clear" w:color="auto" w:fill="auto"/>
                  <w:vAlign w:val="center"/>
                </w:tcPr>
                <w:p w14:paraId="226D4B9A">
                  <w:pPr>
                    <w:pStyle w:val="12"/>
                    <w:rPr>
                      <w:rFonts w:cs="Times New Roman"/>
                    </w:rPr>
                  </w:pPr>
                  <w:r>
                    <w:rPr>
                      <w:rFonts w:cs="Times New Roman"/>
                    </w:rPr>
                    <w:t>符合</w:t>
                  </w:r>
                </w:p>
              </w:tc>
            </w:tr>
          </w:tbl>
          <w:p w14:paraId="161273C3">
            <w:pPr>
              <w:ind w:firstLine="480"/>
              <w:rPr>
                <w:rFonts w:cs="Times New Roman"/>
              </w:rPr>
            </w:pPr>
            <w:r>
              <w:rPr>
                <w:rFonts w:cs="Times New Roman"/>
              </w:rPr>
              <w:t>综上分析，本项目建设与</w:t>
            </w:r>
            <w:r>
              <w:rPr>
                <w:rFonts w:hint="eastAsia" w:cs="Times New Roman"/>
              </w:rPr>
              <w:t>水污染防治</w:t>
            </w:r>
            <w:r>
              <w:rPr>
                <w:rFonts w:cs="Times New Roman"/>
              </w:rPr>
              <w:t>相关政策要求相符。</w:t>
            </w:r>
          </w:p>
          <w:p w14:paraId="2457DC51">
            <w:pPr>
              <w:pStyle w:val="3"/>
              <w:spacing w:before="163"/>
            </w:pPr>
            <w:r>
              <w:rPr>
                <w:rFonts w:hint="eastAsia"/>
                <w:lang w:val="en-US" w:eastAsia="zh-CN"/>
              </w:rPr>
              <w:t>7</w:t>
            </w:r>
            <w:r>
              <w:t>、项目与土壤污染防治相关要求符合性分析</w:t>
            </w:r>
          </w:p>
          <w:p w14:paraId="65621F07">
            <w:pPr>
              <w:pStyle w:val="11"/>
              <w:keepNext/>
              <w:rPr>
                <w:rFonts w:cs="Times New Roman"/>
              </w:rPr>
            </w:pPr>
            <w:r>
              <w:rPr>
                <w:rFonts w:cs="Times New Roman"/>
              </w:rPr>
              <w:t>表</w:t>
            </w:r>
            <w:r>
              <w:rPr>
                <w:rFonts w:hint="eastAsia" w:cs="Times New Roman"/>
                <w:lang w:val="en-US" w:eastAsia="zh-CN"/>
              </w:rPr>
              <w:t>1</w:t>
            </w:r>
            <w:r>
              <w:rPr>
                <w:rFonts w:cs="Times New Roman"/>
              </w:rPr>
              <w:noBreakHyphen/>
            </w:r>
            <w:r>
              <w:rPr>
                <w:rFonts w:cs="Times New Roman"/>
              </w:rPr>
              <w:fldChar w:fldCharType="begin"/>
            </w:r>
            <w:r>
              <w:rPr>
                <w:rFonts w:cs="Times New Roman"/>
              </w:rPr>
              <w:instrText xml:space="preserve"> SEQ 表 \* ARABIC \s 1 </w:instrText>
            </w:r>
            <w:r>
              <w:rPr>
                <w:rFonts w:cs="Times New Roman"/>
              </w:rPr>
              <w:fldChar w:fldCharType="separate"/>
            </w:r>
            <w:r>
              <w:rPr>
                <w:rFonts w:cs="Times New Roman"/>
              </w:rPr>
              <w:t>10</w:t>
            </w:r>
            <w:r>
              <w:rPr>
                <w:rFonts w:cs="Times New Roman"/>
              </w:rPr>
              <w:fldChar w:fldCharType="end"/>
            </w:r>
            <w:r>
              <w:rPr>
                <w:rFonts w:cs="Times New Roman"/>
              </w:rPr>
              <w:t xml:space="preserve"> 项目与土壤污染防治相关要求符合性分析</w:t>
            </w:r>
          </w:p>
          <w:tbl>
            <w:tblPr>
              <w:tblStyle w:val="2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97"/>
              <w:gridCol w:w="4497"/>
              <w:gridCol w:w="2025"/>
              <w:gridCol w:w="1087"/>
            </w:tblGrid>
            <w:tr w14:paraId="35FAC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80" w:type="pct"/>
                  <w:shd w:val="clear" w:color="auto" w:fill="auto"/>
                  <w:vAlign w:val="center"/>
                </w:tcPr>
                <w:p w14:paraId="21852521">
                  <w:pPr>
                    <w:pStyle w:val="45"/>
                    <w:rPr>
                      <w:rFonts w:cs="Times New Roman"/>
                    </w:rPr>
                  </w:pPr>
                  <w:r>
                    <w:rPr>
                      <w:rFonts w:cs="Times New Roman"/>
                    </w:rPr>
                    <w:t>规划名称</w:t>
                  </w:r>
                </w:p>
              </w:tc>
              <w:tc>
                <w:tcPr>
                  <w:tcW w:w="2552" w:type="pct"/>
                  <w:shd w:val="clear" w:color="auto" w:fill="auto"/>
                  <w:vAlign w:val="center"/>
                </w:tcPr>
                <w:p w14:paraId="0BEE199D">
                  <w:pPr>
                    <w:pStyle w:val="45"/>
                    <w:rPr>
                      <w:rFonts w:cs="Times New Roman"/>
                    </w:rPr>
                  </w:pPr>
                  <w:r>
                    <w:rPr>
                      <w:rFonts w:cs="Times New Roman"/>
                    </w:rPr>
                    <w:t>内容</w:t>
                  </w:r>
                </w:p>
              </w:tc>
              <w:tc>
                <w:tcPr>
                  <w:tcW w:w="1149" w:type="pct"/>
                  <w:shd w:val="clear" w:color="auto" w:fill="auto"/>
                  <w:vAlign w:val="center"/>
                </w:tcPr>
                <w:p w14:paraId="48595F78">
                  <w:pPr>
                    <w:pStyle w:val="45"/>
                    <w:rPr>
                      <w:rFonts w:cs="Times New Roman"/>
                    </w:rPr>
                  </w:pPr>
                  <w:r>
                    <w:rPr>
                      <w:rFonts w:cs="Times New Roman"/>
                    </w:rPr>
                    <w:t>本项目情况</w:t>
                  </w:r>
                </w:p>
              </w:tc>
              <w:tc>
                <w:tcPr>
                  <w:tcW w:w="617" w:type="pct"/>
                  <w:shd w:val="clear" w:color="auto" w:fill="auto"/>
                  <w:vAlign w:val="center"/>
                </w:tcPr>
                <w:p w14:paraId="27B06AB8">
                  <w:pPr>
                    <w:pStyle w:val="45"/>
                    <w:rPr>
                      <w:rFonts w:cs="Times New Roman"/>
                    </w:rPr>
                  </w:pPr>
                  <w:r>
                    <w:rPr>
                      <w:rFonts w:cs="Times New Roman"/>
                    </w:rPr>
                    <w:t>符合性</w:t>
                  </w:r>
                </w:p>
              </w:tc>
            </w:tr>
            <w:tr w14:paraId="0432C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80" w:type="pct"/>
                  <w:vMerge w:val="restart"/>
                  <w:shd w:val="clear" w:color="auto" w:fill="auto"/>
                  <w:vAlign w:val="center"/>
                </w:tcPr>
                <w:p w14:paraId="31285E72">
                  <w:pPr>
                    <w:pStyle w:val="12"/>
                    <w:rPr>
                      <w:rFonts w:cs="Times New Roman"/>
                    </w:rPr>
                  </w:pPr>
                  <w:r>
                    <w:rPr>
                      <w:rFonts w:cs="Times New Roman"/>
                    </w:rPr>
                    <w:t>《土壤污染防治行动计划四川省工作方案》（川府发〔</w:t>
                  </w:r>
                  <w:r>
                    <w:rPr>
                      <w:rFonts w:eastAsia="TimesNewRomanPSMT" w:cs="Times New Roman"/>
                    </w:rPr>
                    <w:t>2016</w:t>
                  </w:r>
                  <w:r>
                    <w:rPr>
                      <w:rFonts w:cs="Times New Roman"/>
                    </w:rPr>
                    <w:t>〕</w:t>
                  </w:r>
                  <w:r>
                    <w:rPr>
                      <w:rFonts w:eastAsia="TimesNewRomanPSMT" w:cs="Times New Roman"/>
                    </w:rPr>
                    <w:t>63</w:t>
                  </w:r>
                  <w:r>
                    <w:rPr>
                      <w:rFonts w:cs="Times New Roman"/>
                    </w:rPr>
                    <w:t>号）</w:t>
                  </w:r>
                </w:p>
              </w:tc>
              <w:tc>
                <w:tcPr>
                  <w:tcW w:w="2552" w:type="pct"/>
                  <w:shd w:val="clear" w:color="auto" w:fill="auto"/>
                  <w:vAlign w:val="center"/>
                </w:tcPr>
                <w:p w14:paraId="42BA4DAE">
                  <w:pPr>
                    <w:pStyle w:val="12"/>
                    <w:rPr>
                      <w:rFonts w:eastAsia="TimesNewRomanPSMT" w:cs="Times New Roman"/>
                    </w:rPr>
                  </w:pPr>
                  <w:r>
                    <w:rPr>
                      <w:rFonts w:cs="Times New Roman"/>
                    </w:rPr>
                    <w:t>（八）切实加大保护力度。严格保护优先保护类耕地，将符合条件的划为永久基本农田，并落地到户上图入库，实行严格保护，确保面积不减少、土壤环境质量不下降，除法律规定的重点建设项目选址确实无法避让外，其他任何建设不得占用。</w:t>
                  </w:r>
                  <w:r>
                    <w:rPr>
                      <w:rFonts w:eastAsia="TimesNewRomanPSMT" w:cs="Times New Roman"/>
                    </w:rPr>
                    <w:t>…</w:t>
                  </w:r>
                </w:p>
                <w:p w14:paraId="74BC0331">
                  <w:pPr>
                    <w:pStyle w:val="12"/>
                    <w:rPr>
                      <w:rFonts w:cs="Times New Roman"/>
                    </w:rPr>
                  </w:pPr>
                  <w:r>
                    <w:rPr>
                      <w:rFonts w:cs="Times New Roman"/>
                    </w:rPr>
                    <w:t>严格控制在优先保护类耕地集中区域新建有色金属矿采选、有色金属冶炼、石油加工、化工、焦化、电镀、制革、天然（页岩）气开采、铅蓄电池、汽车制造、农药、危废处置、电子拆解、涉重等行业企业。</w:t>
                  </w:r>
                </w:p>
              </w:tc>
              <w:tc>
                <w:tcPr>
                  <w:tcW w:w="1149" w:type="pct"/>
                  <w:shd w:val="clear" w:color="auto" w:fill="auto"/>
                  <w:vAlign w:val="center"/>
                </w:tcPr>
                <w:p w14:paraId="6BD36F73">
                  <w:pPr>
                    <w:pStyle w:val="12"/>
                    <w:rPr>
                      <w:rFonts w:cs="Times New Roman"/>
                    </w:rPr>
                  </w:pPr>
                  <w:bookmarkStart w:id="27" w:name="OLE_LINK29"/>
                  <w:r>
                    <w:rPr>
                      <w:rFonts w:cs="Times New Roman"/>
                    </w:rPr>
                    <w:t>本项目位于</w:t>
                  </w:r>
                  <w:r>
                    <w:rPr>
                      <w:rFonts w:hint="eastAsia" w:cs="Times New Roman"/>
                    </w:rPr>
                    <w:t>四川平昌经济开发区内</w:t>
                  </w:r>
                  <w:r>
                    <w:rPr>
                      <w:rFonts w:cs="Times New Roman"/>
                    </w:rPr>
                    <w:t>，用地为工业用地，不占用耕地。</w:t>
                  </w:r>
                  <w:bookmarkEnd w:id="27"/>
                </w:p>
              </w:tc>
              <w:tc>
                <w:tcPr>
                  <w:tcW w:w="617" w:type="pct"/>
                  <w:shd w:val="clear" w:color="auto" w:fill="auto"/>
                  <w:vAlign w:val="center"/>
                </w:tcPr>
                <w:p w14:paraId="29678A56">
                  <w:pPr>
                    <w:pStyle w:val="12"/>
                    <w:rPr>
                      <w:rFonts w:cs="Times New Roman"/>
                    </w:rPr>
                  </w:pPr>
                  <w:r>
                    <w:rPr>
                      <w:rFonts w:cs="Times New Roman"/>
                    </w:rPr>
                    <w:t>符合</w:t>
                  </w:r>
                </w:p>
              </w:tc>
            </w:tr>
            <w:tr w14:paraId="0F237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80" w:type="pct"/>
                  <w:vMerge w:val="continue"/>
                  <w:shd w:val="clear" w:color="auto" w:fill="auto"/>
                  <w:vAlign w:val="center"/>
                </w:tcPr>
                <w:p w14:paraId="2BC60B3B">
                  <w:pPr>
                    <w:pStyle w:val="12"/>
                    <w:rPr>
                      <w:rFonts w:cs="Times New Roman"/>
                    </w:rPr>
                  </w:pPr>
                </w:p>
              </w:tc>
              <w:tc>
                <w:tcPr>
                  <w:tcW w:w="2552" w:type="pct"/>
                  <w:shd w:val="clear" w:color="auto" w:fill="auto"/>
                  <w:vAlign w:val="center"/>
                </w:tcPr>
                <w:p w14:paraId="67A9AACD">
                  <w:pPr>
                    <w:pStyle w:val="12"/>
                    <w:rPr>
                      <w:rFonts w:cs="Times New Roman"/>
                    </w:rPr>
                  </w:pPr>
                  <w:r>
                    <w:rPr>
                      <w:rFonts w:cs="Times New Roman"/>
                    </w:rPr>
                    <w:t>（二十一）加强工业废物处理处置。全面整治尾矿、煤矸石、工业副产石膏、粉煤灰、赤泥、冶炼渣、电石渣、铬渣、砷渣以及脱硫、脱硝、除尘产生固体废物的堆存场所，完善防扬散、防流失、防渗漏等设施，相关县（市、区）政府要制定综合整治方案并有序实施。加强工业固体废物综合利用。对全省电子废物、废轮胎、废塑料等再生利用活动进行清理整顿，引导有关企业采用先进适用加工工艺、集聚发展，集中建设和运营污染治理设施，防止污染土壤和地下水。</w:t>
                  </w:r>
                </w:p>
              </w:tc>
              <w:tc>
                <w:tcPr>
                  <w:tcW w:w="1149" w:type="pct"/>
                  <w:shd w:val="clear" w:color="auto" w:fill="auto"/>
                  <w:vAlign w:val="center"/>
                </w:tcPr>
                <w:p w14:paraId="730A688A">
                  <w:pPr>
                    <w:pStyle w:val="12"/>
                    <w:rPr>
                      <w:rFonts w:cs="Times New Roman"/>
                    </w:rPr>
                  </w:pPr>
                  <w:r>
                    <w:rPr>
                      <w:rFonts w:cs="Times New Roman"/>
                    </w:rPr>
                    <w:t>本项目</w:t>
                  </w:r>
                  <w:r>
                    <w:rPr>
                      <w:rFonts w:hint="eastAsia" w:cs="Times New Roman"/>
                    </w:rPr>
                    <w:t>原料堆放场所设置</w:t>
                  </w:r>
                  <w:r>
                    <w:rPr>
                      <w:rFonts w:hint="eastAsia" w:cs="Times New Roman"/>
                      <w:lang w:eastAsia="zh-CN"/>
                    </w:rPr>
                    <w:t>防</w:t>
                  </w:r>
                  <w:r>
                    <w:rPr>
                      <w:rFonts w:hint="eastAsia" w:cs="Times New Roman"/>
                    </w:rPr>
                    <w:t>扬散、防流失、防渗漏措施；本项目产生的</w:t>
                  </w:r>
                  <w:r>
                    <w:rPr>
                      <w:rFonts w:cs="Times New Roman"/>
                    </w:rPr>
                    <w:t>各类固废分类收集处置，项目设置了危废暂存间，并采取了相应的污染防治措施。</w:t>
                  </w:r>
                </w:p>
              </w:tc>
              <w:tc>
                <w:tcPr>
                  <w:tcW w:w="617" w:type="pct"/>
                  <w:shd w:val="clear" w:color="auto" w:fill="auto"/>
                  <w:vAlign w:val="center"/>
                </w:tcPr>
                <w:p w14:paraId="71596FD0">
                  <w:pPr>
                    <w:pStyle w:val="12"/>
                    <w:rPr>
                      <w:rFonts w:cs="Times New Roman"/>
                    </w:rPr>
                  </w:pPr>
                  <w:bookmarkStart w:id="28" w:name="OLE_LINK33"/>
                  <w:r>
                    <w:rPr>
                      <w:rFonts w:cs="Times New Roman"/>
                    </w:rPr>
                    <w:t>符合</w:t>
                  </w:r>
                  <w:bookmarkEnd w:id="28"/>
                </w:p>
              </w:tc>
            </w:tr>
            <w:tr w14:paraId="743C0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80" w:type="pct"/>
                  <w:shd w:val="clear" w:color="auto" w:fill="auto"/>
                  <w:vAlign w:val="center"/>
                </w:tcPr>
                <w:p w14:paraId="26E38B78">
                  <w:pPr>
                    <w:pStyle w:val="12"/>
                    <w:rPr>
                      <w:rFonts w:cs="Times New Roman"/>
                    </w:rPr>
                  </w:pPr>
                  <w:r>
                    <w:rPr>
                      <w:rFonts w:cs="Times New Roman"/>
                      <w:szCs w:val="21"/>
                    </w:rPr>
                    <w:t>巴中市</w:t>
                  </w:r>
                  <w:r>
                    <w:rPr>
                      <w:rFonts w:hint="eastAsia" w:cs="Times New Roman"/>
                      <w:szCs w:val="21"/>
                    </w:rPr>
                    <w:t>“</w:t>
                  </w:r>
                  <w:r>
                    <w:rPr>
                      <w:rFonts w:cs="Times New Roman"/>
                      <w:szCs w:val="21"/>
                    </w:rPr>
                    <w:t>十四五</w:t>
                  </w:r>
                  <w:r>
                    <w:rPr>
                      <w:rFonts w:hint="eastAsia" w:cs="Times New Roman"/>
                      <w:szCs w:val="21"/>
                    </w:rPr>
                    <w:t>”</w:t>
                  </w:r>
                  <w:r>
                    <w:fldChar w:fldCharType="begin"/>
                  </w:r>
                  <w:r>
                    <w:instrText xml:space="preserve"> HYPERLINK "https://huanbao.bjx.com.cn/topics/turangwuranfangzhi/" </w:instrText>
                  </w:r>
                  <w:r>
                    <w:fldChar w:fldCharType="separate"/>
                  </w:r>
                  <w:r>
                    <w:rPr>
                      <w:rFonts w:cs="Times New Roman"/>
                      <w:szCs w:val="21"/>
                    </w:rPr>
                    <w:t>土壤污染</w:t>
                  </w:r>
                  <w:r>
                    <w:rPr>
                      <w:rFonts w:cs="Times New Roman"/>
                      <w:szCs w:val="21"/>
                    </w:rPr>
                    <w:fldChar w:fldCharType="end"/>
                  </w:r>
                  <w:r>
                    <w:rPr>
                      <w:rFonts w:cs="Times New Roman"/>
                      <w:szCs w:val="21"/>
                    </w:rPr>
                    <w:t>防治规划</w:t>
                  </w:r>
                </w:p>
              </w:tc>
              <w:tc>
                <w:tcPr>
                  <w:tcW w:w="2552" w:type="pct"/>
                  <w:shd w:val="clear" w:color="auto" w:fill="auto"/>
                </w:tcPr>
                <w:p w14:paraId="1DF5010B">
                  <w:pPr>
                    <w:spacing w:line="240" w:lineRule="auto"/>
                    <w:ind w:firstLine="420"/>
                    <w:rPr>
                      <w:rFonts w:cs="Times New Roman"/>
                      <w:sz w:val="21"/>
                      <w:szCs w:val="21"/>
                    </w:rPr>
                  </w:pPr>
                  <w:r>
                    <w:rPr>
                      <w:rFonts w:cs="Times New Roman"/>
                      <w:sz w:val="21"/>
                      <w:szCs w:val="21"/>
                    </w:rPr>
                    <w:t>根据规划内容，</w:t>
                  </w:r>
                  <w:r>
                    <w:rPr>
                      <w:rFonts w:hint="eastAsia" w:cs="Times New Roman"/>
                      <w:sz w:val="21"/>
                      <w:szCs w:val="21"/>
                    </w:rPr>
                    <w:t>“</w:t>
                  </w:r>
                  <w:r>
                    <w:rPr>
                      <w:rFonts w:cs="Times New Roman"/>
                      <w:sz w:val="21"/>
                      <w:szCs w:val="21"/>
                    </w:rPr>
                    <w:t>十四五</w:t>
                  </w:r>
                  <w:r>
                    <w:rPr>
                      <w:rFonts w:hint="eastAsia" w:cs="Times New Roman"/>
                      <w:sz w:val="21"/>
                      <w:szCs w:val="21"/>
                    </w:rPr>
                    <w:t>”</w:t>
                  </w:r>
                  <w:r>
                    <w:rPr>
                      <w:rFonts w:cs="Times New Roman"/>
                      <w:sz w:val="21"/>
                      <w:szCs w:val="21"/>
                    </w:rPr>
                    <w:t>期间主要任务：</w:t>
                  </w:r>
                  <w:r>
                    <w:rPr>
                      <w:rFonts w:hint="eastAsia" w:cs="Times New Roman"/>
                      <w:sz w:val="21"/>
                      <w:szCs w:val="21"/>
                    </w:rPr>
                    <w:t>（</w:t>
                  </w:r>
                  <w:r>
                    <w:rPr>
                      <w:rFonts w:cs="Times New Roman"/>
                      <w:sz w:val="21"/>
                      <w:szCs w:val="21"/>
                    </w:rPr>
                    <w:t>一）深化土壤环境质量调查和评估，包括深化农用地土壤污染调查、加强建设用地土壤污染调查、加快尾矿库调查和风险评估、持续开展常态化调查与评估；</w:t>
                  </w:r>
                  <w:r>
                    <w:rPr>
                      <w:rFonts w:hint="eastAsia" w:cs="Times New Roman"/>
                      <w:sz w:val="21"/>
                      <w:szCs w:val="21"/>
                    </w:rPr>
                    <w:t>（</w:t>
                  </w:r>
                  <w:r>
                    <w:rPr>
                      <w:rFonts w:cs="Times New Roman"/>
                      <w:sz w:val="21"/>
                      <w:szCs w:val="21"/>
                    </w:rPr>
                    <w:t>二）加强土壤污染源头监管和防控，包括加强耕地管控保护和污染防治、加强建设用地风险管控和准入监管、加强未利用地监管及合理利用、推进农业农村污染源源头防控、加强矿山开采和固废污染管控、加强重点企业与园区源头防控；</w:t>
                  </w:r>
                  <w:r>
                    <w:rPr>
                      <w:rFonts w:hint="eastAsia" w:cs="Times New Roman"/>
                      <w:sz w:val="21"/>
                      <w:szCs w:val="21"/>
                    </w:rPr>
                    <w:t>（</w:t>
                  </w:r>
                  <w:r>
                    <w:rPr>
                      <w:rFonts w:cs="Times New Roman"/>
                      <w:sz w:val="21"/>
                      <w:szCs w:val="21"/>
                    </w:rPr>
                    <w:t>三）强化土壤污染治理与修复利用，包括科学实施污染耕地治理与修复工作、加强建设用地土壤污染治理与修复、加快典型矿区生态治理与修复试点推进；</w:t>
                  </w:r>
                  <w:r>
                    <w:rPr>
                      <w:rFonts w:hint="eastAsia" w:cs="Times New Roman"/>
                      <w:sz w:val="21"/>
                      <w:szCs w:val="21"/>
                    </w:rPr>
                    <w:t>（</w:t>
                  </w:r>
                  <w:r>
                    <w:rPr>
                      <w:rFonts w:cs="Times New Roman"/>
                      <w:sz w:val="21"/>
                      <w:szCs w:val="21"/>
                    </w:rPr>
                    <w:t>四）提升土壤环境监测和监管能力，包括强化土壤环境监测保障、加大土壤执法监管力度。</w:t>
                  </w:r>
                </w:p>
                <w:p w14:paraId="7CDBB534">
                  <w:pPr>
                    <w:pStyle w:val="12"/>
                    <w:rPr>
                      <w:rFonts w:cs="Times New Roman"/>
                    </w:rPr>
                  </w:pPr>
                  <w:r>
                    <w:rPr>
                      <w:rFonts w:cs="Times New Roman"/>
                      <w:szCs w:val="21"/>
                    </w:rPr>
                    <w:t>在</w:t>
                  </w:r>
                  <w:r>
                    <w:rPr>
                      <w:rFonts w:hint="eastAsia" w:cs="Times New Roman"/>
                      <w:szCs w:val="21"/>
                    </w:rPr>
                    <w:t>“</w:t>
                  </w:r>
                  <w:r>
                    <w:rPr>
                      <w:rFonts w:cs="Times New Roman"/>
                      <w:szCs w:val="21"/>
                    </w:rPr>
                    <w:t>加强矿山开采和固废污染管控</w:t>
                  </w:r>
                  <w:r>
                    <w:rPr>
                      <w:rFonts w:hint="eastAsia" w:cs="Times New Roman"/>
                      <w:szCs w:val="21"/>
                    </w:rPr>
                    <w:t>”</w:t>
                  </w:r>
                  <w:r>
                    <w:rPr>
                      <w:rFonts w:cs="Times New Roman"/>
                      <w:szCs w:val="21"/>
                    </w:rPr>
                    <w:t>中提到：加强固体废物污染管控。推进固体废物源头减量，鼓励引导工业企业开展自愿性清洁生产审核，持续推进重点行业企业强制性清洁生产审核。发展生态农业，大力推广绿色建筑和绿色建造方式、装配式建筑，促进建筑垃圾源头减量。提升固体废物资源化利用水平，通过回收、加工、循环、交换等方式，加快推进工业固体废物资源化利用。推进巴中经开区绿色化、循环化改造，构建废旧物资循环利用体系。逐步提高污水处理厂的污泥脱水率，强化污泥安全处理处置。</w:t>
                  </w:r>
                </w:p>
              </w:tc>
              <w:tc>
                <w:tcPr>
                  <w:tcW w:w="1149" w:type="pct"/>
                  <w:shd w:val="clear" w:color="auto" w:fill="auto"/>
                  <w:vAlign w:val="center"/>
                </w:tcPr>
                <w:p w14:paraId="72AD932A">
                  <w:pPr>
                    <w:pStyle w:val="12"/>
                  </w:pPr>
                  <w:r>
                    <w:rPr>
                      <w:rFonts w:hint="eastAsia"/>
                    </w:rPr>
                    <w:t>本项目利用水基岩屑</w:t>
                  </w:r>
                  <w:r>
                    <w:rPr>
                      <w:rFonts w:hint="eastAsia"/>
                      <w:lang w:eastAsia="zh-CN"/>
                    </w:rPr>
                    <w:t>、</w:t>
                  </w:r>
                  <w:r>
                    <w:rPr>
                      <w:rFonts w:hint="eastAsia"/>
                      <w:lang w:val="en-US" w:eastAsia="zh-CN"/>
                    </w:rPr>
                    <w:t>热脱附干渣</w:t>
                  </w:r>
                  <w:r>
                    <w:rPr>
                      <w:rFonts w:hint="eastAsia"/>
                    </w:rPr>
                    <w:t>烧制</w:t>
                  </w:r>
                  <w:r>
                    <w:rPr>
                      <w:rFonts w:hint="eastAsia"/>
                      <w:lang w:eastAsia="zh-CN"/>
                    </w:rPr>
                    <w:t>水稳层骨料</w:t>
                  </w:r>
                  <w:r>
                    <w:rPr>
                      <w:rFonts w:hint="eastAsia"/>
                    </w:rPr>
                    <w:t>，并利用</w:t>
                  </w:r>
                  <w:r>
                    <w:rPr>
                      <w:rFonts w:hint="eastAsia"/>
                      <w:lang w:eastAsia="zh-CN"/>
                    </w:rPr>
                    <w:t>水稳层骨料</w:t>
                  </w:r>
                  <w:r>
                    <w:rPr>
                      <w:rFonts w:hint="eastAsia"/>
                    </w:rPr>
                    <w:t>压制制备</w:t>
                  </w:r>
                  <w:r>
                    <w:rPr>
                      <w:rFonts w:hint="eastAsia"/>
                      <w:lang w:eastAsia="zh-CN"/>
                    </w:rPr>
                    <w:t>免烧砌块</w:t>
                  </w:r>
                  <w:r>
                    <w:rPr>
                      <w:rFonts w:hint="eastAsia"/>
                    </w:rPr>
                    <w:t>。</w:t>
                  </w:r>
                  <w:r>
                    <w:t>符合</w:t>
                  </w:r>
                  <w:r>
                    <w:rPr>
                      <w:rFonts w:hint="eastAsia"/>
                    </w:rPr>
                    <w:t>“</w:t>
                  </w:r>
                  <w:r>
                    <w:t>固体废物污染管控：提升固体废物资源化利用水平，通过回收、加工、循环、交换等方式，加快推进工业固体废物资源化利用</w:t>
                  </w:r>
                  <w:r>
                    <w:rPr>
                      <w:rFonts w:hint="eastAsia"/>
                    </w:rPr>
                    <w:t>”</w:t>
                  </w:r>
                  <w:r>
                    <w:t>相关要求。</w:t>
                  </w:r>
                </w:p>
                <w:p w14:paraId="13C37970">
                  <w:pPr>
                    <w:pStyle w:val="12"/>
                  </w:pPr>
                  <w:r>
                    <w:t>通过对土壤可能发生污染的途径分析，针对性地提出了源头控制、分区防渗等防治措施，</w:t>
                  </w:r>
                  <w:r>
                    <w:rPr>
                      <w:rFonts w:hint="eastAsia"/>
                    </w:rPr>
                    <w:t>并加强</w:t>
                  </w:r>
                  <w:r>
                    <w:t>环境管理；全面加强项目实施可能对土壤造成的影响；在落实相应措施后，对土壤环境影响较小。</w:t>
                  </w:r>
                </w:p>
              </w:tc>
              <w:tc>
                <w:tcPr>
                  <w:tcW w:w="617" w:type="pct"/>
                  <w:shd w:val="clear" w:color="auto" w:fill="auto"/>
                  <w:vAlign w:val="center"/>
                </w:tcPr>
                <w:p w14:paraId="4D1686BE">
                  <w:pPr>
                    <w:pStyle w:val="12"/>
                    <w:rPr>
                      <w:rFonts w:cs="Times New Roman"/>
                    </w:rPr>
                  </w:pPr>
                  <w:r>
                    <w:rPr>
                      <w:rFonts w:cs="Times New Roman"/>
                    </w:rPr>
                    <w:t>符合</w:t>
                  </w:r>
                </w:p>
              </w:tc>
            </w:tr>
          </w:tbl>
          <w:p w14:paraId="3F65198A">
            <w:pPr>
              <w:ind w:left="480" w:firstLine="0" w:firstLineChars="0"/>
              <w:rPr>
                <w:rFonts w:cs="Times New Roman"/>
              </w:rPr>
            </w:pPr>
            <w:r>
              <w:rPr>
                <w:rFonts w:cs="Times New Roman"/>
              </w:rPr>
              <w:t>综上，本项目建设与土壤污染防治相关要求相符。</w:t>
            </w:r>
          </w:p>
          <w:p w14:paraId="2495B312">
            <w:pPr>
              <w:ind w:left="480" w:firstLine="0" w:firstLineChars="0"/>
              <w:rPr>
                <w:rFonts w:cs="Times New Roman"/>
              </w:rPr>
            </w:pPr>
          </w:p>
          <w:p w14:paraId="4BEB3D3A">
            <w:pPr>
              <w:pStyle w:val="3"/>
              <w:spacing w:before="163"/>
            </w:pPr>
            <w:r>
              <w:rPr>
                <w:rFonts w:hint="eastAsia"/>
                <w:lang w:val="en-US" w:eastAsia="zh-CN"/>
              </w:rPr>
              <w:t>8</w:t>
            </w:r>
            <w:r>
              <w:t>、</w:t>
            </w:r>
            <w:r>
              <w:rPr>
                <w:rFonts w:hint="eastAsia"/>
              </w:rPr>
              <w:t>项目与固废污染防治相关政策</w:t>
            </w:r>
            <w:r>
              <w:t>符合性</w:t>
            </w:r>
          </w:p>
          <w:p w14:paraId="33AD9579">
            <w:pPr>
              <w:ind w:firstLine="482"/>
              <w:jc w:val="center"/>
              <w:rPr>
                <w:b/>
                <w:bCs/>
                <w:szCs w:val="21"/>
              </w:rPr>
            </w:pPr>
            <w:r>
              <w:rPr>
                <w:b/>
                <w:bCs/>
                <w:szCs w:val="21"/>
              </w:rPr>
              <w:t>表1-1</w:t>
            </w:r>
            <w:r>
              <w:rPr>
                <w:rFonts w:hint="eastAsia"/>
                <w:b/>
                <w:bCs/>
                <w:szCs w:val="21"/>
              </w:rPr>
              <w:t>1</w:t>
            </w:r>
            <w:r>
              <w:rPr>
                <w:b/>
                <w:bCs/>
                <w:szCs w:val="21"/>
              </w:rPr>
              <w:t xml:space="preserve"> 与固废污染防治等相关政策符合性分析</w:t>
            </w:r>
          </w:p>
          <w:tbl>
            <w:tblPr>
              <w:tblStyle w:val="4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737"/>
              <w:gridCol w:w="3552"/>
              <w:gridCol w:w="2657"/>
              <w:gridCol w:w="860"/>
            </w:tblGrid>
            <w:tr w14:paraId="3EB11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 w:hRule="atLeast"/>
                <w:jc w:val="center"/>
              </w:trPr>
              <w:tc>
                <w:tcPr>
                  <w:tcW w:w="986" w:type="pct"/>
                  <w:vAlign w:val="center"/>
                </w:tcPr>
                <w:p w14:paraId="254C1C93">
                  <w:pPr>
                    <w:pStyle w:val="45"/>
                  </w:pPr>
                  <w:r>
                    <w:t>政策文件</w:t>
                  </w:r>
                </w:p>
              </w:tc>
              <w:tc>
                <w:tcPr>
                  <w:tcW w:w="2016" w:type="pct"/>
                  <w:vAlign w:val="center"/>
                </w:tcPr>
                <w:p w14:paraId="73F0F02B">
                  <w:pPr>
                    <w:pStyle w:val="45"/>
                  </w:pPr>
                  <w:r>
                    <w:t>相关要求</w:t>
                  </w:r>
                </w:p>
              </w:tc>
              <w:tc>
                <w:tcPr>
                  <w:tcW w:w="1508" w:type="pct"/>
                  <w:vAlign w:val="center"/>
                </w:tcPr>
                <w:p w14:paraId="7D3A875F">
                  <w:pPr>
                    <w:pStyle w:val="45"/>
                  </w:pPr>
                  <w:r>
                    <w:t>本项目情况</w:t>
                  </w:r>
                </w:p>
              </w:tc>
              <w:tc>
                <w:tcPr>
                  <w:tcW w:w="488" w:type="pct"/>
                  <w:vAlign w:val="center"/>
                </w:tcPr>
                <w:p w14:paraId="49683B20">
                  <w:pPr>
                    <w:pStyle w:val="45"/>
                  </w:pPr>
                  <w:r>
                    <w:t>符合性</w:t>
                  </w:r>
                </w:p>
              </w:tc>
            </w:tr>
            <w:tr w14:paraId="1DD9B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 w:hRule="atLeast"/>
                <w:jc w:val="center"/>
              </w:trPr>
              <w:tc>
                <w:tcPr>
                  <w:tcW w:w="986" w:type="pct"/>
                  <w:vMerge w:val="restart"/>
                  <w:vAlign w:val="center"/>
                </w:tcPr>
                <w:p w14:paraId="2BFD58CC">
                  <w:pPr>
                    <w:pStyle w:val="12"/>
                  </w:pPr>
                  <w:r>
                    <w:t>《中华人民共和国固体废物污染环境防治法》</w:t>
                  </w:r>
                </w:p>
              </w:tc>
              <w:tc>
                <w:tcPr>
                  <w:tcW w:w="2016" w:type="pct"/>
                  <w:vAlign w:val="center"/>
                </w:tcPr>
                <w:p w14:paraId="31446200">
                  <w:pPr>
                    <w:pStyle w:val="12"/>
                  </w:pPr>
                  <w:r>
                    <w:t>产生、收集、贮存、运输、利用、处置固体废物的单位和个人，应当采取措施，防止或者减少固体废物对环境的污染，对所造成的环境污染依法承担责任。</w:t>
                  </w:r>
                </w:p>
              </w:tc>
              <w:tc>
                <w:tcPr>
                  <w:tcW w:w="1508" w:type="pct"/>
                  <w:vAlign w:val="center"/>
                </w:tcPr>
                <w:p w14:paraId="27707650">
                  <w:pPr>
                    <w:pStyle w:val="12"/>
                    <w:jc w:val="center"/>
                  </w:pPr>
                  <w:r>
                    <w:rPr>
                      <w:rFonts w:hint="eastAsia"/>
                    </w:rPr>
                    <w:t>本项目利用</w:t>
                  </w:r>
                  <w:r>
                    <w:t>水基岩屑</w:t>
                  </w:r>
                  <w:r>
                    <w:rPr>
                      <w:rFonts w:hint="eastAsia"/>
                      <w:lang w:val="en-US" w:eastAsia="zh-CN"/>
                    </w:rPr>
                    <w:t>和热脱附干渣</w:t>
                  </w:r>
                  <w:r>
                    <w:rPr>
                      <w:rFonts w:hint="eastAsia"/>
                    </w:rPr>
                    <w:t>为原料，生产</w:t>
                  </w:r>
                  <w:r>
                    <w:rPr>
                      <w:rFonts w:hint="eastAsia"/>
                      <w:lang w:eastAsia="zh-CN"/>
                    </w:rPr>
                    <w:t>水稳层骨料</w:t>
                  </w:r>
                  <w:r>
                    <w:rPr>
                      <w:rFonts w:hint="eastAsia"/>
                    </w:rPr>
                    <w:t>（再利用</w:t>
                  </w:r>
                  <w:r>
                    <w:rPr>
                      <w:rFonts w:hint="eastAsia"/>
                      <w:lang w:eastAsia="zh-CN"/>
                    </w:rPr>
                    <w:t>水稳层骨料</w:t>
                  </w:r>
                  <w:r>
                    <w:rPr>
                      <w:rFonts w:hint="eastAsia"/>
                    </w:rPr>
                    <w:t>制</w:t>
                  </w:r>
                  <w:r>
                    <w:rPr>
                      <w:rFonts w:hint="eastAsia"/>
                      <w:lang w:val="en-US" w:eastAsia="zh-CN"/>
                    </w:rPr>
                    <w:t>造免烧砌块</w:t>
                  </w:r>
                  <w:r>
                    <w:rPr>
                      <w:rFonts w:hint="eastAsia"/>
                    </w:rPr>
                    <w:t>），能够实现一般固废的综合利用。本项目针对废水、废气、噪声、固废均提出相应污染防治措施，</w:t>
                  </w:r>
                  <w:r>
                    <w:t>各项污染物能够达标排放，固废能够得到妥善处理处置，对环境影响较小。</w:t>
                  </w:r>
                </w:p>
              </w:tc>
              <w:tc>
                <w:tcPr>
                  <w:tcW w:w="488" w:type="pct"/>
                  <w:vAlign w:val="center"/>
                </w:tcPr>
                <w:p w14:paraId="7ADA2566">
                  <w:pPr>
                    <w:pStyle w:val="12"/>
                  </w:pPr>
                  <w:r>
                    <w:t>符合</w:t>
                  </w:r>
                </w:p>
              </w:tc>
            </w:tr>
            <w:tr w14:paraId="44A9D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 w:hRule="atLeast"/>
                <w:jc w:val="center"/>
              </w:trPr>
              <w:tc>
                <w:tcPr>
                  <w:tcW w:w="986" w:type="pct"/>
                  <w:vMerge w:val="continue"/>
                  <w:vAlign w:val="center"/>
                </w:tcPr>
                <w:p w14:paraId="444CCD6A">
                  <w:pPr>
                    <w:pStyle w:val="12"/>
                  </w:pPr>
                </w:p>
              </w:tc>
              <w:tc>
                <w:tcPr>
                  <w:tcW w:w="2016" w:type="pct"/>
                  <w:vAlign w:val="center"/>
                </w:tcPr>
                <w:p w14:paraId="51713160">
                  <w:pPr>
                    <w:pStyle w:val="12"/>
                  </w:pPr>
                  <w:r>
                    <w:t>建设产生、贮存、利用、处置固体废物的项目，应当依法进行环境影响评价，并遵守国家有关建设项目环境保护管理的规定。</w:t>
                  </w:r>
                </w:p>
              </w:tc>
              <w:tc>
                <w:tcPr>
                  <w:tcW w:w="1508" w:type="pct"/>
                  <w:vAlign w:val="center"/>
                </w:tcPr>
                <w:p w14:paraId="7E800FDB">
                  <w:pPr>
                    <w:pStyle w:val="12"/>
                  </w:pPr>
                  <w:r>
                    <w:t>依法进行环境影响评价，并遵守国家有关建设项目环境保护管理的规定。</w:t>
                  </w:r>
                </w:p>
              </w:tc>
              <w:tc>
                <w:tcPr>
                  <w:tcW w:w="488" w:type="pct"/>
                  <w:vAlign w:val="center"/>
                </w:tcPr>
                <w:p w14:paraId="7A8B14CC">
                  <w:pPr>
                    <w:pStyle w:val="12"/>
                  </w:pPr>
                  <w:r>
                    <w:t>符合</w:t>
                  </w:r>
                </w:p>
              </w:tc>
            </w:tr>
            <w:tr w14:paraId="34E0C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 w:hRule="atLeast"/>
                <w:jc w:val="center"/>
              </w:trPr>
              <w:tc>
                <w:tcPr>
                  <w:tcW w:w="986" w:type="pct"/>
                  <w:vMerge w:val="continue"/>
                  <w:vAlign w:val="center"/>
                </w:tcPr>
                <w:p w14:paraId="432AC5D3">
                  <w:pPr>
                    <w:pStyle w:val="12"/>
                  </w:pPr>
                </w:p>
              </w:tc>
              <w:tc>
                <w:tcPr>
                  <w:tcW w:w="2016" w:type="pct"/>
                  <w:vAlign w:val="center"/>
                </w:tcPr>
                <w:p w14:paraId="5AF417A7">
                  <w:pPr>
                    <w:pStyle w:val="12"/>
                  </w:pPr>
                  <w:r>
                    <w:t>建设工业固体废物贮存、处置的设施、场所，应当符合国家环境保护标准。</w:t>
                  </w:r>
                </w:p>
              </w:tc>
              <w:tc>
                <w:tcPr>
                  <w:tcW w:w="1508" w:type="pct"/>
                  <w:vAlign w:val="center"/>
                </w:tcPr>
                <w:p w14:paraId="613C4000">
                  <w:pPr>
                    <w:pStyle w:val="12"/>
                  </w:pPr>
                  <w:r>
                    <w:rPr>
                      <w:rFonts w:hint="eastAsia"/>
                    </w:rPr>
                    <w:t>在车间内</w:t>
                  </w:r>
                  <w:r>
                    <w:t>建设水基岩屑储存池，对贮存场所进行重点防渗，符合国家环境保护标准。</w:t>
                  </w:r>
                </w:p>
              </w:tc>
              <w:tc>
                <w:tcPr>
                  <w:tcW w:w="488" w:type="pct"/>
                  <w:vAlign w:val="center"/>
                </w:tcPr>
                <w:p w14:paraId="6E8D1162">
                  <w:pPr>
                    <w:pStyle w:val="12"/>
                  </w:pPr>
                  <w:r>
                    <w:t>符合</w:t>
                  </w:r>
                </w:p>
              </w:tc>
            </w:tr>
            <w:tr w14:paraId="4D739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 w:hRule="atLeast"/>
                <w:jc w:val="center"/>
              </w:trPr>
              <w:tc>
                <w:tcPr>
                  <w:tcW w:w="986" w:type="pct"/>
                  <w:vMerge w:val="restart"/>
                  <w:vAlign w:val="center"/>
                </w:tcPr>
                <w:p w14:paraId="4EA67009">
                  <w:pPr>
                    <w:pStyle w:val="12"/>
                    <w:rPr>
                      <w:rFonts w:hint="eastAsia" w:eastAsia="宋体"/>
                      <w:lang w:eastAsia="zh-CN"/>
                    </w:rPr>
                  </w:pPr>
                  <w:r>
                    <w:rPr>
                      <w:rFonts w:hint="eastAsia"/>
                      <w:lang w:eastAsia="zh-CN"/>
                    </w:rPr>
                    <w:t>《</w:t>
                  </w:r>
                  <w:r>
                    <w:rPr>
                      <w:rFonts w:hint="eastAsia"/>
                      <w:lang w:val="en-US" w:eastAsia="zh-CN"/>
                    </w:rPr>
                    <w:t>固体废物综合治理行动计划</w:t>
                  </w:r>
                  <w:r>
                    <w:rPr>
                      <w:rFonts w:hint="eastAsia"/>
                      <w:lang w:eastAsia="zh-CN"/>
                    </w:rPr>
                    <w:t>》（</w:t>
                  </w:r>
                  <w:r>
                    <w:rPr>
                      <w:rFonts w:hint="eastAsia"/>
                      <w:lang w:val="en-US" w:eastAsia="zh-CN"/>
                    </w:rPr>
                    <w:t>国发〔2025〕14号</w:t>
                  </w:r>
                  <w:r>
                    <w:rPr>
                      <w:rFonts w:hint="eastAsia"/>
                      <w:lang w:eastAsia="zh-CN"/>
                    </w:rPr>
                    <w:t>）</w:t>
                  </w:r>
                </w:p>
              </w:tc>
              <w:tc>
                <w:tcPr>
                  <w:tcW w:w="2016" w:type="pct"/>
                  <w:vAlign w:val="center"/>
                </w:tcPr>
                <w:p w14:paraId="09AAF00F">
                  <w:pPr>
                    <w:pStyle w:val="12"/>
                  </w:pPr>
                  <w:r>
                    <w:t>加强工业固体废物规范化管理。</w:t>
                  </w:r>
                  <w:r>
                    <w:rPr>
                      <w:rFonts w:hint="eastAsia"/>
                    </w:rPr>
                    <w:t>完善工业固体废物管理台账制度，强化全链条跟踪管控。推行工业固体废物分类收集贮存，防范混堆混排。禁止向生活垃圾收集设施中投放工业固体废物。严格执行工业固体废物、危险废物跨省转移审批制度。规范各类企业危险废物收集管理。</w:t>
                  </w:r>
                </w:p>
              </w:tc>
              <w:tc>
                <w:tcPr>
                  <w:tcW w:w="1508" w:type="pct"/>
                  <w:vAlign w:val="center"/>
                </w:tcPr>
                <w:p w14:paraId="46EAA504">
                  <w:pPr>
                    <w:pStyle w:val="12"/>
                    <w:rPr>
                      <w:rFonts w:hint="default" w:eastAsia="宋体"/>
                      <w:lang w:val="en-US" w:eastAsia="zh-CN"/>
                    </w:rPr>
                  </w:pPr>
                  <w:r>
                    <w:rPr>
                      <w:rFonts w:hint="eastAsia"/>
                      <w:lang w:val="en-US" w:eastAsia="zh-CN"/>
                    </w:rPr>
                    <w:t>本项目原料为水基岩屑和热脱附干渣，经鉴定均属一般工业固废。</w:t>
                  </w:r>
                </w:p>
              </w:tc>
              <w:tc>
                <w:tcPr>
                  <w:tcW w:w="488" w:type="pct"/>
                  <w:vMerge w:val="restart"/>
                  <w:vAlign w:val="center"/>
                </w:tcPr>
                <w:p w14:paraId="6F589978">
                  <w:pPr>
                    <w:pStyle w:val="12"/>
                    <w:rPr>
                      <w:rFonts w:hint="eastAsia" w:eastAsia="宋体"/>
                      <w:lang w:val="en-US" w:eastAsia="zh-CN"/>
                    </w:rPr>
                  </w:pPr>
                  <w:r>
                    <w:rPr>
                      <w:rFonts w:hint="eastAsia"/>
                      <w:lang w:val="en-US" w:eastAsia="zh-CN"/>
                    </w:rPr>
                    <w:t>符合</w:t>
                  </w:r>
                </w:p>
              </w:tc>
            </w:tr>
            <w:tr w14:paraId="0CFCA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 w:hRule="atLeast"/>
                <w:jc w:val="center"/>
              </w:trPr>
              <w:tc>
                <w:tcPr>
                  <w:tcW w:w="986" w:type="pct"/>
                  <w:vMerge w:val="continue"/>
                  <w:vAlign w:val="center"/>
                </w:tcPr>
                <w:p w14:paraId="4AA03236">
                  <w:pPr>
                    <w:pStyle w:val="12"/>
                  </w:pPr>
                </w:p>
              </w:tc>
              <w:tc>
                <w:tcPr>
                  <w:tcW w:w="2016" w:type="pct"/>
                  <w:vAlign w:val="center"/>
                </w:tcPr>
                <w:p w14:paraId="6077D08E">
                  <w:pPr>
                    <w:pStyle w:val="12"/>
                    <w:rPr>
                      <w:rFonts w:hint="eastAsia"/>
                    </w:rPr>
                  </w:pPr>
                  <w:r>
                    <w:rPr>
                      <w:rFonts w:hint="eastAsia"/>
                    </w:rPr>
                    <w:t>加强大宗固体废弃物综合利用。提升冶炼渣、尾矿、共伴生矿、赤泥、建筑垃圾综合利用能力，加强有价组分高效提取及整体利用，因地制宜推动煤矸石多元化利用。拓宽秸秆综合利用途径，提高秸秆还田科学化、规范化水平。推进畜禽养殖废弃物资源化利用。</w:t>
                  </w:r>
                </w:p>
              </w:tc>
              <w:tc>
                <w:tcPr>
                  <w:tcW w:w="1508" w:type="pct"/>
                  <w:vAlign w:val="center"/>
                </w:tcPr>
                <w:p w14:paraId="7C105A37">
                  <w:pPr>
                    <w:pStyle w:val="12"/>
                    <w:rPr>
                      <w:rFonts w:hint="default" w:eastAsia="宋体"/>
                      <w:lang w:val="en-US" w:eastAsia="zh-CN"/>
                    </w:rPr>
                  </w:pPr>
                  <w:r>
                    <w:rPr>
                      <w:rFonts w:hint="eastAsia"/>
                      <w:lang w:val="en-US" w:eastAsia="zh-CN"/>
                    </w:rPr>
                    <w:t>本项目不涉及大宗固体废弃物的综合利用。</w:t>
                  </w:r>
                </w:p>
              </w:tc>
              <w:tc>
                <w:tcPr>
                  <w:tcW w:w="488" w:type="pct"/>
                  <w:vMerge w:val="continue"/>
                  <w:vAlign w:val="center"/>
                </w:tcPr>
                <w:p w14:paraId="2D023A39">
                  <w:pPr>
                    <w:pStyle w:val="12"/>
                  </w:pPr>
                </w:p>
              </w:tc>
            </w:tr>
            <w:tr w14:paraId="37E0A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 w:hRule="atLeast"/>
                <w:jc w:val="center"/>
              </w:trPr>
              <w:tc>
                <w:tcPr>
                  <w:tcW w:w="986" w:type="pct"/>
                  <w:vMerge w:val="continue"/>
                  <w:vAlign w:val="center"/>
                </w:tcPr>
                <w:p w14:paraId="41A450EF">
                  <w:pPr>
                    <w:pStyle w:val="12"/>
                  </w:pPr>
                </w:p>
              </w:tc>
              <w:tc>
                <w:tcPr>
                  <w:tcW w:w="2016" w:type="pct"/>
                  <w:vAlign w:val="center"/>
                </w:tcPr>
                <w:p w14:paraId="2DA849F6">
                  <w:pPr>
                    <w:pStyle w:val="12"/>
                    <w:rPr>
                      <w:rFonts w:hint="eastAsia"/>
                    </w:rPr>
                  </w:pPr>
                  <w:r>
                    <w:rPr>
                      <w:rFonts w:hint="eastAsia"/>
                    </w:rPr>
                    <w:t>提升再生资源循环利用水平。强化再生资源综合利用行业规范管理。开展“城市矿产”示范基地升级行动。深入实施生产者责任延伸制度，引导电器电子产品、汽车、动力电池等生产企业参与回收利用。完善旧货交易管理制度。鼓励“互联网＋二手”模式发展。大力发展再制造产业。在确保固体废物零进口的前提下，有序推进海外优质再生资源进口利用。</w:t>
                  </w:r>
                </w:p>
              </w:tc>
              <w:tc>
                <w:tcPr>
                  <w:tcW w:w="1508" w:type="pct"/>
                  <w:vAlign w:val="center"/>
                </w:tcPr>
                <w:p w14:paraId="01BC32BA">
                  <w:pPr>
                    <w:pStyle w:val="12"/>
                    <w:rPr>
                      <w:rFonts w:hint="default" w:eastAsia="宋体"/>
                      <w:lang w:val="en-US" w:eastAsia="zh-CN"/>
                    </w:rPr>
                  </w:pPr>
                  <w:r>
                    <w:rPr>
                      <w:rFonts w:hint="eastAsia"/>
                      <w:lang w:val="en-US" w:eastAsia="zh-CN"/>
                    </w:rPr>
                    <w:t>本项目属于水基岩屑和热脱附干渣的综合利用，不属于电器电子产品、汽车、动力电池等行业。</w:t>
                  </w:r>
                </w:p>
              </w:tc>
              <w:tc>
                <w:tcPr>
                  <w:tcW w:w="488" w:type="pct"/>
                  <w:vMerge w:val="continue"/>
                  <w:vAlign w:val="center"/>
                </w:tcPr>
                <w:p w14:paraId="335FE7EC">
                  <w:pPr>
                    <w:pStyle w:val="12"/>
                  </w:pPr>
                </w:p>
              </w:tc>
            </w:tr>
            <w:tr w14:paraId="5D0E6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 w:hRule="atLeast"/>
                <w:jc w:val="center"/>
              </w:trPr>
              <w:tc>
                <w:tcPr>
                  <w:tcW w:w="986" w:type="pct"/>
                  <w:vMerge w:val="continue"/>
                  <w:vAlign w:val="center"/>
                </w:tcPr>
                <w:p w14:paraId="5C83C9FA">
                  <w:pPr>
                    <w:pStyle w:val="12"/>
                  </w:pPr>
                </w:p>
              </w:tc>
              <w:tc>
                <w:tcPr>
                  <w:tcW w:w="2016" w:type="pct"/>
                  <w:vAlign w:val="center"/>
                </w:tcPr>
                <w:p w14:paraId="62C1080B">
                  <w:pPr>
                    <w:pStyle w:val="12"/>
                    <w:rPr>
                      <w:rFonts w:hint="eastAsia"/>
                    </w:rPr>
                  </w:pPr>
                  <w:r>
                    <w:rPr>
                      <w:rFonts w:hint="eastAsia"/>
                    </w:rPr>
                    <w:t>加强再生材料应用推广。建立完善再生材料标准和认证制度。研究实施再生材料和产品碳足迹认证。引导生产企业提高再生材料应用比例。推动将再生材料应用情况纳入企业履行社会责任范围。将更多符合条件的再生材料和产品纳入政府绿色采购范围。探索再生材料应用情况信息化追溯。</w:t>
                  </w:r>
                </w:p>
              </w:tc>
              <w:tc>
                <w:tcPr>
                  <w:tcW w:w="1508" w:type="pct"/>
                  <w:vAlign w:val="center"/>
                </w:tcPr>
                <w:p w14:paraId="33F490B8">
                  <w:pPr>
                    <w:pStyle w:val="12"/>
                    <w:rPr>
                      <w:rFonts w:hint="default" w:eastAsia="宋体"/>
                      <w:lang w:val="en-US" w:eastAsia="zh-CN"/>
                    </w:rPr>
                  </w:pPr>
                  <w:r>
                    <w:rPr>
                      <w:rFonts w:hint="eastAsia"/>
                      <w:lang w:val="en-US" w:eastAsia="zh-CN"/>
                    </w:rPr>
                    <w:t>本项目利用水基岩屑和热脱附干渣烧制免烧砌块，其产品严格执行</w:t>
                  </w:r>
                  <w:r>
                    <w:rPr>
                      <w:rFonts w:hint="default" w:ascii="Times New Roman" w:hAnsi="Times New Roman" w:eastAsia="宋体" w:cs="Times New Roman"/>
                      <w:color w:val="000000"/>
                      <w:kern w:val="0"/>
                      <w:sz w:val="21"/>
                      <w:szCs w:val="21"/>
                      <w:lang w:val="en-US" w:eastAsia="zh-CN" w:bidi="ar"/>
                    </w:rPr>
                    <w:t>《砌墙砖实验方法》（GB/T2542-2012）和《透水路面砖和透水路面板》（GB/T25993-2023）中相关要求</w:t>
                  </w:r>
                  <w:r>
                    <w:rPr>
                      <w:rFonts w:hint="eastAsia" w:cs="Times New Roman"/>
                      <w:color w:val="000000"/>
                      <w:kern w:val="0"/>
                      <w:sz w:val="21"/>
                      <w:szCs w:val="21"/>
                      <w:lang w:val="en-US" w:eastAsia="zh-CN" w:bidi="ar"/>
                    </w:rPr>
                    <w:t>以及其他相关标准要求。</w:t>
                  </w:r>
                </w:p>
              </w:tc>
              <w:tc>
                <w:tcPr>
                  <w:tcW w:w="488" w:type="pct"/>
                  <w:vMerge w:val="continue"/>
                  <w:vAlign w:val="center"/>
                </w:tcPr>
                <w:p w14:paraId="09A5A883">
                  <w:pPr>
                    <w:pStyle w:val="12"/>
                  </w:pPr>
                </w:p>
              </w:tc>
            </w:tr>
            <w:tr w14:paraId="4A556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 w:hRule="atLeast"/>
                <w:jc w:val="center"/>
              </w:trPr>
              <w:tc>
                <w:tcPr>
                  <w:tcW w:w="986" w:type="pct"/>
                  <w:vMerge w:val="continue"/>
                  <w:vAlign w:val="center"/>
                </w:tcPr>
                <w:p w14:paraId="13927760">
                  <w:pPr>
                    <w:pStyle w:val="12"/>
                  </w:pPr>
                </w:p>
              </w:tc>
              <w:tc>
                <w:tcPr>
                  <w:tcW w:w="2016" w:type="pct"/>
                  <w:vAlign w:val="center"/>
                </w:tcPr>
                <w:p w14:paraId="385C2148">
                  <w:pPr>
                    <w:pStyle w:val="12"/>
                    <w:rPr>
                      <w:rFonts w:hint="eastAsia"/>
                    </w:rPr>
                  </w:pPr>
                  <w:r>
                    <w:rPr>
                      <w:rFonts w:hint="eastAsia"/>
                      <w:lang w:val="en-US" w:eastAsia="zh-CN"/>
                    </w:rPr>
                    <w:t>提</w:t>
                  </w:r>
                  <w:r>
                    <w:rPr>
                      <w:rFonts w:hint="eastAsia"/>
                    </w:rPr>
                    <w:t>升全过程无害化水平。加强大宗工业固体废物无害化预处理，降低贮存填埋量和环境污染风险。因地制宜确定生活垃圾处理方式，合理布局建设生活垃圾焚烧处理设施，鼓励在确保安全稳定运行前提下，协同处置城镇污水处理厂污泥和工业固体废物。新建生活垃圾焚烧项目应同步落实飞灰处理途径，逐步减少飞灰填埋量。优化污泥处理处置结构，压减填埋规模。</w:t>
                  </w:r>
                </w:p>
              </w:tc>
              <w:tc>
                <w:tcPr>
                  <w:tcW w:w="1508" w:type="pct"/>
                  <w:vAlign w:val="center"/>
                </w:tcPr>
                <w:p w14:paraId="562AFB25">
                  <w:pPr>
                    <w:pStyle w:val="12"/>
                  </w:pPr>
                  <w:r>
                    <w:rPr>
                      <w:rFonts w:hint="eastAsia"/>
                      <w:lang w:val="en-US" w:eastAsia="zh-CN"/>
                    </w:rPr>
                    <w:t>本项目属于水基岩屑和热脱附干渣的综合利用，水基岩屑和热脱附干渣，经鉴定均属一般工业固废。</w:t>
                  </w:r>
                </w:p>
              </w:tc>
              <w:tc>
                <w:tcPr>
                  <w:tcW w:w="488" w:type="pct"/>
                  <w:vMerge w:val="continue"/>
                  <w:vAlign w:val="center"/>
                </w:tcPr>
                <w:p w14:paraId="7E4ED316">
                  <w:pPr>
                    <w:pStyle w:val="12"/>
                  </w:pPr>
                </w:p>
              </w:tc>
            </w:tr>
            <w:tr w14:paraId="7B918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 w:hRule="atLeast"/>
                <w:jc w:val="center"/>
              </w:trPr>
              <w:tc>
                <w:tcPr>
                  <w:tcW w:w="986" w:type="pct"/>
                  <w:vMerge w:val="continue"/>
                  <w:vAlign w:val="center"/>
                </w:tcPr>
                <w:p w14:paraId="5E592B60">
                  <w:pPr>
                    <w:pStyle w:val="12"/>
                  </w:pPr>
                </w:p>
              </w:tc>
              <w:tc>
                <w:tcPr>
                  <w:tcW w:w="2016" w:type="pct"/>
                  <w:vAlign w:val="center"/>
                </w:tcPr>
                <w:p w14:paraId="7730AE45">
                  <w:pPr>
                    <w:pStyle w:val="12"/>
                    <w:rPr>
                      <w:rFonts w:hint="eastAsia"/>
                    </w:rPr>
                  </w:pPr>
                  <w:r>
                    <w:rPr>
                      <w:rFonts w:hint="eastAsia"/>
                    </w:rPr>
                    <w:t>稳妥有序探索规模化消纳利用渠道。在符合环境质量标准、污染风险管控要求和安全生产要求前提下，探索通过井下充填、矿坑回填、生态修复等方式规模化消纳利用大宗工业固体废物。建立统一规范的管理制度，加强部门协同，严格履行相关审批和决策程序，坚决防范以规模化消纳利用名义非法倾倒。</w:t>
                  </w:r>
                </w:p>
              </w:tc>
              <w:tc>
                <w:tcPr>
                  <w:tcW w:w="1508" w:type="pct"/>
                  <w:vAlign w:val="center"/>
                </w:tcPr>
                <w:p w14:paraId="16A4E963">
                  <w:pPr>
                    <w:pStyle w:val="12"/>
                    <w:rPr>
                      <w:rFonts w:hint="default" w:eastAsia="宋体"/>
                      <w:lang w:val="en-US" w:eastAsia="zh-CN"/>
                    </w:rPr>
                  </w:pPr>
                  <w:r>
                    <w:rPr>
                      <w:rFonts w:hint="eastAsia"/>
                      <w:lang w:val="en-US" w:eastAsia="zh-CN"/>
                    </w:rPr>
                    <w:t>本项目为水基岩屑和热脱附干渣的综合利用，生产过程产生的固体废物均得到妥善处理。</w:t>
                  </w:r>
                </w:p>
              </w:tc>
              <w:tc>
                <w:tcPr>
                  <w:tcW w:w="488" w:type="pct"/>
                  <w:vMerge w:val="continue"/>
                  <w:vAlign w:val="center"/>
                </w:tcPr>
                <w:p w14:paraId="45E9D992">
                  <w:pPr>
                    <w:pStyle w:val="12"/>
                  </w:pPr>
                </w:p>
              </w:tc>
            </w:tr>
          </w:tbl>
          <w:p w14:paraId="22EDC11D">
            <w:pPr>
              <w:pStyle w:val="3"/>
              <w:spacing w:before="163"/>
            </w:pPr>
            <w:r>
              <w:rPr>
                <w:rFonts w:hint="eastAsia"/>
                <w:lang w:val="en-US" w:eastAsia="zh-CN"/>
              </w:rPr>
              <w:t>9</w:t>
            </w:r>
            <w:r>
              <w:t>、</w:t>
            </w:r>
            <w:r>
              <w:rPr>
                <w:rFonts w:hint="eastAsia"/>
              </w:rPr>
              <w:t>项目与</w:t>
            </w:r>
            <w:r>
              <w:t>《固体废物再生利用污染防治技术导则》</w:t>
            </w:r>
            <w:r>
              <w:rPr>
                <w:rFonts w:hint="eastAsia"/>
              </w:rPr>
              <w:t>（</w:t>
            </w:r>
            <w:r>
              <w:t>HJ1091-2020）符合性</w:t>
            </w:r>
          </w:p>
          <w:p w14:paraId="3526E80F">
            <w:pPr>
              <w:pStyle w:val="11"/>
            </w:pPr>
            <w:bookmarkStart w:id="29" w:name="OLE_LINK94"/>
            <w:bookmarkStart w:id="30" w:name="OLE_LINK95"/>
            <w:r>
              <w:t>表</w:t>
            </w:r>
            <w:r>
              <w:rPr>
                <w:rFonts w:hint="eastAsia"/>
                <w:lang w:val="en-US" w:eastAsia="zh-CN"/>
              </w:rPr>
              <w:t>1</w:t>
            </w:r>
            <w:r>
              <w:noBreakHyphen/>
            </w:r>
            <w:r>
              <w:rPr>
                <w:rFonts w:hint="eastAsia"/>
                <w:lang w:val="en-US" w:eastAsia="zh-CN"/>
              </w:rPr>
              <w:t>12</w:t>
            </w:r>
            <w:r>
              <w:t xml:space="preserve"> </w:t>
            </w:r>
            <w:bookmarkEnd w:id="29"/>
            <w:bookmarkEnd w:id="30"/>
            <w:r>
              <w:t>与《固体废物再生利用污染防治技术导则》</w:t>
            </w:r>
            <w:r>
              <w:rPr>
                <w:rFonts w:hint="eastAsia"/>
              </w:rPr>
              <w:t>（</w:t>
            </w:r>
            <w:r>
              <w:t>HJ1091-2020）符合性分析</w:t>
            </w:r>
          </w:p>
          <w:tbl>
            <w:tblPr>
              <w:tblStyle w:val="2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48"/>
              <w:gridCol w:w="3545"/>
              <w:gridCol w:w="3742"/>
              <w:gridCol w:w="1071"/>
            </w:tblGrid>
            <w:tr w14:paraId="48F1F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54" w:type="pct"/>
                  <w:vAlign w:val="center"/>
                </w:tcPr>
                <w:p w14:paraId="30A15DC5">
                  <w:pPr>
                    <w:pStyle w:val="45"/>
                  </w:pPr>
                  <w:r>
                    <w:t>序号</w:t>
                  </w:r>
                </w:p>
              </w:tc>
              <w:tc>
                <w:tcPr>
                  <w:tcW w:w="2012" w:type="pct"/>
                  <w:vAlign w:val="center"/>
                </w:tcPr>
                <w:p w14:paraId="39970BA2">
                  <w:pPr>
                    <w:pStyle w:val="45"/>
                  </w:pPr>
                  <w:r>
                    <w:t>HJ1091-2020相关要求</w:t>
                  </w:r>
                </w:p>
              </w:tc>
              <w:tc>
                <w:tcPr>
                  <w:tcW w:w="2124" w:type="pct"/>
                  <w:vAlign w:val="center"/>
                </w:tcPr>
                <w:p w14:paraId="72A6211D">
                  <w:pPr>
                    <w:pStyle w:val="45"/>
                  </w:pPr>
                  <w:r>
                    <w:t>本项目情况</w:t>
                  </w:r>
                </w:p>
              </w:tc>
              <w:tc>
                <w:tcPr>
                  <w:tcW w:w="608" w:type="pct"/>
                  <w:vAlign w:val="center"/>
                </w:tcPr>
                <w:p w14:paraId="6A513883">
                  <w:pPr>
                    <w:pStyle w:val="45"/>
                  </w:pPr>
                  <w:r>
                    <w:t>符合性</w:t>
                  </w:r>
                </w:p>
              </w:tc>
            </w:tr>
            <w:tr w14:paraId="11687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54" w:type="pct"/>
                  <w:vAlign w:val="center"/>
                </w:tcPr>
                <w:p w14:paraId="05BDF5C9">
                  <w:pPr>
                    <w:pStyle w:val="12"/>
                  </w:pPr>
                  <w:r>
                    <w:t>1</w:t>
                  </w:r>
                </w:p>
              </w:tc>
              <w:tc>
                <w:tcPr>
                  <w:tcW w:w="2012" w:type="pct"/>
                  <w:vAlign w:val="center"/>
                </w:tcPr>
                <w:p w14:paraId="638ACB1A">
                  <w:pPr>
                    <w:pStyle w:val="12"/>
                  </w:pPr>
                  <w:r>
                    <w:t>进行再生利用作业前，应明确固体废物的理化特性，并采取相应的安全防护措施，以防止固体废物在清洗、破碎、中和反应等过程中引起有毒有害物质的释放。</w:t>
                  </w:r>
                </w:p>
              </w:tc>
              <w:tc>
                <w:tcPr>
                  <w:tcW w:w="2124" w:type="pct"/>
                  <w:vAlign w:val="center"/>
                </w:tcPr>
                <w:p w14:paraId="5E9E8F4B">
                  <w:pPr>
                    <w:pStyle w:val="12"/>
                  </w:pPr>
                  <w:r>
                    <w:t>水基岩屑来源于巴中</w:t>
                  </w:r>
                  <w:r>
                    <w:rPr>
                      <w:rFonts w:hint="eastAsia"/>
                    </w:rPr>
                    <w:t>及周边</w:t>
                  </w:r>
                  <w:r>
                    <w:t>天然气钻井过程中产生的水基岩屑。</w:t>
                  </w:r>
                  <w:r>
                    <w:rPr>
                      <w:rFonts w:hint="eastAsia"/>
                      <w:lang w:val="en-US" w:eastAsia="zh-CN"/>
                    </w:rPr>
                    <w:t>热脱附干渣来源于四川安瑞环境治理有限公司连续式热脱附装置生产线产出的干渣。</w:t>
                  </w:r>
                  <w:r>
                    <w:t>根据2018年2月原四川省环境保护厅发布的《四川省页岩气开采业污染防治技术政策》</w:t>
                  </w:r>
                  <w:r>
                    <w:rPr>
                      <w:rFonts w:hint="eastAsia"/>
                      <w:lang w:eastAsia="zh-CN"/>
                    </w:rPr>
                    <w:t>，</w:t>
                  </w:r>
                  <w:r>
                    <w:t>水基岩屑按照一般工业固废管理</w:t>
                  </w:r>
                  <w:r>
                    <w:rPr>
                      <w:rFonts w:hint="eastAsia"/>
                      <w:lang w:eastAsia="zh-CN"/>
                    </w:rPr>
                    <w:t>；</w:t>
                  </w:r>
                  <w:r>
                    <w:rPr>
                      <w:rFonts w:hint="eastAsia"/>
                      <w:lang w:val="en-US" w:eastAsia="zh-CN"/>
                    </w:rPr>
                    <w:t>本项目只接收鉴定为一般固废的热脱附干渣</w:t>
                  </w:r>
                  <w:r>
                    <w:t>。同时，设置专用</w:t>
                  </w:r>
                  <w:r>
                    <w:rPr>
                      <w:rFonts w:hint="eastAsia"/>
                    </w:rPr>
                    <w:t>水基岩屑储存池</w:t>
                  </w:r>
                  <w:r>
                    <w:t>，用于</w:t>
                  </w:r>
                  <w:r>
                    <w:rPr>
                      <w:rFonts w:hint="eastAsia"/>
                    </w:rPr>
                    <w:t>暂存</w:t>
                  </w:r>
                  <w:r>
                    <w:rPr>
                      <w:rFonts w:hint="eastAsia"/>
                      <w:lang w:eastAsia="zh-CN"/>
                    </w:rPr>
                    <w:t>水基岩屑</w:t>
                  </w:r>
                  <w:r>
                    <w:rPr>
                      <w:rFonts w:hint="eastAsia"/>
                    </w:rPr>
                    <w:t>原料，储存池采取</w:t>
                  </w:r>
                  <w:r>
                    <w:t>相应的防渗措施，防止有毒有害物质的释放。</w:t>
                  </w:r>
                </w:p>
              </w:tc>
              <w:tc>
                <w:tcPr>
                  <w:tcW w:w="608" w:type="pct"/>
                  <w:vAlign w:val="center"/>
                </w:tcPr>
                <w:p w14:paraId="03EC0AD7">
                  <w:pPr>
                    <w:pStyle w:val="12"/>
                  </w:pPr>
                  <w:r>
                    <w:t>符合</w:t>
                  </w:r>
                </w:p>
              </w:tc>
            </w:tr>
            <w:tr w14:paraId="46DC3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54" w:type="pct"/>
                  <w:vAlign w:val="center"/>
                </w:tcPr>
                <w:p w14:paraId="70C4D90D">
                  <w:pPr>
                    <w:pStyle w:val="12"/>
                  </w:pPr>
                  <w:r>
                    <w:t>2</w:t>
                  </w:r>
                </w:p>
              </w:tc>
              <w:tc>
                <w:tcPr>
                  <w:tcW w:w="2012" w:type="pct"/>
                  <w:vAlign w:val="center"/>
                </w:tcPr>
                <w:p w14:paraId="4AC7C00F">
                  <w:pPr>
                    <w:pStyle w:val="12"/>
                  </w:pPr>
                  <w:r>
                    <w:t>应根据固体废物的特性设置必要的防扬撒、防渗漏、防腐蚀设施，配备废气处理、废水处理、噪声控制等污染防治设施，按要求对主要环境影响指标进行在线监测。</w:t>
                  </w:r>
                </w:p>
              </w:tc>
              <w:tc>
                <w:tcPr>
                  <w:tcW w:w="2124" w:type="pct"/>
                  <w:vMerge w:val="restart"/>
                  <w:vAlign w:val="center"/>
                </w:tcPr>
                <w:p w14:paraId="6C1FCE7F">
                  <w:pPr>
                    <w:pStyle w:val="12"/>
                    <w:rPr>
                      <w:rFonts w:hint="eastAsia"/>
                    </w:rPr>
                  </w:pPr>
                  <w:r>
                    <w:t>水基岩屑</w:t>
                  </w:r>
                  <w:r>
                    <w:rPr>
                      <w:rFonts w:hint="eastAsia"/>
                      <w:lang w:val="en-US" w:eastAsia="zh-CN"/>
                    </w:rPr>
                    <w:t>和热脱附干渣分别</w:t>
                  </w:r>
                  <w:r>
                    <w:t>储存于</w:t>
                  </w:r>
                  <w:r>
                    <w:rPr>
                      <w:rFonts w:hint="eastAsia"/>
                    </w:rPr>
                    <w:t>车间内储存池</w:t>
                  </w:r>
                  <w:r>
                    <w:rPr>
                      <w:rFonts w:hint="eastAsia"/>
                      <w:lang w:eastAsia="zh-CN"/>
                    </w:rPr>
                    <w:t>、</w:t>
                  </w:r>
                  <w:r>
                    <w:rPr>
                      <w:rFonts w:hint="eastAsia"/>
                      <w:lang w:val="en-US" w:eastAsia="zh-CN"/>
                    </w:rPr>
                    <w:t>堆放区</w:t>
                  </w:r>
                  <w:r>
                    <w:t>，</w:t>
                  </w:r>
                  <w:r>
                    <w:rPr>
                      <w:rFonts w:hint="eastAsia"/>
                      <w:lang w:val="en-US" w:eastAsia="zh-CN"/>
                    </w:rPr>
                    <w:t>均</w:t>
                  </w:r>
                  <w:r>
                    <w:t>采</w:t>
                  </w:r>
                  <w:r>
                    <w:rPr>
                      <w:rFonts w:hint="eastAsia"/>
                      <w:lang w:val="en-US" w:eastAsia="zh-CN"/>
                    </w:rPr>
                    <w:t>取</w:t>
                  </w:r>
                  <w:r>
                    <w:t>重点防渗措施。水基岩屑</w:t>
                  </w:r>
                  <w:r>
                    <w:rPr>
                      <w:rFonts w:hint="eastAsia"/>
                      <w:lang w:val="en-US" w:eastAsia="zh-CN"/>
                    </w:rPr>
                    <w:t>堆存区、热脱附干渣堆存区均三面设置围堰，一面设置斜坡</w:t>
                  </w:r>
                  <w:r>
                    <w:rPr>
                      <w:rFonts w:hint="eastAsia"/>
                    </w:rPr>
                    <w:t>。</w:t>
                  </w:r>
                </w:p>
                <w:p w14:paraId="53D66FB7">
                  <w:pPr>
                    <w:pStyle w:val="12"/>
                    <w:rPr>
                      <w:rFonts w:hint="default"/>
                      <w:lang w:val="en-US" w:eastAsia="zh-CN"/>
                    </w:rPr>
                  </w:pPr>
                  <w:r>
                    <w:rPr>
                      <w:rFonts w:hint="eastAsia"/>
                      <w:lang w:val="en-US" w:eastAsia="zh-CN"/>
                    </w:rPr>
                    <w:t>煅烧</w:t>
                  </w:r>
                  <w:r>
                    <w:rPr>
                      <w:rFonts w:hint="eastAsia" w:ascii="Times New Roman" w:hAnsi="Times New Roman" w:eastAsia="宋体"/>
                      <w:lang w:val="en-US" w:eastAsia="zh-CN"/>
                    </w:rPr>
                    <w:t>窑采用天然气作为燃料，燃气嘴采用低氮燃烧措施，废气采用</w:t>
                  </w:r>
                  <w:r>
                    <w:rPr>
                      <w:rFonts w:hint="eastAsia" w:cs="Times New Roman"/>
                      <w:lang w:val="en-US" w:eastAsia="zh-CN"/>
                    </w:rPr>
                    <w:t>旋风除尘器+布袋除尘器1#+活性炭喷射+布袋除尘器2#+3座脱酸塔</w:t>
                  </w:r>
                  <w:r>
                    <w:rPr>
                      <w:rFonts w:hint="eastAsia" w:ascii="Times New Roman" w:hAnsi="Times New Roman" w:eastAsia="宋体"/>
                      <w:lang w:val="en-US" w:eastAsia="zh-CN"/>
                    </w:rPr>
                    <w:t>工艺去除，经1根</w:t>
                  </w:r>
                  <w:r>
                    <w:rPr>
                      <w:rFonts w:hint="eastAsia"/>
                      <w:lang w:val="en-US" w:eastAsia="zh-CN"/>
                    </w:rPr>
                    <w:t>25</w:t>
                  </w:r>
                  <w:r>
                    <w:rPr>
                      <w:rFonts w:hint="eastAsia" w:ascii="Times New Roman" w:hAnsi="Times New Roman" w:eastAsia="宋体"/>
                      <w:lang w:val="en-US" w:eastAsia="zh-CN"/>
                    </w:rPr>
                    <w:t>m高排气筒（DA001）排放；</w:t>
                  </w:r>
                  <w:r>
                    <w:rPr>
                      <w:rFonts w:hint="eastAsia" w:cs="Times New Roman"/>
                      <w:color w:val="000000" w:themeColor="text1"/>
                      <w:sz w:val="21"/>
                      <w:szCs w:val="21"/>
                      <w:highlight w:val="none"/>
                      <w:lang w:val="en-US" w:eastAsia="zh-CN"/>
                      <w14:textFill>
                        <w14:solidFill>
                          <w14:schemeClr w14:val="tx1"/>
                        </w14:solidFill>
                      </w14:textFill>
                    </w:rPr>
                    <w:t>含烃类物质（以非甲烷总烃计）随水基岩屑和热脱附干渣煅烧而直接焚烧处理后，经1根25m高排气筒（DA001）排放；</w:t>
                  </w:r>
                  <w:r>
                    <w:rPr>
                      <w:rFonts w:hint="eastAsia" w:ascii="Times New Roman" w:hAnsi="Times New Roman" w:eastAsia="宋体"/>
                      <w:lang w:val="en-US" w:eastAsia="zh-CN"/>
                    </w:rPr>
                    <w:t>设备设施均设置在封闭车间内。筒仓顶部自带布袋除尘器，砂石、</w:t>
                  </w:r>
                  <w:r>
                    <w:rPr>
                      <w:rFonts w:hint="eastAsia"/>
                      <w:lang w:val="en-US" w:eastAsia="zh-CN"/>
                    </w:rPr>
                    <w:t>水稳层骨料</w:t>
                  </w:r>
                  <w:r>
                    <w:rPr>
                      <w:rFonts w:hint="eastAsia" w:ascii="Times New Roman" w:hAnsi="Times New Roman" w:eastAsia="宋体"/>
                      <w:lang w:val="en-US" w:eastAsia="zh-CN"/>
                    </w:rPr>
                    <w:t>堆场、预处理药剂投加口处设置喷雾降尘措施，能够有效控制无组织排放。有组织废气能够达到行业排放标准要求。</w:t>
                  </w:r>
                  <w:r>
                    <w:rPr>
                      <w:rFonts w:hint="eastAsia"/>
                      <w:lang w:val="en-US" w:eastAsia="zh-CN"/>
                    </w:rPr>
                    <w:t>生活污水</w:t>
                  </w:r>
                  <w:r>
                    <w:rPr>
                      <w:rFonts w:hint="eastAsia" w:ascii="Times New Roman" w:hAnsi="Times New Roman" w:eastAsia="宋体"/>
                      <w:lang w:val="en-US" w:eastAsia="zh-CN"/>
                    </w:rPr>
                    <w:t>达到</w:t>
                  </w:r>
                  <w:r>
                    <w:rPr>
                      <w:rFonts w:hint="eastAsia"/>
                      <w:lang w:val="en-US" w:eastAsia="zh-CN"/>
                    </w:rPr>
                    <w:t>污水处理厂</w:t>
                  </w:r>
                  <w:r>
                    <w:rPr>
                      <w:rFonts w:hint="eastAsia" w:ascii="Times New Roman" w:hAnsi="Times New Roman" w:eastAsia="宋体"/>
                      <w:lang w:val="en-US" w:eastAsia="zh-CN"/>
                    </w:rPr>
                    <w:t>收纳标准，排放至星光工业园区污水处理厂集中处理。</w:t>
                  </w:r>
                  <w:r>
                    <w:rPr>
                      <w:rFonts w:hint="eastAsia"/>
                      <w:lang w:val="en-US" w:eastAsia="zh-CN"/>
                    </w:rPr>
                    <w:t>生产废水部分回用，剩余部分委托四川洁安环境科技有限公司清运处理。</w:t>
                  </w:r>
                  <w:r>
                    <w:rPr>
                      <w:rFonts w:hint="eastAsia" w:ascii="Times New Roman" w:hAnsi="Times New Roman" w:eastAsia="宋体"/>
                      <w:lang w:val="en-US" w:eastAsia="zh-CN"/>
                    </w:rPr>
                    <w:t>噪声通过优选设备、基础</w:t>
                  </w:r>
                  <w:r>
                    <w:rPr>
                      <w:rFonts w:hint="eastAsia"/>
                      <w:lang w:val="en-US" w:eastAsia="zh-CN"/>
                    </w:rPr>
                    <w:t>减振</w:t>
                  </w:r>
                  <w:r>
                    <w:rPr>
                      <w:rFonts w:hint="eastAsia" w:ascii="Times New Roman" w:hAnsi="Times New Roman" w:eastAsia="宋体"/>
                      <w:lang w:val="en-US" w:eastAsia="zh-CN"/>
                    </w:rPr>
                    <w:t>、建筑隔声等进行控制。</w:t>
                  </w:r>
                </w:p>
              </w:tc>
              <w:tc>
                <w:tcPr>
                  <w:tcW w:w="608" w:type="pct"/>
                  <w:vAlign w:val="center"/>
                </w:tcPr>
                <w:p w14:paraId="1B41D02E">
                  <w:pPr>
                    <w:pStyle w:val="12"/>
                  </w:pPr>
                  <w:r>
                    <w:t>符合</w:t>
                  </w:r>
                </w:p>
              </w:tc>
            </w:tr>
            <w:tr w14:paraId="63961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54" w:type="pct"/>
                  <w:vAlign w:val="center"/>
                </w:tcPr>
                <w:p w14:paraId="09A4EC98">
                  <w:pPr>
                    <w:pStyle w:val="12"/>
                  </w:pPr>
                  <w:r>
                    <w:t>3</w:t>
                  </w:r>
                </w:p>
              </w:tc>
              <w:tc>
                <w:tcPr>
                  <w:tcW w:w="2012" w:type="pct"/>
                  <w:vAlign w:val="center"/>
                </w:tcPr>
                <w:p w14:paraId="171528C3">
                  <w:pPr>
                    <w:pStyle w:val="12"/>
                  </w:pPr>
                  <w:r>
                    <w:t>产生粉尘和有毒有害气体的作业区应采取除尘和有毒有害气体收集措施。扬尘点应设置吸尘罩和收尘设备，有毒有害气体逸散区应设置吸附</w:t>
                  </w:r>
                  <w:r>
                    <w:rPr>
                      <w:rFonts w:hint="eastAsia"/>
                    </w:rPr>
                    <w:t>（</w:t>
                  </w:r>
                  <w:r>
                    <w:t>吸收）转化装置。</w:t>
                  </w:r>
                </w:p>
              </w:tc>
              <w:tc>
                <w:tcPr>
                  <w:tcW w:w="2124" w:type="pct"/>
                  <w:vMerge w:val="continue"/>
                  <w:vAlign w:val="center"/>
                </w:tcPr>
                <w:p w14:paraId="21C97465">
                  <w:pPr>
                    <w:pStyle w:val="12"/>
                  </w:pPr>
                </w:p>
              </w:tc>
              <w:tc>
                <w:tcPr>
                  <w:tcW w:w="608" w:type="pct"/>
                  <w:vAlign w:val="center"/>
                </w:tcPr>
                <w:p w14:paraId="4882F8F8">
                  <w:pPr>
                    <w:pStyle w:val="12"/>
                  </w:pPr>
                  <w:r>
                    <w:t>符合</w:t>
                  </w:r>
                </w:p>
              </w:tc>
            </w:tr>
            <w:tr w14:paraId="36EB6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54" w:type="pct"/>
                  <w:vAlign w:val="center"/>
                </w:tcPr>
                <w:p w14:paraId="100B1963">
                  <w:pPr>
                    <w:pStyle w:val="12"/>
                  </w:pPr>
                  <w:r>
                    <w:t>4</w:t>
                  </w:r>
                </w:p>
              </w:tc>
              <w:tc>
                <w:tcPr>
                  <w:tcW w:w="2012" w:type="pct"/>
                  <w:vAlign w:val="center"/>
                </w:tcPr>
                <w:p w14:paraId="14D9B333">
                  <w:pPr>
                    <w:pStyle w:val="12"/>
                  </w:pPr>
                  <w:r>
                    <w:t>应采取大气污染控制措施，大气污染物排放应满足特定行业排放</w:t>
                  </w:r>
                  <w:r>
                    <w:rPr>
                      <w:rFonts w:hint="eastAsia"/>
                    </w:rPr>
                    <w:t>（</w:t>
                  </w:r>
                  <w:r>
                    <w:t>控制）标准的要求。没有特定行业污染排放</w:t>
                  </w:r>
                  <w:r>
                    <w:rPr>
                      <w:rFonts w:hint="eastAsia"/>
                    </w:rPr>
                    <w:t>（</w:t>
                  </w:r>
                  <w:r>
                    <w:t>控制）标准的，应满足GB16297的要求，特征污染物排放</w:t>
                  </w:r>
                  <w:r>
                    <w:rPr>
                      <w:rFonts w:hint="eastAsia"/>
                    </w:rPr>
                    <w:t>（</w:t>
                  </w:r>
                  <w:r>
                    <w:t>控制）应满足环境影响评价要求。</w:t>
                  </w:r>
                </w:p>
              </w:tc>
              <w:tc>
                <w:tcPr>
                  <w:tcW w:w="2124" w:type="pct"/>
                  <w:vMerge w:val="continue"/>
                  <w:vAlign w:val="center"/>
                </w:tcPr>
                <w:p w14:paraId="7EBC62E5">
                  <w:pPr>
                    <w:pStyle w:val="12"/>
                  </w:pPr>
                </w:p>
              </w:tc>
              <w:tc>
                <w:tcPr>
                  <w:tcW w:w="608" w:type="pct"/>
                  <w:vAlign w:val="center"/>
                </w:tcPr>
                <w:p w14:paraId="1C2AF450">
                  <w:pPr>
                    <w:pStyle w:val="12"/>
                  </w:pPr>
                  <w:r>
                    <w:t>符合</w:t>
                  </w:r>
                </w:p>
              </w:tc>
            </w:tr>
            <w:tr w14:paraId="48775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54" w:type="pct"/>
                  <w:vAlign w:val="center"/>
                </w:tcPr>
                <w:p w14:paraId="7F6CE8E7">
                  <w:pPr>
                    <w:pStyle w:val="12"/>
                  </w:pPr>
                  <w:r>
                    <w:t>5</w:t>
                  </w:r>
                </w:p>
              </w:tc>
              <w:tc>
                <w:tcPr>
                  <w:tcW w:w="2012" w:type="pct"/>
                  <w:vAlign w:val="center"/>
                </w:tcPr>
                <w:p w14:paraId="102FD87D">
                  <w:pPr>
                    <w:pStyle w:val="12"/>
                  </w:pPr>
                  <w:r>
                    <w:t>应采取必要的措施防止恶臭物质扩散，周界恶臭污染物浓度应符合GB14554的要求。</w:t>
                  </w:r>
                </w:p>
              </w:tc>
              <w:tc>
                <w:tcPr>
                  <w:tcW w:w="2124" w:type="pct"/>
                  <w:vAlign w:val="center"/>
                </w:tcPr>
                <w:p w14:paraId="1690DC8C">
                  <w:pPr>
                    <w:pStyle w:val="12"/>
                    <w:rPr>
                      <w:rFonts w:hint="eastAsia" w:eastAsia="宋体"/>
                      <w:lang w:val="en-US" w:eastAsia="zh-CN"/>
                    </w:rPr>
                  </w:pPr>
                  <w:r>
                    <w:rPr>
                      <w:rFonts w:hint="eastAsia"/>
                      <w:lang w:val="en-US" w:eastAsia="zh-CN"/>
                    </w:rPr>
                    <w:t>本项目生产车间密闭，通过喷洒除臭剂等措施，周界恶臭污染物（臭气浓度）浓度满足</w:t>
                  </w:r>
                  <w:r>
                    <w:t>GB14554的要求</w:t>
                  </w:r>
                  <w:r>
                    <w:rPr>
                      <w:rFonts w:hint="eastAsia"/>
                      <w:lang w:eastAsia="zh-CN"/>
                    </w:rPr>
                    <w:t>。</w:t>
                  </w:r>
                </w:p>
              </w:tc>
              <w:tc>
                <w:tcPr>
                  <w:tcW w:w="608" w:type="pct"/>
                  <w:vAlign w:val="center"/>
                </w:tcPr>
                <w:p w14:paraId="4E69B5FC">
                  <w:pPr>
                    <w:pStyle w:val="12"/>
                  </w:pPr>
                  <w:r>
                    <w:t>符合</w:t>
                  </w:r>
                </w:p>
              </w:tc>
            </w:tr>
            <w:tr w14:paraId="087A9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54" w:type="pct"/>
                  <w:vAlign w:val="center"/>
                </w:tcPr>
                <w:p w14:paraId="353A5812">
                  <w:pPr>
                    <w:pStyle w:val="12"/>
                  </w:pPr>
                  <w:r>
                    <w:t>6</w:t>
                  </w:r>
                </w:p>
              </w:tc>
              <w:tc>
                <w:tcPr>
                  <w:tcW w:w="2012" w:type="pct"/>
                  <w:vAlign w:val="center"/>
                </w:tcPr>
                <w:p w14:paraId="1A516F1A">
                  <w:pPr>
                    <w:pStyle w:val="12"/>
                  </w:pPr>
                  <w:r>
                    <w:t>产生的冷凝液、浓缩液、浸出液等废液应进行有效收集后集中处理。处理后产生的废水应优先考虑循环利用；排放时应满足特定行业排放</w:t>
                  </w:r>
                  <w:r>
                    <w:rPr>
                      <w:rFonts w:hint="eastAsia"/>
                    </w:rPr>
                    <w:t>（</w:t>
                  </w:r>
                  <w:r>
                    <w:t>控制）标准的要求；没有特定行业污染排放</w:t>
                  </w:r>
                  <w:r>
                    <w:rPr>
                      <w:rFonts w:hint="eastAsia"/>
                    </w:rPr>
                    <w:t>（</w:t>
                  </w:r>
                  <w:r>
                    <w:t>控制）标准的，应满足GB8978的要求，特征污染物排放</w:t>
                  </w:r>
                  <w:r>
                    <w:rPr>
                      <w:rFonts w:hint="eastAsia"/>
                    </w:rPr>
                    <w:t>（</w:t>
                  </w:r>
                  <w:r>
                    <w:t>控制）应满足环境影响评价要求。</w:t>
                  </w:r>
                </w:p>
              </w:tc>
              <w:tc>
                <w:tcPr>
                  <w:tcW w:w="2124" w:type="pct"/>
                  <w:vAlign w:val="center"/>
                </w:tcPr>
                <w:p w14:paraId="411FF3A4">
                  <w:pPr>
                    <w:pStyle w:val="12"/>
                  </w:pPr>
                  <w:r>
                    <w:rPr>
                      <w:rFonts w:hint="eastAsia"/>
                    </w:rPr>
                    <w:t>水基岩屑在储存池内暂存，水基岩屑经压滤设备压滤后用于后续加工，压滤液部分回用于制砖生产，无法回用的部分</w:t>
                  </w:r>
                  <w:r>
                    <w:rPr>
                      <w:rFonts w:hint="eastAsia"/>
                      <w:lang w:val="en-US" w:eastAsia="zh-CN"/>
                    </w:rPr>
                    <w:t>委托四川洁安环境科技有限公司清运处理</w:t>
                  </w:r>
                  <w:r>
                    <w:rPr>
                      <w:rFonts w:hint="eastAsia"/>
                    </w:rPr>
                    <w:t>。</w:t>
                  </w:r>
                </w:p>
              </w:tc>
              <w:tc>
                <w:tcPr>
                  <w:tcW w:w="608" w:type="pct"/>
                  <w:vAlign w:val="center"/>
                </w:tcPr>
                <w:p w14:paraId="01D2A117">
                  <w:pPr>
                    <w:pStyle w:val="12"/>
                  </w:pPr>
                  <w:r>
                    <w:t>符合</w:t>
                  </w:r>
                </w:p>
              </w:tc>
            </w:tr>
            <w:tr w14:paraId="7B6B2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54" w:type="pct"/>
                  <w:vAlign w:val="center"/>
                </w:tcPr>
                <w:p w14:paraId="63557C18">
                  <w:pPr>
                    <w:pStyle w:val="12"/>
                  </w:pPr>
                  <w:r>
                    <w:t>7</w:t>
                  </w:r>
                </w:p>
              </w:tc>
              <w:tc>
                <w:tcPr>
                  <w:tcW w:w="2012" w:type="pct"/>
                  <w:vAlign w:val="center"/>
                </w:tcPr>
                <w:p w14:paraId="61869C5E">
                  <w:pPr>
                    <w:pStyle w:val="12"/>
                  </w:pPr>
                  <w:r>
                    <w:t>应防止噪声污染，设备运转时厂界噪声应符合GB12348的要求。</w:t>
                  </w:r>
                </w:p>
              </w:tc>
              <w:tc>
                <w:tcPr>
                  <w:tcW w:w="2124" w:type="pct"/>
                  <w:vAlign w:val="center"/>
                </w:tcPr>
                <w:p w14:paraId="0429B624">
                  <w:pPr>
                    <w:pStyle w:val="12"/>
                  </w:pPr>
                  <w:r>
                    <w:t>各类噪声源经隔声、消声、减振等措施并通过距离衰减后，厂界噪声可满足《工业企业厂界环境噪声排放标准》</w:t>
                  </w:r>
                  <w:r>
                    <w:rPr>
                      <w:rFonts w:hint="eastAsia"/>
                    </w:rPr>
                    <w:t>（</w:t>
                  </w:r>
                  <w:r>
                    <w:t>GB12348-2008）中</w:t>
                  </w:r>
                  <w:r>
                    <w:rPr>
                      <w:rFonts w:hint="eastAsia"/>
                      <w:lang w:val="en-US" w:eastAsia="zh-CN"/>
                    </w:rPr>
                    <w:t>3</w:t>
                  </w:r>
                  <w:r>
                    <w:t>类区标准要求。</w:t>
                  </w:r>
                </w:p>
              </w:tc>
              <w:tc>
                <w:tcPr>
                  <w:tcW w:w="608" w:type="pct"/>
                  <w:vAlign w:val="center"/>
                </w:tcPr>
                <w:p w14:paraId="4F3D3D72">
                  <w:pPr>
                    <w:pStyle w:val="12"/>
                  </w:pPr>
                  <w:r>
                    <w:t>符合</w:t>
                  </w:r>
                </w:p>
              </w:tc>
            </w:tr>
            <w:tr w14:paraId="63A81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54" w:type="pct"/>
                  <w:vAlign w:val="center"/>
                </w:tcPr>
                <w:p w14:paraId="596B464E">
                  <w:pPr>
                    <w:pStyle w:val="12"/>
                  </w:pPr>
                  <w:r>
                    <w:t>8</w:t>
                  </w:r>
                </w:p>
              </w:tc>
              <w:tc>
                <w:tcPr>
                  <w:tcW w:w="2012" w:type="pct"/>
                  <w:vAlign w:val="center"/>
                </w:tcPr>
                <w:p w14:paraId="03750F1B">
                  <w:pPr>
                    <w:pStyle w:val="12"/>
                  </w:pPr>
                  <w:r>
                    <w:t>产生的污泥、底渣、废油类等固体废物应按照其管理属性分别处置。不能自行综合利用或处置的，应交给有相应资质和处理能力的企业进行综合利用或处置。</w:t>
                  </w:r>
                </w:p>
              </w:tc>
              <w:tc>
                <w:tcPr>
                  <w:tcW w:w="2124" w:type="pct"/>
                  <w:vAlign w:val="center"/>
                </w:tcPr>
                <w:p w14:paraId="3CD14072">
                  <w:pPr>
                    <w:pStyle w:val="12"/>
                  </w:pPr>
                  <w:r>
                    <w:rPr>
                      <w:rFonts w:hint="eastAsia"/>
                      <w:lang w:val="en-US" w:eastAsia="zh-CN"/>
                    </w:rPr>
                    <w:t>废气治理设施</w:t>
                  </w:r>
                  <w:r>
                    <w:t>收集</w:t>
                  </w:r>
                  <w:r>
                    <w:rPr>
                      <w:rFonts w:hint="eastAsia"/>
                      <w:lang w:val="en-US" w:eastAsia="zh-CN"/>
                    </w:rPr>
                    <w:t>到的</w:t>
                  </w:r>
                  <w:r>
                    <w:t>粉尘均作为原料回用；</w:t>
                  </w:r>
                  <w:r>
                    <w:rPr>
                      <w:rFonts w:hint="eastAsia"/>
                      <w:lang w:val="en-US" w:eastAsia="zh-CN"/>
                    </w:rPr>
                    <w:t>氟化钙污泥外售水泥厂制水泥；废液压油由厂家更换后带走，不在厂内暂存；</w:t>
                  </w:r>
                  <w:r>
                    <w:t>废</w:t>
                  </w:r>
                  <w:r>
                    <w:rPr>
                      <w:rFonts w:hint="eastAsia"/>
                      <w:lang w:val="en-US" w:eastAsia="zh-CN"/>
                    </w:rPr>
                    <w:t>机油、废机油桶、废活性炭</w:t>
                  </w:r>
                  <w:r>
                    <w:t>、</w:t>
                  </w:r>
                  <w:r>
                    <w:rPr>
                      <w:rFonts w:hint="eastAsia"/>
                      <w:lang w:val="en-US" w:eastAsia="zh-CN"/>
                    </w:rPr>
                    <w:t>沾油废物</w:t>
                  </w:r>
                  <w:r>
                    <w:rPr>
                      <w:rFonts w:hint="eastAsia"/>
                    </w:rPr>
                    <w:t>作为危险废物暂存，委托资质单位定期</w:t>
                  </w:r>
                  <w:r>
                    <w:t>清运处置；生活垃圾由当地环卫清运。</w:t>
                  </w:r>
                </w:p>
              </w:tc>
              <w:tc>
                <w:tcPr>
                  <w:tcW w:w="608" w:type="pct"/>
                  <w:vAlign w:val="center"/>
                </w:tcPr>
                <w:p w14:paraId="42A233C0">
                  <w:pPr>
                    <w:pStyle w:val="12"/>
                  </w:pPr>
                  <w:r>
                    <w:t>符合</w:t>
                  </w:r>
                </w:p>
              </w:tc>
            </w:tr>
            <w:tr w14:paraId="7F056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54" w:type="pct"/>
                  <w:vAlign w:val="center"/>
                </w:tcPr>
                <w:p w14:paraId="430E7559">
                  <w:pPr>
                    <w:pStyle w:val="12"/>
                  </w:pPr>
                  <w:r>
                    <w:t>9</w:t>
                  </w:r>
                </w:p>
              </w:tc>
              <w:tc>
                <w:tcPr>
                  <w:tcW w:w="2012" w:type="pct"/>
                  <w:vAlign w:val="center"/>
                </w:tcPr>
                <w:p w14:paraId="761283E7">
                  <w:pPr>
                    <w:pStyle w:val="12"/>
                  </w:pPr>
                  <w:r>
                    <w:t>危险废物的贮存、包装、处置等应符合GB18597、HJ2042等危险废物专用标准的要求。</w:t>
                  </w:r>
                </w:p>
              </w:tc>
              <w:tc>
                <w:tcPr>
                  <w:tcW w:w="2124" w:type="pct"/>
                  <w:vAlign w:val="center"/>
                </w:tcPr>
                <w:p w14:paraId="3F5B1E91">
                  <w:pPr>
                    <w:pStyle w:val="12"/>
                  </w:pPr>
                  <w:r>
                    <w:rPr>
                      <w:rFonts w:hint="eastAsia"/>
                      <w:lang w:val="en-US" w:eastAsia="zh-CN"/>
                    </w:rPr>
                    <w:t>废液压油由厂家更换后带走，不在厂内暂存；</w:t>
                  </w:r>
                  <w:r>
                    <w:t>废</w:t>
                  </w:r>
                  <w:r>
                    <w:rPr>
                      <w:rFonts w:hint="eastAsia"/>
                      <w:lang w:val="en-US" w:eastAsia="zh-CN"/>
                    </w:rPr>
                    <w:t>机油、废机油桶、废活性炭</w:t>
                  </w:r>
                  <w:r>
                    <w:t>、</w:t>
                  </w:r>
                  <w:r>
                    <w:rPr>
                      <w:rFonts w:hint="eastAsia"/>
                      <w:lang w:val="en-US" w:eastAsia="zh-CN"/>
                    </w:rPr>
                    <w:t>沾油废物</w:t>
                  </w:r>
                  <w:r>
                    <w:t>等危险废物分类收集后暂存于危险废物暂存</w:t>
                  </w:r>
                  <w:r>
                    <w:rPr>
                      <w:rFonts w:hint="eastAsia"/>
                    </w:rPr>
                    <w:t>库</w:t>
                  </w:r>
                  <w:r>
                    <w:t>，定期交由</w:t>
                  </w:r>
                  <w:r>
                    <w:rPr>
                      <w:rFonts w:hint="eastAsia"/>
                      <w:lang w:val="en-US" w:eastAsia="zh-CN"/>
                    </w:rPr>
                    <w:t>资质单位</w:t>
                  </w:r>
                  <w:r>
                    <w:t>清运处置。</w:t>
                  </w:r>
                  <w:r>
                    <w:rPr>
                      <w:rFonts w:hint="eastAsia"/>
                      <w:lang w:val="en-US" w:eastAsia="zh-CN"/>
                    </w:rPr>
                    <w:t>设置1间危废暂存间，严格按照</w:t>
                  </w:r>
                  <w:r>
                    <w:t>GB18597、HJ2042等</w:t>
                  </w:r>
                  <w:r>
                    <w:rPr>
                      <w:rFonts w:hint="eastAsia"/>
                      <w:lang w:val="en-US" w:eastAsia="zh-CN"/>
                    </w:rPr>
                    <w:t>要求设置包装及危废暂存间，暂存危险废物。</w:t>
                  </w:r>
                </w:p>
              </w:tc>
              <w:tc>
                <w:tcPr>
                  <w:tcW w:w="608" w:type="pct"/>
                  <w:vAlign w:val="center"/>
                </w:tcPr>
                <w:p w14:paraId="25B07F03">
                  <w:pPr>
                    <w:pStyle w:val="12"/>
                  </w:pPr>
                  <w:r>
                    <w:t>符合</w:t>
                  </w:r>
                </w:p>
              </w:tc>
            </w:tr>
            <w:tr w14:paraId="70579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54" w:type="pct"/>
                  <w:vAlign w:val="center"/>
                </w:tcPr>
                <w:p w14:paraId="0CD503F5">
                  <w:pPr>
                    <w:pStyle w:val="12"/>
                  </w:pPr>
                  <w:r>
                    <w:t>10</w:t>
                  </w:r>
                </w:p>
              </w:tc>
              <w:tc>
                <w:tcPr>
                  <w:tcW w:w="2012" w:type="pct"/>
                  <w:vAlign w:val="center"/>
                </w:tcPr>
                <w:p w14:paraId="63058C6B">
                  <w:pPr>
                    <w:pStyle w:val="12"/>
                  </w:pPr>
                  <w:r>
                    <w:t>固体废物再生利用企业应定期对固体废物再生利用产品进行采样监测，监测频次应满足以下要求，内容详见HJ1091-2020中8.1要求。</w:t>
                  </w:r>
                </w:p>
              </w:tc>
              <w:tc>
                <w:tcPr>
                  <w:tcW w:w="2124" w:type="pct"/>
                  <w:vAlign w:val="center"/>
                </w:tcPr>
                <w:p w14:paraId="66E8CA79">
                  <w:pPr>
                    <w:pStyle w:val="12"/>
                  </w:pPr>
                  <w:r>
                    <w:t>建成投产后建设单位应定期对水基岩屑</w:t>
                  </w:r>
                  <w:r>
                    <w:rPr>
                      <w:rFonts w:hint="eastAsia"/>
                      <w:lang w:eastAsia="zh-CN"/>
                    </w:rPr>
                    <w:t>、</w:t>
                  </w:r>
                  <w:r>
                    <w:rPr>
                      <w:rFonts w:hint="eastAsia"/>
                      <w:lang w:val="en-US" w:eastAsia="zh-CN"/>
                    </w:rPr>
                    <w:t>热脱附干渣</w:t>
                  </w:r>
                  <w:r>
                    <w:t>进行检测</w:t>
                  </w:r>
                  <w:r>
                    <w:rPr>
                      <w:rFonts w:hint="eastAsia"/>
                    </w:rPr>
                    <w:t>，</w:t>
                  </w:r>
                  <w:r>
                    <w:t>并</w:t>
                  </w:r>
                  <w:r>
                    <w:rPr>
                      <w:rFonts w:hint="eastAsia"/>
                    </w:rPr>
                    <w:t>定期</w:t>
                  </w:r>
                  <w:r>
                    <w:t>对产品进行检测。</w:t>
                  </w:r>
                </w:p>
              </w:tc>
              <w:tc>
                <w:tcPr>
                  <w:tcW w:w="608" w:type="pct"/>
                  <w:vAlign w:val="center"/>
                </w:tcPr>
                <w:p w14:paraId="0BAC697D">
                  <w:pPr>
                    <w:pStyle w:val="12"/>
                  </w:pPr>
                  <w:r>
                    <w:t>符合</w:t>
                  </w:r>
                </w:p>
              </w:tc>
            </w:tr>
          </w:tbl>
          <w:p w14:paraId="7FFC7A19">
            <w:pPr>
              <w:ind w:firstLine="480"/>
            </w:pPr>
            <w:r>
              <w:t>综上，本项目符合《固体废物再生利用污染防治技术导则》</w:t>
            </w:r>
            <w:r>
              <w:rPr>
                <w:rFonts w:hint="eastAsia"/>
              </w:rPr>
              <w:t>（</w:t>
            </w:r>
            <w:r>
              <w:t>HJ1091-2020）中各项要求。</w:t>
            </w:r>
          </w:p>
          <w:p w14:paraId="6E8C00C8">
            <w:pPr>
              <w:pStyle w:val="3"/>
              <w:numPr>
                <w:ilvl w:val="0"/>
                <w:numId w:val="8"/>
              </w:numPr>
              <w:spacing w:before="163"/>
            </w:pPr>
            <w:r>
              <w:t>与《陆上石油天然气开采钻井废物处置污染控制技术要求》</w:t>
            </w:r>
            <w:r>
              <w:rPr>
                <w:rFonts w:hint="eastAsia"/>
              </w:rPr>
              <w:t>（</w:t>
            </w:r>
            <w:r>
              <w:t>SY/T7298-2016）及《陆上石油天然气开采水基钻井废弃物处理处置及资源化利用技术规范》</w:t>
            </w:r>
            <w:r>
              <w:rPr>
                <w:rFonts w:hint="eastAsia"/>
              </w:rPr>
              <w:t>（</w:t>
            </w:r>
            <w:r>
              <w:t>SY/T7466-2020）</w:t>
            </w:r>
            <w:r>
              <w:rPr>
                <w:rFonts w:hint="eastAsia"/>
                <w:lang w:val="en-US" w:eastAsia="zh-CN"/>
              </w:rPr>
              <w:t>《石油天然气开采固体废物污染控制技术规范（试行）》（HJ1461-2026）</w:t>
            </w:r>
            <w:r>
              <w:t>《四川省页岩气开采业污染防治技术政策》</w:t>
            </w:r>
            <w:r>
              <w:rPr>
                <w:rFonts w:hint="eastAsia"/>
                <w:lang w:eastAsia="zh-CN"/>
              </w:rPr>
              <w:t>（</w:t>
            </w:r>
            <w:r>
              <w:rPr>
                <w:rFonts w:hint="eastAsia"/>
                <w:lang w:val="en-US" w:eastAsia="zh-CN"/>
              </w:rPr>
              <w:t>四川省环境保护厅公告2018年第3号</w:t>
            </w:r>
            <w:r>
              <w:rPr>
                <w:rFonts w:hint="eastAsia"/>
                <w:lang w:eastAsia="zh-CN"/>
              </w:rPr>
              <w:t>）</w:t>
            </w:r>
            <w:r>
              <w:t>符合性分析</w:t>
            </w:r>
          </w:p>
          <w:p w14:paraId="2EAE1151">
            <w:pPr>
              <w:pStyle w:val="11"/>
              <w:rPr>
                <w:szCs w:val="21"/>
              </w:rPr>
            </w:pPr>
            <w:r>
              <w:t>表</w:t>
            </w:r>
            <w:r>
              <w:rPr>
                <w:rFonts w:hint="eastAsia"/>
                <w:lang w:val="en-US" w:eastAsia="zh-CN"/>
              </w:rPr>
              <w:t>1</w:t>
            </w:r>
            <w:r>
              <w:noBreakHyphen/>
            </w:r>
            <w:r>
              <w:rPr>
                <w:rFonts w:hint="eastAsia"/>
                <w:lang w:val="en-US" w:eastAsia="zh-CN"/>
              </w:rPr>
              <w:t>13</w:t>
            </w:r>
            <w:r>
              <w:t xml:space="preserve"> </w:t>
            </w:r>
            <w:r>
              <w:rPr>
                <w:bCs/>
                <w:szCs w:val="21"/>
              </w:rPr>
              <w:t>本项目与SY/T7298-2016的符合性分析</w:t>
            </w:r>
          </w:p>
          <w:tbl>
            <w:tblPr>
              <w:tblStyle w:val="2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8"/>
              <w:gridCol w:w="3249"/>
              <w:gridCol w:w="3834"/>
              <w:gridCol w:w="985"/>
            </w:tblGrid>
            <w:tr w14:paraId="19955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419" w:type="pct"/>
                  <w:vAlign w:val="center"/>
                </w:tcPr>
                <w:p w14:paraId="66DB2039">
                  <w:pPr>
                    <w:pStyle w:val="45"/>
                  </w:pPr>
                  <w:r>
                    <w:t>序号</w:t>
                  </w:r>
                </w:p>
              </w:tc>
              <w:tc>
                <w:tcPr>
                  <w:tcW w:w="1844" w:type="pct"/>
                  <w:vAlign w:val="center"/>
                </w:tcPr>
                <w:p w14:paraId="7F7015B3">
                  <w:pPr>
                    <w:pStyle w:val="45"/>
                  </w:pPr>
                  <w:r>
                    <w:t>SY/T7298-2016相关要求</w:t>
                  </w:r>
                </w:p>
              </w:tc>
              <w:tc>
                <w:tcPr>
                  <w:tcW w:w="2176" w:type="pct"/>
                  <w:vAlign w:val="center"/>
                </w:tcPr>
                <w:p w14:paraId="09FD82EB">
                  <w:pPr>
                    <w:pStyle w:val="45"/>
                  </w:pPr>
                  <w:r>
                    <w:t>本项目情况</w:t>
                  </w:r>
                </w:p>
              </w:tc>
              <w:tc>
                <w:tcPr>
                  <w:tcW w:w="559" w:type="pct"/>
                  <w:vAlign w:val="center"/>
                </w:tcPr>
                <w:p w14:paraId="5D9433D5">
                  <w:pPr>
                    <w:pStyle w:val="45"/>
                  </w:pPr>
                  <w:r>
                    <w:t>符合性</w:t>
                  </w:r>
                </w:p>
              </w:tc>
            </w:tr>
            <w:tr w14:paraId="662E1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419" w:type="pct"/>
                  <w:vAlign w:val="center"/>
                </w:tcPr>
                <w:p w14:paraId="10436A63">
                  <w:pPr>
                    <w:pStyle w:val="12"/>
                  </w:pPr>
                  <w:r>
                    <w:t>1</w:t>
                  </w:r>
                </w:p>
              </w:tc>
              <w:tc>
                <w:tcPr>
                  <w:tcW w:w="1844" w:type="pct"/>
                  <w:vAlign w:val="center"/>
                </w:tcPr>
                <w:p w14:paraId="05552465">
                  <w:pPr>
                    <w:pStyle w:val="12"/>
                  </w:pPr>
                  <w:r>
                    <w:t>钻井废物的收集、贮存、运输、利用、处置，以及钻井废物处置工程的选址、设计、施工、验收和运行应符合国家和地方相关固体废物污染防治法律法规与标准要求。</w:t>
                  </w:r>
                </w:p>
              </w:tc>
              <w:tc>
                <w:tcPr>
                  <w:tcW w:w="2176" w:type="pct"/>
                  <w:vAlign w:val="center"/>
                </w:tcPr>
                <w:p w14:paraId="2E61F4A9">
                  <w:pPr>
                    <w:pStyle w:val="12"/>
                  </w:pPr>
                  <w:r>
                    <w:rPr>
                      <w:rFonts w:hint="eastAsia"/>
                    </w:rPr>
                    <w:t>本项目符合国家</w:t>
                  </w:r>
                  <w:r>
                    <w:rPr>
                      <w:rFonts w:hint="eastAsia"/>
                      <w:lang w:val="en-US" w:eastAsia="zh-CN"/>
                    </w:rPr>
                    <w:t>及</w:t>
                  </w:r>
                  <w:r>
                    <w:rPr>
                      <w:rFonts w:hint="eastAsia"/>
                    </w:rPr>
                    <w:t>地方固体废物污染防治相关法律法规及标准要求。</w:t>
                  </w:r>
                </w:p>
              </w:tc>
              <w:tc>
                <w:tcPr>
                  <w:tcW w:w="559" w:type="pct"/>
                  <w:vAlign w:val="center"/>
                </w:tcPr>
                <w:p w14:paraId="7EF3B32F">
                  <w:pPr>
                    <w:pStyle w:val="12"/>
                  </w:pPr>
                  <w:r>
                    <w:t>符合</w:t>
                  </w:r>
                </w:p>
              </w:tc>
            </w:tr>
            <w:tr w14:paraId="6AEF1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419" w:type="pct"/>
                  <w:vAlign w:val="center"/>
                </w:tcPr>
                <w:p w14:paraId="103542E8">
                  <w:pPr>
                    <w:pStyle w:val="12"/>
                  </w:pPr>
                  <w:r>
                    <w:t>2</w:t>
                  </w:r>
                </w:p>
              </w:tc>
              <w:tc>
                <w:tcPr>
                  <w:tcW w:w="1844" w:type="pct"/>
                  <w:vAlign w:val="center"/>
                </w:tcPr>
                <w:p w14:paraId="66547055">
                  <w:pPr>
                    <w:pStyle w:val="12"/>
                  </w:pPr>
                  <w:r>
                    <w:t>钻井废水处置过程宜使用环境友好的原材料与添加剂。</w:t>
                  </w:r>
                </w:p>
              </w:tc>
              <w:tc>
                <w:tcPr>
                  <w:tcW w:w="2176" w:type="pct"/>
                  <w:vAlign w:val="center"/>
                </w:tcPr>
                <w:p w14:paraId="5066539B">
                  <w:pPr>
                    <w:pStyle w:val="12"/>
                  </w:pPr>
                  <w:r>
                    <w:t>采用钻井水基岩屑</w:t>
                  </w:r>
                  <w:r>
                    <w:rPr>
                      <w:rFonts w:hint="eastAsia"/>
                      <w:lang w:val="en-US" w:eastAsia="zh-CN"/>
                    </w:rPr>
                    <w:t>和热脱附干渣</w:t>
                  </w:r>
                  <w:r>
                    <w:rPr>
                      <w:rFonts w:hint="eastAsia"/>
                    </w:rPr>
                    <w:t>作为</w:t>
                  </w:r>
                  <w:r>
                    <w:rPr>
                      <w:rFonts w:hint="eastAsia"/>
                      <w:lang w:val="en-US" w:eastAsia="zh-CN"/>
                    </w:rPr>
                    <w:t>原料</w:t>
                  </w:r>
                  <w:r>
                    <w:rPr>
                      <w:rFonts w:hint="eastAsia"/>
                    </w:rPr>
                    <w:t>生产</w:t>
                  </w:r>
                  <w:r>
                    <w:rPr>
                      <w:rFonts w:hint="eastAsia"/>
                      <w:lang w:eastAsia="zh-CN"/>
                    </w:rPr>
                    <w:t>水稳层骨料</w:t>
                  </w:r>
                  <w:r>
                    <w:rPr>
                      <w:rFonts w:hint="eastAsia"/>
                    </w:rPr>
                    <w:t>、</w:t>
                  </w:r>
                  <w:r>
                    <w:rPr>
                      <w:rFonts w:hint="eastAsia"/>
                      <w:lang w:eastAsia="zh-CN"/>
                    </w:rPr>
                    <w:t>免烧砌块</w:t>
                  </w:r>
                  <w:r>
                    <w:t>，水基岩屑</w:t>
                  </w:r>
                  <w:r>
                    <w:rPr>
                      <w:rFonts w:hint="eastAsia"/>
                    </w:rPr>
                    <w:t>压滤脱水产生的压滤液</w:t>
                  </w:r>
                  <w:r>
                    <w:rPr>
                      <w:rFonts w:hint="eastAsia"/>
                      <w:lang w:val="en-US" w:eastAsia="zh-CN"/>
                    </w:rPr>
                    <w:t>部分回用于生产，剩余部分委托四川洁安环境科技有限公司清运处理</w:t>
                  </w:r>
                  <w:r>
                    <w:rPr>
                      <w:rFonts w:hint="eastAsia"/>
                    </w:rPr>
                    <w:t>，废水处置过程投加的絮凝剂不属于毒害性物质，对环境友好。</w:t>
                  </w:r>
                </w:p>
              </w:tc>
              <w:tc>
                <w:tcPr>
                  <w:tcW w:w="559" w:type="pct"/>
                  <w:vAlign w:val="center"/>
                </w:tcPr>
                <w:p w14:paraId="00A23C47">
                  <w:pPr>
                    <w:pStyle w:val="12"/>
                  </w:pPr>
                  <w:r>
                    <w:t>符合</w:t>
                  </w:r>
                </w:p>
              </w:tc>
            </w:tr>
            <w:tr w14:paraId="2EDD9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419" w:type="pct"/>
                  <w:vAlign w:val="center"/>
                </w:tcPr>
                <w:p w14:paraId="705A4011">
                  <w:pPr>
                    <w:pStyle w:val="12"/>
                  </w:pPr>
                  <w:r>
                    <w:t>3</w:t>
                  </w:r>
                </w:p>
              </w:tc>
              <w:tc>
                <w:tcPr>
                  <w:tcW w:w="1844" w:type="pct"/>
                  <w:vAlign w:val="center"/>
                </w:tcPr>
                <w:p w14:paraId="5158D1EC">
                  <w:pPr>
                    <w:pStyle w:val="12"/>
                  </w:pPr>
                  <w:r>
                    <w:t>钻井废弃物处置过程中应采取必要措施，保护处置场地周边地表水、地下水、土壤、空气、植被及野生动植物栖息环境，避免造成环境污染和生态破坏。</w:t>
                  </w:r>
                </w:p>
              </w:tc>
              <w:tc>
                <w:tcPr>
                  <w:tcW w:w="2176" w:type="pct"/>
                  <w:vAlign w:val="center"/>
                </w:tcPr>
                <w:p w14:paraId="577A2D6A">
                  <w:pPr>
                    <w:pStyle w:val="12"/>
                  </w:pPr>
                  <w:r>
                    <w:t>设置水基岩屑专用</w:t>
                  </w:r>
                  <w:r>
                    <w:rPr>
                      <w:rFonts w:hint="eastAsia"/>
                    </w:rPr>
                    <w:t>堆存池</w:t>
                  </w:r>
                  <w:r>
                    <w:t>，</w:t>
                  </w:r>
                  <w:r>
                    <w:rPr>
                      <w:rFonts w:hint="eastAsia"/>
                    </w:rPr>
                    <w:t>池体位于车间内部，</w:t>
                  </w:r>
                  <w:r>
                    <w:t>采取</w:t>
                  </w:r>
                  <w:r>
                    <w:rPr>
                      <w:rFonts w:hint="eastAsia"/>
                    </w:rPr>
                    <w:t>“</w:t>
                  </w:r>
                  <w:r>
                    <w:t>三防</w:t>
                  </w:r>
                  <w:r>
                    <w:rPr>
                      <w:rFonts w:hint="eastAsia"/>
                    </w:rPr>
                    <w:t>”</w:t>
                  </w:r>
                  <w:r>
                    <w:t>措施，并对地面和池体进行重点防渗处理。</w:t>
                  </w:r>
                </w:p>
              </w:tc>
              <w:tc>
                <w:tcPr>
                  <w:tcW w:w="559" w:type="pct"/>
                  <w:vAlign w:val="center"/>
                </w:tcPr>
                <w:p w14:paraId="052D1DD1">
                  <w:pPr>
                    <w:pStyle w:val="12"/>
                  </w:pPr>
                  <w:r>
                    <w:t>符合</w:t>
                  </w:r>
                </w:p>
              </w:tc>
            </w:tr>
            <w:tr w14:paraId="3FA4B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419" w:type="pct"/>
                  <w:vAlign w:val="center"/>
                </w:tcPr>
                <w:p w14:paraId="0678C267">
                  <w:pPr>
                    <w:pStyle w:val="12"/>
                  </w:pPr>
                  <w:r>
                    <w:t>4</w:t>
                  </w:r>
                </w:p>
              </w:tc>
              <w:tc>
                <w:tcPr>
                  <w:tcW w:w="1844" w:type="pct"/>
                  <w:vAlign w:val="center"/>
                </w:tcPr>
                <w:p w14:paraId="61C69540">
                  <w:pPr>
                    <w:pStyle w:val="12"/>
                  </w:pPr>
                  <w:r>
                    <w:t>钻井废弃物处置过程中排放的废水和废气污染物、环境噪声应符合国家和地方相关排放标准的要求，产生固体废物的处理处置应符合国家和地方相关固体废物污染控制标准要求。</w:t>
                  </w:r>
                </w:p>
              </w:tc>
              <w:tc>
                <w:tcPr>
                  <w:tcW w:w="2176" w:type="pct"/>
                  <w:vAlign w:val="center"/>
                </w:tcPr>
                <w:p w14:paraId="080E90D9">
                  <w:pPr>
                    <w:pStyle w:val="12"/>
                  </w:pPr>
                  <w:r>
                    <w:rPr>
                      <w:rFonts w:hint="eastAsia"/>
                      <w:lang w:val="en-US" w:eastAsia="zh-CN"/>
                    </w:rPr>
                    <w:t>煅烧</w:t>
                  </w:r>
                  <w:r>
                    <w:rPr>
                      <w:rFonts w:hint="eastAsia" w:ascii="Times New Roman" w:hAnsi="Times New Roman" w:eastAsia="宋体"/>
                      <w:lang w:val="en-US" w:eastAsia="zh-CN"/>
                    </w:rPr>
                    <w:t>窑采用天然气作为燃料，燃气嘴采用低氮燃烧措施，废气采用</w:t>
                  </w:r>
                  <w:r>
                    <w:rPr>
                      <w:rFonts w:hint="eastAsia" w:cs="Times New Roman"/>
                      <w:lang w:val="en-US" w:eastAsia="zh-CN"/>
                    </w:rPr>
                    <w:t>旋风除尘器+布袋除尘器1#+活性炭喷射+布袋除尘器2#+3座脱酸塔</w:t>
                  </w:r>
                  <w:r>
                    <w:rPr>
                      <w:rFonts w:hint="eastAsia" w:ascii="Times New Roman" w:hAnsi="Times New Roman" w:eastAsia="宋体"/>
                      <w:lang w:val="en-US" w:eastAsia="zh-CN"/>
                    </w:rPr>
                    <w:t>工艺去除，经1根</w:t>
                  </w:r>
                  <w:r>
                    <w:rPr>
                      <w:rFonts w:hint="eastAsia"/>
                      <w:lang w:val="en-US" w:eastAsia="zh-CN"/>
                    </w:rPr>
                    <w:t>25</w:t>
                  </w:r>
                  <w:r>
                    <w:rPr>
                      <w:rFonts w:hint="eastAsia" w:ascii="Times New Roman" w:hAnsi="Times New Roman" w:eastAsia="宋体"/>
                      <w:lang w:val="en-US" w:eastAsia="zh-CN"/>
                    </w:rPr>
                    <w:t>m高排气筒（DA001）排放；</w:t>
                  </w:r>
                  <w:r>
                    <w:rPr>
                      <w:rFonts w:hint="eastAsia" w:cs="Times New Roman"/>
                      <w:color w:val="000000" w:themeColor="text1"/>
                      <w:sz w:val="21"/>
                      <w:szCs w:val="21"/>
                      <w:highlight w:val="none"/>
                      <w:lang w:val="en-US" w:eastAsia="zh-CN"/>
                      <w14:textFill>
                        <w14:solidFill>
                          <w14:schemeClr w14:val="tx1"/>
                        </w14:solidFill>
                      </w14:textFill>
                    </w:rPr>
                    <w:t>含烃类物质随水基岩屑和热脱附干渣煅烧而直接焚烧处理后，经1根25m高排气筒（DA001）排放；</w:t>
                  </w:r>
                  <w:r>
                    <w:rPr>
                      <w:rFonts w:hint="eastAsia" w:ascii="Times New Roman" w:hAnsi="Times New Roman" w:eastAsia="宋体"/>
                      <w:lang w:val="en-US" w:eastAsia="zh-CN"/>
                    </w:rPr>
                    <w:t>设备设施均设置在封闭车间内。筒仓顶部自带布袋除尘器，砂石、</w:t>
                  </w:r>
                  <w:r>
                    <w:rPr>
                      <w:rFonts w:hint="eastAsia"/>
                      <w:lang w:val="en-US" w:eastAsia="zh-CN"/>
                    </w:rPr>
                    <w:t>水稳层骨料</w:t>
                  </w:r>
                  <w:r>
                    <w:rPr>
                      <w:rFonts w:hint="eastAsia" w:ascii="Times New Roman" w:hAnsi="Times New Roman" w:eastAsia="宋体"/>
                      <w:lang w:val="en-US" w:eastAsia="zh-CN"/>
                    </w:rPr>
                    <w:t>堆场、预处理药剂投加口处设置喷雾降尘措施，能够有效控制无组织排放。有组织废气能够达到行业排放标准要求。</w:t>
                  </w:r>
                  <w:r>
                    <w:rPr>
                      <w:rFonts w:hint="eastAsia"/>
                      <w:lang w:val="en-US" w:eastAsia="zh-CN"/>
                    </w:rPr>
                    <w:t>生活污水</w:t>
                  </w:r>
                  <w:r>
                    <w:rPr>
                      <w:rFonts w:hint="eastAsia" w:ascii="Times New Roman" w:hAnsi="Times New Roman" w:eastAsia="宋体"/>
                      <w:lang w:val="en-US" w:eastAsia="zh-CN"/>
                    </w:rPr>
                    <w:t>达到</w:t>
                  </w:r>
                  <w:r>
                    <w:rPr>
                      <w:rFonts w:hint="eastAsia"/>
                      <w:lang w:val="en-US" w:eastAsia="zh-CN"/>
                    </w:rPr>
                    <w:t>污水处理厂</w:t>
                  </w:r>
                  <w:r>
                    <w:rPr>
                      <w:rFonts w:hint="eastAsia" w:ascii="Times New Roman" w:hAnsi="Times New Roman" w:eastAsia="宋体"/>
                      <w:lang w:val="en-US" w:eastAsia="zh-CN"/>
                    </w:rPr>
                    <w:t>收纳标准，排放至星光工业园区污水处理厂集中处理。</w:t>
                  </w:r>
                  <w:r>
                    <w:rPr>
                      <w:rFonts w:hint="eastAsia"/>
                      <w:lang w:val="en-US" w:eastAsia="zh-CN"/>
                    </w:rPr>
                    <w:t>生产废水部分回用，剩余部分委托四川洁安环境科技有限公司清运处理；</w:t>
                  </w:r>
                  <w:r>
                    <w:rPr>
                      <w:rFonts w:hint="eastAsia" w:ascii="Times New Roman" w:hAnsi="Times New Roman" w:eastAsia="宋体"/>
                      <w:lang w:val="en-US" w:eastAsia="zh-CN"/>
                    </w:rPr>
                    <w:t>噪声通过优选</w:t>
                  </w:r>
                  <w:r>
                    <w:rPr>
                      <w:rFonts w:hint="eastAsia"/>
                      <w:lang w:val="en-US" w:eastAsia="zh-CN"/>
                    </w:rPr>
                    <w:t>设备、基础减振</w:t>
                  </w:r>
                  <w:r>
                    <w:rPr>
                      <w:rFonts w:hint="eastAsia" w:ascii="Times New Roman" w:hAnsi="Times New Roman" w:eastAsia="宋体"/>
                      <w:lang w:val="en-US" w:eastAsia="zh-CN"/>
                    </w:rPr>
                    <w:t>、建筑隔声等进行控制。</w:t>
                  </w:r>
                </w:p>
              </w:tc>
              <w:tc>
                <w:tcPr>
                  <w:tcW w:w="559" w:type="pct"/>
                  <w:vAlign w:val="center"/>
                </w:tcPr>
                <w:p w14:paraId="25F83F64">
                  <w:pPr>
                    <w:pStyle w:val="12"/>
                  </w:pPr>
                  <w:r>
                    <w:t>符合</w:t>
                  </w:r>
                </w:p>
              </w:tc>
            </w:tr>
            <w:tr w14:paraId="1E261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419" w:type="pct"/>
                  <w:vAlign w:val="center"/>
                </w:tcPr>
                <w:p w14:paraId="2D5AB88E">
                  <w:pPr>
                    <w:pStyle w:val="12"/>
                  </w:pPr>
                  <w:r>
                    <w:t>5</w:t>
                  </w:r>
                </w:p>
              </w:tc>
              <w:tc>
                <w:tcPr>
                  <w:tcW w:w="1844" w:type="pct"/>
                  <w:vAlign w:val="center"/>
                </w:tcPr>
                <w:p w14:paraId="0C66DADC">
                  <w:pPr>
                    <w:pStyle w:val="12"/>
                  </w:pPr>
                  <w:r>
                    <w:t>钻井废物经无害化处置后，对其进行资源化</w:t>
                  </w:r>
                  <w:r>
                    <w:rPr>
                      <w:rFonts w:hint="eastAsia"/>
                    </w:rPr>
                    <w:t>（</w:t>
                  </w:r>
                  <w:r>
                    <w:t>如作为建筑材料等）利用的，应符合相关治理标准和污染控制标准</w:t>
                  </w:r>
                </w:p>
              </w:tc>
              <w:tc>
                <w:tcPr>
                  <w:tcW w:w="2176" w:type="pct"/>
                  <w:vAlign w:val="center"/>
                </w:tcPr>
                <w:p w14:paraId="60E6D108">
                  <w:pPr>
                    <w:pStyle w:val="12"/>
                  </w:pPr>
                  <w:r>
                    <w:t>将水基岩屑</w:t>
                  </w:r>
                  <w:r>
                    <w:rPr>
                      <w:rFonts w:hint="eastAsia"/>
                      <w:lang w:val="en-US" w:eastAsia="zh-CN"/>
                    </w:rPr>
                    <w:t>和热脱附干渣</w:t>
                  </w:r>
                  <w:r>
                    <w:t>作为</w:t>
                  </w:r>
                  <w:r>
                    <w:rPr>
                      <w:rFonts w:hint="eastAsia"/>
                      <w:lang w:eastAsia="zh-CN"/>
                    </w:rPr>
                    <w:t>水稳层骨料</w:t>
                  </w:r>
                  <w:r>
                    <w:rPr>
                      <w:rFonts w:hint="eastAsia"/>
                    </w:rPr>
                    <w:t>的生产原料（并利用</w:t>
                  </w:r>
                  <w:r>
                    <w:rPr>
                      <w:rFonts w:hint="eastAsia"/>
                      <w:lang w:eastAsia="zh-CN"/>
                    </w:rPr>
                    <w:t>水稳层骨料</w:t>
                  </w:r>
                  <w:r>
                    <w:rPr>
                      <w:rFonts w:hint="eastAsia"/>
                    </w:rPr>
                    <w:t>压制制备免烧建筑砌块）</w:t>
                  </w:r>
                  <w:r>
                    <w:t>，实现资源化利用，</w:t>
                  </w:r>
                  <w:r>
                    <w:rPr>
                      <w:rFonts w:hint="eastAsia"/>
                    </w:rPr>
                    <w:t>综合利用</w:t>
                  </w:r>
                  <w:r>
                    <w:t>过程中废气污染物排放满足</w:t>
                  </w:r>
                  <w:r>
                    <w:rPr>
                      <w:rFonts w:hint="eastAsia"/>
                    </w:rPr>
                    <w:t>排放标准要求</w:t>
                  </w:r>
                  <w:r>
                    <w:t>，产品质量能够满足</w:t>
                  </w:r>
                  <w:r>
                    <w:rPr>
                      <w:rFonts w:hint="eastAsia"/>
                    </w:rPr>
                    <w:t>对应质量标准要求。</w:t>
                  </w:r>
                </w:p>
              </w:tc>
              <w:tc>
                <w:tcPr>
                  <w:tcW w:w="559" w:type="pct"/>
                  <w:vAlign w:val="center"/>
                </w:tcPr>
                <w:p w14:paraId="551B94BE">
                  <w:pPr>
                    <w:pStyle w:val="12"/>
                  </w:pPr>
                  <w:r>
                    <w:t>符合</w:t>
                  </w:r>
                </w:p>
              </w:tc>
            </w:tr>
          </w:tbl>
          <w:p w14:paraId="3664ACAA">
            <w:pPr>
              <w:pStyle w:val="11"/>
              <w:rPr>
                <w:bCs/>
                <w:szCs w:val="21"/>
              </w:rPr>
            </w:pPr>
            <w:r>
              <w:t>表</w:t>
            </w:r>
            <w:r>
              <w:rPr>
                <w:rFonts w:hint="eastAsia"/>
                <w:lang w:val="en-US" w:eastAsia="zh-CN"/>
              </w:rPr>
              <w:t>1-14</w:t>
            </w:r>
            <w:r>
              <w:t xml:space="preserve"> </w:t>
            </w:r>
            <w:r>
              <w:rPr>
                <w:bCs/>
                <w:szCs w:val="21"/>
              </w:rPr>
              <w:t>本项目与SY/T7466-2020的符合性分析</w:t>
            </w:r>
          </w:p>
          <w:tbl>
            <w:tblPr>
              <w:tblStyle w:val="2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92"/>
              <w:gridCol w:w="3566"/>
              <w:gridCol w:w="3804"/>
              <w:gridCol w:w="844"/>
            </w:tblGrid>
            <w:tr w14:paraId="5BBF5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6" w:type="pct"/>
                  <w:vAlign w:val="center"/>
                </w:tcPr>
                <w:p w14:paraId="4F40CC4D">
                  <w:pPr>
                    <w:pStyle w:val="45"/>
                  </w:pPr>
                  <w:r>
                    <w:t>序号</w:t>
                  </w:r>
                </w:p>
              </w:tc>
              <w:tc>
                <w:tcPr>
                  <w:tcW w:w="2025" w:type="pct"/>
                  <w:vAlign w:val="center"/>
                </w:tcPr>
                <w:p w14:paraId="03EA77F3">
                  <w:pPr>
                    <w:pStyle w:val="45"/>
                  </w:pPr>
                  <w:r>
                    <w:t>SY/T7466-2020相关要求</w:t>
                  </w:r>
                </w:p>
              </w:tc>
              <w:tc>
                <w:tcPr>
                  <w:tcW w:w="2160" w:type="pct"/>
                  <w:vAlign w:val="center"/>
                </w:tcPr>
                <w:p w14:paraId="55084DD0">
                  <w:pPr>
                    <w:pStyle w:val="45"/>
                  </w:pPr>
                  <w:r>
                    <w:t>本项目情况</w:t>
                  </w:r>
                </w:p>
              </w:tc>
              <w:tc>
                <w:tcPr>
                  <w:tcW w:w="479" w:type="pct"/>
                  <w:vAlign w:val="center"/>
                </w:tcPr>
                <w:p w14:paraId="3A9E08AB">
                  <w:pPr>
                    <w:pStyle w:val="45"/>
                  </w:pPr>
                  <w:r>
                    <w:t>符合性</w:t>
                  </w:r>
                </w:p>
              </w:tc>
            </w:tr>
            <w:tr w14:paraId="61926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36" w:type="pct"/>
                  <w:vAlign w:val="center"/>
                </w:tcPr>
                <w:p w14:paraId="563B01C4">
                  <w:pPr>
                    <w:pStyle w:val="12"/>
                  </w:pPr>
                  <w:r>
                    <w:t>1</w:t>
                  </w:r>
                </w:p>
              </w:tc>
              <w:tc>
                <w:tcPr>
                  <w:tcW w:w="2025" w:type="pct"/>
                  <w:vAlign w:val="center"/>
                </w:tcPr>
                <w:p w14:paraId="30BF9764">
                  <w:pPr>
                    <w:pStyle w:val="12"/>
                  </w:pPr>
                  <w:r>
                    <w:t>对收集的水基钻井废弃物采用固液分离以实现钻井废弃物减量化。水基钻井废弃物进行固液分离或无害化处理后，进一步资源化处理或安全处置。</w:t>
                  </w:r>
                </w:p>
              </w:tc>
              <w:tc>
                <w:tcPr>
                  <w:tcW w:w="2160" w:type="pct"/>
                  <w:vAlign w:val="center"/>
                </w:tcPr>
                <w:p w14:paraId="411FB357">
                  <w:pPr>
                    <w:pStyle w:val="12"/>
                  </w:pPr>
                  <w:r>
                    <w:rPr>
                      <w:rFonts w:hint="eastAsia"/>
                    </w:rPr>
                    <w:t>采用压滤机对水基岩屑进行固液分离后，再进一步分别处理压滤液和压滤后的水基岩屑，</w:t>
                  </w:r>
                  <w:r>
                    <w:rPr>
                      <w:rFonts w:hint="eastAsia"/>
                      <w:lang w:val="en-US" w:eastAsia="zh-CN"/>
                    </w:rPr>
                    <w:t>煅烧</w:t>
                  </w:r>
                  <w:r>
                    <w:rPr>
                      <w:rFonts w:hint="eastAsia"/>
                    </w:rPr>
                    <w:t>水基岩屑制备</w:t>
                  </w:r>
                  <w:r>
                    <w:rPr>
                      <w:rFonts w:hint="eastAsia"/>
                      <w:lang w:eastAsia="zh-CN"/>
                    </w:rPr>
                    <w:t>水稳层骨料</w:t>
                  </w:r>
                  <w:r>
                    <w:rPr>
                      <w:rFonts w:hint="eastAsia"/>
                    </w:rPr>
                    <w:t>，压滤液</w:t>
                  </w:r>
                  <w:r>
                    <w:rPr>
                      <w:rFonts w:hint="eastAsia"/>
                      <w:lang w:val="en-US" w:eastAsia="zh-CN"/>
                    </w:rPr>
                    <w:t>优先回用，其余委托四川洁安环境科技有限公司清运处理</w:t>
                  </w:r>
                  <w:r>
                    <w:t>。</w:t>
                  </w:r>
                </w:p>
              </w:tc>
              <w:tc>
                <w:tcPr>
                  <w:tcW w:w="479" w:type="pct"/>
                  <w:vAlign w:val="center"/>
                </w:tcPr>
                <w:p w14:paraId="782FEC8A">
                  <w:pPr>
                    <w:pStyle w:val="12"/>
                  </w:pPr>
                  <w:r>
                    <w:t>符合</w:t>
                  </w:r>
                </w:p>
              </w:tc>
            </w:tr>
            <w:tr w14:paraId="7FBE4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6" w:type="pct"/>
                  <w:vAlign w:val="center"/>
                </w:tcPr>
                <w:p w14:paraId="484B5F78">
                  <w:pPr>
                    <w:pStyle w:val="12"/>
                  </w:pPr>
                  <w:r>
                    <w:t>2</w:t>
                  </w:r>
                </w:p>
              </w:tc>
              <w:tc>
                <w:tcPr>
                  <w:tcW w:w="2025" w:type="pct"/>
                  <w:vAlign w:val="center"/>
                </w:tcPr>
                <w:p w14:paraId="0E9A6540">
                  <w:pPr>
                    <w:pStyle w:val="12"/>
                  </w:pPr>
                  <w:r>
                    <w:t>水基钻井废弃物处理、处置过程中应保护处置场地及周边环境，避免造成环境污染和生态破坏。</w:t>
                  </w:r>
                </w:p>
              </w:tc>
              <w:tc>
                <w:tcPr>
                  <w:tcW w:w="2160" w:type="pct"/>
                  <w:vAlign w:val="center"/>
                </w:tcPr>
                <w:p w14:paraId="542AF5E1">
                  <w:pPr>
                    <w:pStyle w:val="12"/>
                  </w:pPr>
                  <w:r>
                    <w:rPr>
                      <w:rFonts w:hint="eastAsia"/>
                    </w:rPr>
                    <w:t>本项目运营</w:t>
                  </w:r>
                  <w:r>
                    <w:t>过程中污染物排放满足相应标准，不会对周边环境造成污染和生态破坏。</w:t>
                  </w:r>
                </w:p>
              </w:tc>
              <w:tc>
                <w:tcPr>
                  <w:tcW w:w="479" w:type="pct"/>
                  <w:vAlign w:val="center"/>
                </w:tcPr>
                <w:p w14:paraId="0F27AA55">
                  <w:pPr>
                    <w:pStyle w:val="12"/>
                  </w:pPr>
                  <w:r>
                    <w:t>符合</w:t>
                  </w:r>
                </w:p>
              </w:tc>
            </w:tr>
            <w:tr w14:paraId="53F72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6" w:type="pct"/>
                  <w:vAlign w:val="center"/>
                </w:tcPr>
                <w:p w14:paraId="40BB066B">
                  <w:pPr>
                    <w:pStyle w:val="12"/>
                  </w:pPr>
                  <w:r>
                    <w:t>3</w:t>
                  </w:r>
                </w:p>
              </w:tc>
              <w:tc>
                <w:tcPr>
                  <w:tcW w:w="2025" w:type="pct"/>
                  <w:vAlign w:val="center"/>
                </w:tcPr>
                <w:p w14:paraId="61F208EA">
                  <w:pPr>
                    <w:pStyle w:val="12"/>
                  </w:pPr>
                  <w:r>
                    <w:t>水基钻井废弃物处理、处置过程排放的废水和废气污染物、环境噪声，应符合国家和地方相关排放和控制标准的要求；废弃钻井液和钻屑的处理、处置除符合本标准外，还应符合国家、地方及SY/T7298等固体废物污染控制标准。</w:t>
                  </w:r>
                </w:p>
              </w:tc>
              <w:tc>
                <w:tcPr>
                  <w:tcW w:w="2160" w:type="pct"/>
                  <w:vAlign w:val="center"/>
                </w:tcPr>
                <w:p w14:paraId="1D4CF53E">
                  <w:pPr>
                    <w:pStyle w:val="12"/>
                  </w:pPr>
                  <w:r>
                    <w:t>将水基岩屑作为</w:t>
                  </w:r>
                  <w:r>
                    <w:rPr>
                      <w:rFonts w:hint="eastAsia"/>
                      <w:lang w:eastAsia="zh-CN"/>
                    </w:rPr>
                    <w:t>水稳层骨料</w:t>
                  </w:r>
                  <w:r>
                    <w:rPr>
                      <w:rFonts w:hint="eastAsia"/>
                    </w:rPr>
                    <w:t>的生产原料（并利用</w:t>
                  </w:r>
                  <w:r>
                    <w:rPr>
                      <w:rFonts w:hint="eastAsia"/>
                      <w:lang w:eastAsia="zh-CN"/>
                    </w:rPr>
                    <w:t>水稳层骨料</w:t>
                  </w:r>
                  <w:r>
                    <w:rPr>
                      <w:rFonts w:hint="eastAsia"/>
                    </w:rPr>
                    <w:t>压制制备免烧建筑砌块）</w:t>
                  </w:r>
                  <w:r>
                    <w:t>，实现资源化利用，</w:t>
                  </w:r>
                  <w:r>
                    <w:rPr>
                      <w:rFonts w:hint="eastAsia"/>
                    </w:rPr>
                    <w:t>综合利用</w:t>
                  </w:r>
                  <w:r>
                    <w:t>过程中废气污染物排放满足</w:t>
                  </w:r>
                  <w:r>
                    <w:rPr>
                      <w:rFonts w:hint="eastAsia"/>
                    </w:rPr>
                    <w:t>排放标准要求</w:t>
                  </w:r>
                  <w:r>
                    <w:t>，产品质量能够满足</w:t>
                  </w:r>
                  <w:r>
                    <w:rPr>
                      <w:rFonts w:hint="eastAsia"/>
                    </w:rPr>
                    <w:t>对应质量标准要求。</w:t>
                  </w:r>
                </w:p>
              </w:tc>
              <w:tc>
                <w:tcPr>
                  <w:tcW w:w="479" w:type="pct"/>
                  <w:vAlign w:val="center"/>
                </w:tcPr>
                <w:p w14:paraId="2C690525">
                  <w:pPr>
                    <w:pStyle w:val="12"/>
                  </w:pPr>
                  <w:r>
                    <w:t>符合</w:t>
                  </w:r>
                </w:p>
              </w:tc>
            </w:tr>
            <w:tr w14:paraId="38EC5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4" w:hRule="atLeast"/>
                <w:jc w:val="center"/>
              </w:trPr>
              <w:tc>
                <w:tcPr>
                  <w:tcW w:w="336" w:type="pct"/>
                  <w:vAlign w:val="center"/>
                </w:tcPr>
                <w:p w14:paraId="4C15AEE8">
                  <w:pPr>
                    <w:pStyle w:val="12"/>
                  </w:pPr>
                  <w:r>
                    <w:t>4</w:t>
                  </w:r>
                </w:p>
              </w:tc>
              <w:tc>
                <w:tcPr>
                  <w:tcW w:w="2025" w:type="pct"/>
                  <w:vAlign w:val="center"/>
                </w:tcPr>
                <w:p w14:paraId="76E3E739">
                  <w:pPr>
                    <w:pStyle w:val="12"/>
                  </w:pPr>
                  <w:r>
                    <w:t>水基钻井废弃物用于制备免烧砖、免烧砌块、免烧陶粒、烧结砖，抗压强度不小于10MPa，并根据建材用途满足对应建材标准要求。</w:t>
                  </w:r>
                </w:p>
              </w:tc>
              <w:tc>
                <w:tcPr>
                  <w:tcW w:w="2160" w:type="pct"/>
                  <w:vAlign w:val="center"/>
                </w:tcPr>
                <w:p w14:paraId="202A79F5">
                  <w:pPr>
                    <w:pStyle w:val="12"/>
                  </w:pPr>
                  <w:r>
                    <w:rPr>
                      <w:rFonts w:hint="eastAsia"/>
                    </w:rPr>
                    <w:t>本项目</w:t>
                  </w:r>
                  <w:r>
                    <w:t>将水基</w:t>
                  </w:r>
                  <w:r>
                    <w:rPr>
                      <w:rFonts w:hint="eastAsia"/>
                    </w:rPr>
                    <w:t>岩屑</w:t>
                  </w:r>
                  <w:r>
                    <w:t>用于</w:t>
                  </w:r>
                  <w:r>
                    <w:rPr>
                      <w:rFonts w:hint="eastAsia"/>
                    </w:rPr>
                    <w:t>制备</w:t>
                  </w:r>
                  <w:r>
                    <w:rPr>
                      <w:rFonts w:hint="eastAsia"/>
                      <w:lang w:eastAsia="zh-CN"/>
                    </w:rPr>
                    <w:t>水稳层骨料</w:t>
                  </w:r>
                  <w:r>
                    <w:rPr>
                      <w:rFonts w:hint="eastAsia"/>
                    </w:rPr>
                    <w:t>，再以</w:t>
                  </w:r>
                  <w:r>
                    <w:rPr>
                      <w:rFonts w:hint="eastAsia"/>
                      <w:lang w:eastAsia="zh-CN"/>
                    </w:rPr>
                    <w:t>水稳层骨料</w:t>
                  </w:r>
                  <w:r>
                    <w:rPr>
                      <w:rFonts w:hint="eastAsia"/>
                    </w:rPr>
                    <w:t>制备</w:t>
                  </w:r>
                  <w:r>
                    <w:rPr>
                      <w:rFonts w:hint="eastAsia"/>
                      <w:lang w:eastAsia="zh-CN"/>
                    </w:rPr>
                    <w:t>免烧砌块</w:t>
                  </w:r>
                  <w:r>
                    <w:rPr>
                      <w:rFonts w:hint="eastAsia"/>
                    </w:rPr>
                    <w:t>，产品质量满足治疗标准要求，</w:t>
                  </w:r>
                  <w:r>
                    <w:t>产品抗压强度不小于10MPa。</w:t>
                  </w:r>
                </w:p>
              </w:tc>
              <w:tc>
                <w:tcPr>
                  <w:tcW w:w="479" w:type="pct"/>
                  <w:vAlign w:val="center"/>
                </w:tcPr>
                <w:p w14:paraId="18957669">
                  <w:pPr>
                    <w:pStyle w:val="12"/>
                  </w:pPr>
                  <w:r>
                    <w:t>符合</w:t>
                  </w:r>
                </w:p>
              </w:tc>
            </w:tr>
            <w:tr w14:paraId="2DB4D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6" w:type="pct"/>
                  <w:vAlign w:val="center"/>
                </w:tcPr>
                <w:p w14:paraId="5E89E5FD">
                  <w:pPr>
                    <w:pStyle w:val="12"/>
                  </w:pPr>
                  <w:r>
                    <w:t>5</w:t>
                  </w:r>
                </w:p>
              </w:tc>
              <w:tc>
                <w:tcPr>
                  <w:tcW w:w="2025" w:type="pct"/>
                  <w:vAlign w:val="center"/>
                </w:tcPr>
                <w:p w14:paraId="6B490F0C">
                  <w:pPr>
                    <w:pStyle w:val="12"/>
                  </w:pPr>
                  <w:r>
                    <w:t>制备的建材产品，放射性满足GB6566的要求。</w:t>
                  </w:r>
                </w:p>
              </w:tc>
              <w:tc>
                <w:tcPr>
                  <w:tcW w:w="2160" w:type="pct"/>
                  <w:vAlign w:val="center"/>
                </w:tcPr>
                <w:p w14:paraId="6CD32E07">
                  <w:pPr>
                    <w:pStyle w:val="12"/>
                    <w:rPr>
                      <w:rFonts w:hint="default" w:eastAsia="宋体"/>
                      <w:lang w:val="en-US" w:eastAsia="zh-CN"/>
                    </w:rPr>
                  </w:pPr>
                  <w:r>
                    <w:rPr>
                      <w:rFonts w:hint="eastAsia"/>
                      <w:lang w:val="en-US" w:eastAsia="zh-CN"/>
                    </w:rPr>
                    <w:t>类比类似项目，</w:t>
                  </w:r>
                  <w:r>
                    <w:t>制备的建材产品</w:t>
                  </w:r>
                  <w:r>
                    <w:rPr>
                      <w:rFonts w:hint="eastAsia"/>
                    </w:rPr>
                    <w:t>放射性满足</w:t>
                  </w:r>
                  <w:r>
                    <w:t>GB6566的要求。建成投产后建设单位应定期对</w:t>
                  </w:r>
                  <w:r>
                    <w:rPr>
                      <w:rFonts w:hint="eastAsia"/>
                      <w:lang w:val="en-US" w:eastAsia="zh-CN"/>
                    </w:rPr>
                    <w:t>产品</w:t>
                  </w:r>
                  <w:r>
                    <w:t>进行检测</w:t>
                  </w:r>
                  <w:r>
                    <w:rPr>
                      <w:rFonts w:hint="eastAsia"/>
                      <w:lang w:eastAsia="zh-CN"/>
                    </w:rPr>
                    <w:t>，</w:t>
                  </w:r>
                  <w:r>
                    <w:rPr>
                      <w:rFonts w:hint="eastAsia"/>
                      <w:lang w:val="en-US" w:eastAsia="zh-CN"/>
                    </w:rPr>
                    <w:t>确保放射性符合要求。</w:t>
                  </w:r>
                </w:p>
              </w:tc>
              <w:tc>
                <w:tcPr>
                  <w:tcW w:w="479" w:type="pct"/>
                  <w:vAlign w:val="center"/>
                </w:tcPr>
                <w:p w14:paraId="7C99A751">
                  <w:pPr>
                    <w:pStyle w:val="12"/>
                  </w:pPr>
                  <w:r>
                    <w:t>符合</w:t>
                  </w:r>
                </w:p>
              </w:tc>
            </w:tr>
          </w:tbl>
          <w:p w14:paraId="43B49F78">
            <w:pPr>
              <w:pStyle w:val="11"/>
              <w:keepNext/>
              <w:keepLines w:val="0"/>
              <w:pageBreakBefore w:val="0"/>
              <w:kinsoku/>
              <w:wordWrap/>
              <w:overflowPunct/>
              <w:topLinePunct w:val="0"/>
              <w:autoSpaceDE/>
              <w:autoSpaceDN/>
              <w:bidi w:val="0"/>
              <w:spacing w:after="0" w:line="360" w:lineRule="auto"/>
              <w:textAlignment w:val="auto"/>
              <w:rPr>
                <w:rFonts w:cs="Times New Roman"/>
              </w:rPr>
            </w:pPr>
            <w:r>
              <w:rPr>
                <w:rFonts w:cs="Times New Roman"/>
              </w:rPr>
              <w:t>表</w:t>
            </w:r>
            <w:r>
              <w:rPr>
                <w:rFonts w:hint="eastAsia" w:cs="Times New Roman"/>
                <w:lang w:val="en-US" w:eastAsia="zh-CN"/>
              </w:rPr>
              <w:t>1</w:t>
            </w:r>
            <w:r>
              <w:rPr>
                <w:rFonts w:cs="Times New Roman"/>
              </w:rPr>
              <w:noBreakHyphen/>
            </w:r>
            <w:r>
              <w:rPr>
                <w:rFonts w:hint="eastAsia" w:cs="Times New Roman"/>
                <w:lang w:val="en-US" w:eastAsia="zh-CN"/>
              </w:rPr>
              <w:t>15</w:t>
            </w:r>
            <w:r>
              <w:rPr>
                <w:rFonts w:cs="Times New Roman"/>
              </w:rPr>
              <w:t xml:space="preserve"> 与</w:t>
            </w:r>
            <w:r>
              <w:rPr>
                <w:rFonts w:hint="eastAsia" w:cs="Times New Roman"/>
                <w:lang w:val="en-US" w:eastAsia="zh-CN"/>
              </w:rPr>
              <w:t>HJ1461-2026</w:t>
            </w:r>
            <w:r>
              <w:rPr>
                <w:rFonts w:cs="Times New Roman"/>
              </w:rPr>
              <w:t>的符合性分析</w:t>
            </w:r>
          </w:p>
          <w:tbl>
            <w:tblPr>
              <w:tblStyle w:val="2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0"/>
              <w:gridCol w:w="3561"/>
              <w:gridCol w:w="3342"/>
              <w:gridCol w:w="853"/>
            </w:tblGrid>
            <w:tr w14:paraId="55588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687" w:type="pct"/>
                  <w:gridSpan w:val="2"/>
                  <w:shd w:val="clear" w:color="auto" w:fill="auto"/>
                  <w:vAlign w:val="center"/>
                </w:tcPr>
                <w:p w14:paraId="1560B227">
                  <w:pPr>
                    <w:pStyle w:val="45"/>
                    <w:rPr>
                      <w:rFonts w:cs="Times New Roman"/>
                    </w:rPr>
                  </w:pPr>
                  <w:r>
                    <w:rPr>
                      <w:rFonts w:cs="Times New Roman"/>
                    </w:rPr>
                    <w:t>规划要求内容</w:t>
                  </w:r>
                </w:p>
              </w:tc>
              <w:tc>
                <w:tcPr>
                  <w:tcW w:w="1793" w:type="pct"/>
                  <w:shd w:val="clear" w:color="auto" w:fill="auto"/>
                  <w:vAlign w:val="center"/>
                </w:tcPr>
                <w:p w14:paraId="7B032158">
                  <w:pPr>
                    <w:pStyle w:val="45"/>
                    <w:rPr>
                      <w:rFonts w:cs="Times New Roman"/>
                    </w:rPr>
                  </w:pPr>
                  <w:r>
                    <w:rPr>
                      <w:rFonts w:cs="Times New Roman"/>
                    </w:rPr>
                    <w:t>本项目情况</w:t>
                  </w:r>
                </w:p>
              </w:tc>
              <w:tc>
                <w:tcPr>
                  <w:tcW w:w="519" w:type="pct"/>
                  <w:shd w:val="clear" w:color="auto" w:fill="auto"/>
                  <w:vAlign w:val="center"/>
                </w:tcPr>
                <w:p w14:paraId="60D8E70F">
                  <w:pPr>
                    <w:pStyle w:val="45"/>
                    <w:rPr>
                      <w:rFonts w:cs="Times New Roman"/>
                    </w:rPr>
                  </w:pPr>
                  <w:r>
                    <w:rPr>
                      <w:rFonts w:cs="Times New Roman"/>
                    </w:rPr>
                    <w:t>符合性</w:t>
                  </w:r>
                </w:p>
              </w:tc>
            </w:tr>
            <w:tr w14:paraId="41E0A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31" w:type="pct"/>
                  <w:shd w:val="clear" w:color="auto" w:fill="auto"/>
                  <w:vAlign w:val="center"/>
                </w:tcPr>
                <w:p w14:paraId="118BCF6B">
                  <w:pPr>
                    <w:pStyle w:val="12"/>
                    <w:rPr>
                      <w:rFonts w:hint="default" w:eastAsia="宋体" w:cs="Times New Roman"/>
                      <w:lang w:val="en-US" w:eastAsia="zh-CN"/>
                    </w:rPr>
                  </w:pPr>
                  <w:r>
                    <w:rPr>
                      <w:rFonts w:hint="eastAsia" w:cs="Times New Roman"/>
                      <w:lang w:val="en-US" w:eastAsia="zh-CN"/>
                    </w:rPr>
                    <w:t>5收集、贮存、转移污染控制要求</w:t>
                  </w:r>
                </w:p>
              </w:tc>
              <w:tc>
                <w:tcPr>
                  <w:tcW w:w="2055" w:type="pct"/>
                  <w:shd w:val="clear" w:color="auto" w:fill="auto"/>
                  <w:vAlign w:val="center"/>
                </w:tcPr>
                <w:p w14:paraId="5DEE78C8">
                  <w:pPr>
                    <w:pStyle w:val="12"/>
                    <w:jc w:val="both"/>
                    <w:rPr>
                      <w:rFonts w:hint="eastAsia" w:cs="Times New Roman"/>
                    </w:rPr>
                  </w:pPr>
                  <w:r>
                    <w:rPr>
                      <w:rFonts w:hint="eastAsia" w:cs="Times New Roman"/>
                    </w:rPr>
                    <w:t>5.3 水基岩屑需要在作业现场临时贮存的，贮存场地的防渗性能满足GB18599的要求。综合考虑降雨量、蒸发量等因素，因地制宜采取必要的防雨、防尘措施。转移过程中采取防遗撒、防扬尘、防泄漏的措施。</w:t>
                  </w:r>
                </w:p>
                <w:p w14:paraId="56634790">
                  <w:pPr>
                    <w:pStyle w:val="12"/>
                    <w:jc w:val="both"/>
                    <w:rPr>
                      <w:rFonts w:cs="Times New Roman"/>
                    </w:rPr>
                  </w:pPr>
                  <w:r>
                    <w:rPr>
                      <w:rFonts w:hint="eastAsia" w:cs="Times New Roman"/>
                    </w:rPr>
                    <w:t>5.5 剩余固相的转移采取防遗撒、防扬尘、防泄漏的措施。剩余固相和回收的矿物油收集、贮存、转移过程的其他要求，根据其管理属性分别执行相关环境保护规定和标准的要求。</w:t>
                  </w:r>
                </w:p>
              </w:tc>
              <w:tc>
                <w:tcPr>
                  <w:tcW w:w="1793" w:type="pct"/>
                  <w:shd w:val="clear" w:color="auto" w:fill="auto"/>
                  <w:vAlign w:val="center"/>
                </w:tcPr>
                <w:p w14:paraId="43BCCC9B">
                  <w:pPr>
                    <w:pStyle w:val="12"/>
                    <w:rPr>
                      <w:rFonts w:hint="default" w:eastAsia="宋体" w:cs="Times New Roman"/>
                      <w:lang w:val="en-US" w:eastAsia="zh-CN"/>
                    </w:rPr>
                  </w:pPr>
                  <w:r>
                    <w:rPr>
                      <w:rFonts w:hint="eastAsia"/>
                      <w:lang w:val="en-US" w:eastAsia="zh-CN"/>
                    </w:rPr>
                    <w:t>本项目在1号厂房内设置1座干水基岩屑堆存区和1座热脱附干渣堆存区；在2号厂房内设置1座湿水基岩屑储存池，池体和堆存区地面均采取重点防渗；均位于厂房内，采取了防雨、防尘、防泄漏等措施。</w:t>
                  </w:r>
                </w:p>
              </w:tc>
              <w:tc>
                <w:tcPr>
                  <w:tcW w:w="519" w:type="pct"/>
                  <w:shd w:val="clear" w:color="auto" w:fill="auto"/>
                  <w:vAlign w:val="center"/>
                </w:tcPr>
                <w:p w14:paraId="3A81B900">
                  <w:pPr>
                    <w:pStyle w:val="12"/>
                    <w:rPr>
                      <w:rFonts w:cs="Times New Roman"/>
                    </w:rPr>
                  </w:pPr>
                  <w:r>
                    <w:rPr>
                      <w:rFonts w:cs="Times New Roman"/>
                    </w:rPr>
                    <w:t>符合</w:t>
                  </w:r>
                </w:p>
              </w:tc>
            </w:tr>
            <w:tr w14:paraId="04D4E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31" w:type="pct"/>
                  <w:shd w:val="clear" w:color="auto" w:fill="auto"/>
                  <w:vAlign w:val="center"/>
                </w:tcPr>
                <w:p w14:paraId="5EB08BE7">
                  <w:pPr>
                    <w:pStyle w:val="12"/>
                    <w:rPr>
                      <w:rFonts w:hint="default" w:eastAsia="宋体" w:cs="Times New Roman"/>
                      <w:lang w:val="en-US" w:eastAsia="zh-CN"/>
                    </w:rPr>
                  </w:pPr>
                  <w:r>
                    <w:rPr>
                      <w:rFonts w:hint="eastAsia" w:cs="Times New Roman"/>
                      <w:lang w:val="en-US" w:eastAsia="zh-CN"/>
                    </w:rPr>
                    <w:t>6利用、处置污染控制要求</w:t>
                  </w:r>
                </w:p>
              </w:tc>
              <w:tc>
                <w:tcPr>
                  <w:tcW w:w="2055" w:type="pct"/>
                  <w:shd w:val="clear" w:color="auto" w:fill="auto"/>
                  <w:vAlign w:val="center"/>
                </w:tcPr>
                <w:p w14:paraId="2E37D4EA">
                  <w:pPr>
                    <w:pStyle w:val="12"/>
                    <w:jc w:val="both"/>
                    <w:rPr>
                      <w:rFonts w:hint="eastAsia" w:cs="Times New Roman"/>
                      <w:b/>
                      <w:bCs w:val="0"/>
                      <w:lang w:val="en-US" w:eastAsia="zh-CN"/>
                    </w:rPr>
                  </w:pPr>
                  <w:r>
                    <w:rPr>
                      <w:rFonts w:hint="eastAsia" w:cs="Times New Roman"/>
                      <w:b/>
                      <w:bCs w:val="0"/>
                      <w:lang w:val="en-US" w:eastAsia="zh-CN"/>
                    </w:rPr>
                    <w:t>6.1水基岩屑</w:t>
                  </w:r>
                </w:p>
                <w:p w14:paraId="309E8FA2">
                  <w:pPr>
                    <w:pStyle w:val="12"/>
                    <w:jc w:val="both"/>
                    <w:rPr>
                      <w:rFonts w:hint="eastAsia" w:cs="Times New Roman"/>
                      <w:b/>
                      <w:bCs w:val="0"/>
                      <w:lang w:val="en-US" w:eastAsia="zh-CN"/>
                    </w:rPr>
                  </w:pPr>
                  <w:r>
                    <w:rPr>
                      <w:rFonts w:hint="eastAsia" w:cs="Times New Roman"/>
                      <w:b/>
                      <w:bCs w:val="0"/>
                      <w:lang w:val="en-US" w:eastAsia="zh-CN"/>
                    </w:rPr>
                    <w:t>6.1.2制备烧结砖、陶粒</w:t>
                  </w:r>
                </w:p>
                <w:p w14:paraId="5BA4D3D7">
                  <w:pPr>
                    <w:pStyle w:val="12"/>
                    <w:jc w:val="both"/>
                    <w:rPr>
                      <w:rFonts w:hint="eastAsia" w:cs="Times New Roman"/>
                      <w:lang w:val="en-US" w:eastAsia="zh-CN"/>
                    </w:rPr>
                  </w:pPr>
                  <w:r>
                    <w:rPr>
                      <w:rFonts w:hint="default" w:cs="Times New Roman"/>
                      <w:lang w:val="en-US" w:eastAsia="zh-CN"/>
                    </w:rPr>
                    <w:t>水基岩屑制备烧结砖、陶粒时，满足以下要求</w:t>
                  </w:r>
                  <w:r>
                    <w:rPr>
                      <w:rFonts w:hint="eastAsia" w:cs="Times New Roman"/>
                      <w:lang w:val="en-US" w:eastAsia="zh-CN"/>
                    </w:rPr>
                    <w:t>：</w:t>
                  </w:r>
                </w:p>
                <w:p w14:paraId="46E8E7DA">
                  <w:pPr>
                    <w:pStyle w:val="12"/>
                    <w:jc w:val="both"/>
                    <w:rPr>
                      <w:rFonts w:hint="default" w:cs="Times New Roman"/>
                      <w:lang w:val="en-US" w:eastAsia="zh-CN"/>
                    </w:rPr>
                  </w:pPr>
                  <w:r>
                    <w:rPr>
                      <w:rFonts w:hint="default" w:cs="Times New Roman"/>
                      <w:lang w:val="en-US" w:eastAsia="zh-CN"/>
                    </w:rPr>
                    <w:t>a)窑炉烟气设置气体收集处理设施，废气排放满足GB29620、GB25464等国家或地方大气污染物排放标准的要求。其中，使用磺化钻井岩屑的，采用活性炭喷射或其他适宜的方法减少二噁英类的产生，废气中二噁英类的排放满足GB18484的要求。</w:t>
                  </w:r>
                </w:p>
              </w:tc>
              <w:tc>
                <w:tcPr>
                  <w:tcW w:w="1793" w:type="pct"/>
                  <w:shd w:val="clear" w:color="auto" w:fill="auto"/>
                  <w:vAlign w:val="center"/>
                </w:tcPr>
                <w:p w14:paraId="270C50AE">
                  <w:pPr>
                    <w:pStyle w:val="12"/>
                    <w:rPr>
                      <w:rFonts w:hint="default" w:eastAsia="宋体" w:cs="Times New Roman"/>
                      <w:lang w:val="en-US" w:eastAsia="zh-CN"/>
                    </w:rPr>
                  </w:pPr>
                  <w:r>
                    <w:rPr>
                      <w:rFonts w:hint="eastAsia" w:cs="Times New Roman"/>
                      <w:lang w:val="en-US" w:eastAsia="zh-CN"/>
                    </w:rPr>
                    <w:t>本项目烧结废气设置</w:t>
                  </w:r>
                  <w:r>
                    <w:rPr>
                      <w:rFonts w:hint="eastAsia"/>
                      <w:lang w:val="en-US" w:eastAsia="zh-CN"/>
                    </w:rPr>
                    <w:t>旋风除尘器+布袋除尘器1#+喷射活性炭+布袋除尘器2#+3座脱酸塔去除，处理后颗粒物、氟化物达《工业炉窑大气污染物排放标准》（GB9078-1996）、二氧化硫、氮氧化物达《大气污染物综合排放标准》、二噁英达《危险废物焚烧污染控制标准》（GB18484-2020）后，经1根25m高排气筒（DA001）排放。</w:t>
                  </w:r>
                </w:p>
              </w:tc>
              <w:tc>
                <w:tcPr>
                  <w:tcW w:w="519" w:type="pct"/>
                  <w:shd w:val="clear" w:color="auto" w:fill="auto"/>
                  <w:vAlign w:val="center"/>
                </w:tcPr>
                <w:p w14:paraId="1E43CA85">
                  <w:pPr>
                    <w:pStyle w:val="12"/>
                    <w:rPr>
                      <w:rFonts w:cs="Times New Roman"/>
                    </w:rPr>
                  </w:pPr>
                  <w:r>
                    <w:rPr>
                      <w:rFonts w:hint="eastAsia" w:cs="Times New Roman"/>
                    </w:rPr>
                    <w:t>符合</w:t>
                  </w:r>
                </w:p>
              </w:tc>
            </w:tr>
            <w:tr w14:paraId="1D9ED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31" w:type="pct"/>
                  <w:shd w:val="clear" w:color="auto" w:fill="auto"/>
                  <w:vAlign w:val="center"/>
                </w:tcPr>
                <w:p w14:paraId="2BDE4826">
                  <w:pPr>
                    <w:pStyle w:val="12"/>
                    <w:rPr>
                      <w:rFonts w:hint="default" w:cs="Times New Roman"/>
                      <w:lang w:val="en-US" w:eastAsia="zh-CN"/>
                    </w:rPr>
                  </w:pPr>
                  <w:r>
                    <w:rPr>
                      <w:rFonts w:hint="eastAsia" w:cs="Times New Roman"/>
                      <w:lang w:val="en-US" w:eastAsia="zh-CN"/>
                    </w:rPr>
                    <w:t>7剩余固相和回收的矿物油利用、处置污染控制要求</w:t>
                  </w:r>
                </w:p>
              </w:tc>
              <w:tc>
                <w:tcPr>
                  <w:tcW w:w="2055" w:type="pct"/>
                  <w:shd w:val="clear" w:color="auto" w:fill="auto"/>
                  <w:vAlign w:val="center"/>
                </w:tcPr>
                <w:p w14:paraId="165D0714">
                  <w:pPr>
                    <w:pStyle w:val="12"/>
                    <w:jc w:val="both"/>
                    <w:rPr>
                      <w:rFonts w:hint="default" w:cs="Times New Roman"/>
                      <w:b/>
                      <w:bCs w:val="0"/>
                      <w:lang w:val="en-US" w:eastAsia="zh-CN"/>
                    </w:rPr>
                  </w:pPr>
                  <w:r>
                    <w:rPr>
                      <w:rFonts w:hint="eastAsia" w:cs="Times New Roman"/>
                      <w:b/>
                      <w:bCs w:val="0"/>
                      <w:lang w:val="en-US" w:eastAsia="zh-CN"/>
                    </w:rPr>
                    <w:t>7.1剩余固相</w:t>
                  </w:r>
                </w:p>
                <w:p w14:paraId="3CB991AE">
                  <w:pPr>
                    <w:pStyle w:val="12"/>
                    <w:jc w:val="both"/>
                    <w:rPr>
                      <w:rFonts w:hint="default" w:cs="Times New Roman"/>
                      <w:lang w:val="en-US" w:eastAsia="zh-CN"/>
                    </w:rPr>
                  </w:pPr>
                  <w:r>
                    <w:rPr>
                      <w:rFonts w:hint="default" w:cs="Times New Roman"/>
                      <w:lang w:val="en-US" w:eastAsia="zh-CN"/>
                    </w:rPr>
                    <w:t>7.1.3 剩余固相作为烧结砖、烧结陶粒的原料时，其掺配比例不大于25%。当剩余固相中石油烃含量大于5000mg/kg时，窑尾设置洗涤冷凝净化或有机废气净化系统。同时，满足6.1.2的要求。</w:t>
                  </w:r>
                </w:p>
              </w:tc>
              <w:tc>
                <w:tcPr>
                  <w:tcW w:w="1793" w:type="pct"/>
                  <w:shd w:val="clear" w:color="auto" w:fill="auto"/>
                  <w:vAlign w:val="center"/>
                </w:tcPr>
                <w:p w14:paraId="4B15EBF6">
                  <w:pPr>
                    <w:pStyle w:val="12"/>
                    <w:rPr>
                      <w:rFonts w:hint="default"/>
                      <w:sz w:val="20"/>
                      <w:szCs w:val="20"/>
                      <w:lang w:val="en-US" w:eastAsia="zh-CN"/>
                    </w:rPr>
                  </w:pPr>
                  <w:r>
                    <w:rPr>
                      <w:rFonts w:hint="eastAsia"/>
                      <w:sz w:val="20"/>
                      <w:szCs w:val="20"/>
                      <w:lang w:val="en-US" w:eastAsia="zh-CN"/>
                    </w:rPr>
                    <w:t>本项目水基岩屑的干基为250000*0.65+50000*0.2=172500t/a，热脱附干渣的年使用量为42000t，掺配比例为42000/172500*100=24.38%，满足掺配比例不大于25%的要求。</w:t>
                  </w:r>
                </w:p>
                <w:p w14:paraId="1AD52CCA">
                  <w:pPr>
                    <w:pStyle w:val="12"/>
                    <w:rPr>
                      <w:rFonts w:hint="default" w:eastAsia="宋体"/>
                      <w:sz w:val="20"/>
                      <w:szCs w:val="20"/>
                      <w:lang w:val="en-US" w:eastAsia="zh-CN"/>
                    </w:rPr>
                  </w:pPr>
                  <w:r>
                    <w:rPr>
                      <w:rFonts w:hint="eastAsia"/>
                      <w:sz w:val="20"/>
                      <w:szCs w:val="20"/>
                      <w:lang w:val="en-US" w:eastAsia="zh-CN"/>
                    </w:rPr>
                    <w:t>烧结废气</w:t>
                  </w:r>
                  <w:r>
                    <w:rPr>
                      <w:rFonts w:hint="eastAsia" w:cs="Times New Roman"/>
                      <w:lang w:val="en-US" w:eastAsia="zh-CN"/>
                    </w:rPr>
                    <w:t>设置</w:t>
                  </w:r>
                  <w:r>
                    <w:rPr>
                      <w:rFonts w:hint="eastAsia"/>
                      <w:lang w:val="en-US" w:eastAsia="zh-CN"/>
                    </w:rPr>
                    <w:t>旋风除尘器+布袋除尘器1#+喷射活性炭+布袋除尘器2#+3座脱酸塔去除，经1根25m高排气筒（DA001）排放；本项目有机废气经煅烧设备密闭收集后，经回转窑焚烧处理后，经1根25m高排气筒（DA001）排放。</w:t>
                  </w:r>
                </w:p>
              </w:tc>
              <w:tc>
                <w:tcPr>
                  <w:tcW w:w="519" w:type="pct"/>
                  <w:shd w:val="clear" w:color="auto" w:fill="auto"/>
                  <w:vAlign w:val="center"/>
                </w:tcPr>
                <w:p w14:paraId="6ABEAB9D">
                  <w:pPr>
                    <w:pStyle w:val="12"/>
                    <w:rPr>
                      <w:rFonts w:hint="eastAsia" w:eastAsia="宋体" w:cs="Times New Roman"/>
                      <w:lang w:val="en-US" w:eastAsia="zh-CN"/>
                    </w:rPr>
                  </w:pPr>
                  <w:r>
                    <w:rPr>
                      <w:rFonts w:hint="eastAsia" w:cs="Times New Roman"/>
                      <w:lang w:val="en-US" w:eastAsia="zh-CN"/>
                    </w:rPr>
                    <w:t>符合</w:t>
                  </w:r>
                </w:p>
              </w:tc>
            </w:tr>
            <w:tr w14:paraId="2B5E6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31" w:type="pct"/>
                  <w:shd w:val="clear" w:color="auto" w:fill="auto"/>
                  <w:vAlign w:val="center"/>
                </w:tcPr>
                <w:p w14:paraId="0DD04B3B">
                  <w:pPr>
                    <w:pStyle w:val="12"/>
                    <w:rPr>
                      <w:rFonts w:hint="default" w:cs="Times New Roman"/>
                      <w:lang w:val="en-US" w:eastAsia="zh-CN"/>
                    </w:rPr>
                  </w:pPr>
                  <w:r>
                    <w:rPr>
                      <w:rFonts w:hint="eastAsia" w:cs="Times New Roman"/>
                      <w:lang w:val="en-US" w:eastAsia="zh-CN"/>
                    </w:rPr>
                    <w:t>环境和污染物监测要求</w:t>
                  </w:r>
                </w:p>
              </w:tc>
              <w:tc>
                <w:tcPr>
                  <w:tcW w:w="2055" w:type="pct"/>
                  <w:shd w:val="clear" w:color="auto" w:fill="auto"/>
                  <w:vAlign w:val="center"/>
                </w:tcPr>
                <w:p w14:paraId="30BA7C97">
                  <w:pPr>
                    <w:pStyle w:val="12"/>
                    <w:jc w:val="both"/>
                    <w:rPr>
                      <w:rFonts w:hint="default" w:cs="Times New Roman"/>
                      <w:sz w:val="21"/>
                      <w:szCs w:val="21"/>
                      <w:lang w:val="en-US" w:eastAsia="zh-CN"/>
                    </w:rPr>
                  </w:pPr>
                  <w:r>
                    <w:rPr>
                      <w:rFonts w:hint="default" w:cs="Times New Roman"/>
                      <w:sz w:val="21"/>
                      <w:szCs w:val="21"/>
                      <w:lang w:val="en-US" w:eastAsia="zh-CN"/>
                    </w:rPr>
                    <w:t>8.2 利用产物满足相应的产品质量标准要求，并定期进行采样监测，符合以下要求：</w:t>
                  </w:r>
                </w:p>
                <w:p w14:paraId="5F86DA12">
                  <w:pPr>
                    <w:pStyle w:val="12"/>
                    <w:jc w:val="both"/>
                    <w:rPr>
                      <w:rFonts w:hint="default" w:cs="Times New Roman"/>
                      <w:sz w:val="21"/>
                      <w:szCs w:val="21"/>
                      <w:lang w:val="en-US" w:eastAsia="zh-CN"/>
                    </w:rPr>
                  </w:pPr>
                  <w:r>
                    <w:rPr>
                      <w:rFonts w:hint="default" w:cs="Times New Roman"/>
                      <w:sz w:val="21"/>
                      <w:szCs w:val="21"/>
                      <w:lang w:val="en-US" w:eastAsia="zh-CN"/>
                    </w:rPr>
                    <w:t>a）用于生产烧结砖、陶粒、混凝土骨料的，对烧结砖、陶粒、混凝土骨料的监测频次满足HJ1091的要求。</w:t>
                  </w:r>
                </w:p>
              </w:tc>
              <w:tc>
                <w:tcPr>
                  <w:tcW w:w="1793" w:type="pct"/>
                  <w:shd w:val="clear" w:color="auto" w:fill="auto"/>
                  <w:vAlign w:val="center"/>
                </w:tcPr>
                <w:p w14:paraId="7DD0F48B">
                  <w:pPr>
                    <w:pStyle w:val="12"/>
                    <w:rPr>
                      <w:rFonts w:hint="default" w:eastAsia="宋体"/>
                      <w:sz w:val="21"/>
                      <w:szCs w:val="21"/>
                      <w:lang w:val="en-US" w:eastAsia="zh-CN"/>
                    </w:rPr>
                  </w:pPr>
                  <w:r>
                    <w:rPr>
                      <w:rFonts w:hint="eastAsia"/>
                      <w:sz w:val="21"/>
                      <w:szCs w:val="21"/>
                      <w:lang w:val="en-US" w:eastAsia="zh-CN"/>
                    </w:rPr>
                    <w:t>根据HJ1091要求，本次环评要求建设单位对产品中的特征污染物（包括颗粒物、二氧化硫、氮氧化物、氟化物、二噁英）监测频次不低于每周3次；连续二周监测结果均不超过环境风险评价结果时，在该废物来源及投加量稳定的前提下，频次可减为每月1次；连续三个月监测结果均不超出环境风险评价结果时，频次可减为每年1次；若在此期间监测结果出现异常或固体废物来源发生变化或再生利用中断超过半年以上，则监测频次重新调整为不低于每周3次，依次重复。</w:t>
                  </w:r>
                </w:p>
              </w:tc>
              <w:tc>
                <w:tcPr>
                  <w:tcW w:w="519" w:type="pct"/>
                  <w:shd w:val="clear" w:color="auto" w:fill="auto"/>
                  <w:vAlign w:val="center"/>
                </w:tcPr>
                <w:p w14:paraId="656ADAFF">
                  <w:pPr>
                    <w:pStyle w:val="12"/>
                    <w:rPr>
                      <w:rFonts w:hint="eastAsia" w:eastAsia="宋体" w:cs="Times New Roman"/>
                      <w:lang w:val="en-US" w:eastAsia="zh-CN"/>
                    </w:rPr>
                  </w:pPr>
                  <w:r>
                    <w:rPr>
                      <w:rFonts w:hint="eastAsia" w:cs="Times New Roman"/>
                      <w:lang w:val="en-US" w:eastAsia="zh-CN"/>
                    </w:rPr>
                    <w:t>符合</w:t>
                  </w:r>
                </w:p>
              </w:tc>
            </w:tr>
          </w:tbl>
          <w:p w14:paraId="37312816">
            <w:pPr>
              <w:pStyle w:val="3"/>
              <w:spacing w:before="163" w:line="240" w:lineRule="auto"/>
              <w:jc w:val="center"/>
              <w:rPr>
                <w:rFonts w:hint="default" w:eastAsia="宋体"/>
                <w:sz w:val="21"/>
                <w:szCs w:val="18"/>
                <w:lang w:val="en-US" w:eastAsia="zh-CN"/>
              </w:rPr>
            </w:pPr>
            <w:r>
              <w:rPr>
                <w:rFonts w:hint="eastAsia"/>
                <w:sz w:val="21"/>
                <w:szCs w:val="18"/>
                <w:lang w:val="en-US" w:eastAsia="zh-CN"/>
              </w:rPr>
              <w:t>表1-16 与</w:t>
            </w:r>
            <w:r>
              <w:rPr>
                <w:sz w:val="21"/>
                <w:szCs w:val="18"/>
              </w:rPr>
              <w:t>《四川省页岩气开采业污染防治技术政策》</w:t>
            </w:r>
            <w:r>
              <w:rPr>
                <w:rFonts w:hint="eastAsia"/>
                <w:sz w:val="21"/>
                <w:szCs w:val="18"/>
                <w:lang w:val="en-US" w:eastAsia="zh-CN"/>
              </w:rPr>
              <w:t>符合性分析</w:t>
            </w:r>
          </w:p>
          <w:tbl>
            <w:tblPr>
              <w:tblStyle w:val="2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1"/>
              <w:gridCol w:w="4097"/>
              <w:gridCol w:w="3118"/>
              <w:gridCol w:w="900"/>
            </w:tblGrid>
            <w:tr w14:paraId="15EA5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718" w:type="pct"/>
                  <w:gridSpan w:val="2"/>
                  <w:shd w:val="clear" w:color="auto" w:fill="auto"/>
                  <w:vAlign w:val="center"/>
                </w:tcPr>
                <w:p w14:paraId="28F28B1F">
                  <w:pPr>
                    <w:pStyle w:val="45"/>
                    <w:rPr>
                      <w:rFonts w:cs="Times New Roman"/>
                    </w:rPr>
                  </w:pPr>
                  <w:r>
                    <w:rPr>
                      <w:rFonts w:cs="Times New Roman"/>
                    </w:rPr>
                    <w:t>规划要求内容</w:t>
                  </w:r>
                </w:p>
              </w:tc>
              <w:tc>
                <w:tcPr>
                  <w:tcW w:w="1770" w:type="pct"/>
                  <w:shd w:val="clear" w:color="auto" w:fill="auto"/>
                  <w:vAlign w:val="center"/>
                </w:tcPr>
                <w:p w14:paraId="0A541224">
                  <w:pPr>
                    <w:pStyle w:val="45"/>
                    <w:rPr>
                      <w:rFonts w:cs="Times New Roman"/>
                    </w:rPr>
                  </w:pPr>
                  <w:r>
                    <w:rPr>
                      <w:rFonts w:cs="Times New Roman"/>
                    </w:rPr>
                    <w:t>本项目情况</w:t>
                  </w:r>
                </w:p>
              </w:tc>
              <w:tc>
                <w:tcPr>
                  <w:tcW w:w="511" w:type="pct"/>
                  <w:shd w:val="clear" w:color="auto" w:fill="auto"/>
                  <w:vAlign w:val="center"/>
                </w:tcPr>
                <w:p w14:paraId="351D2C8A">
                  <w:pPr>
                    <w:pStyle w:val="45"/>
                    <w:rPr>
                      <w:rFonts w:cs="Times New Roman"/>
                    </w:rPr>
                  </w:pPr>
                  <w:r>
                    <w:rPr>
                      <w:rFonts w:cs="Times New Roman"/>
                    </w:rPr>
                    <w:t>符合性</w:t>
                  </w:r>
                </w:p>
              </w:tc>
            </w:tr>
            <w:tr w14:paraId="4882A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92" w:type="pct"/>
                  <w:vMerge w:val="restart"/>
                  <w:shd w:val="clear" w:color="auto" w:fill="auto"/>
                  <w:vAlign w:val="center"/>
                </w:tcPr>
                <w:p w14:paraId="1C7955D6">
                  <w:pPr>
                    <w:pStyle w:val="12"/>
                    <w:rPr>
                      <w:rFonts w:hint="default" w:eastAsia="宋体" w:cs="Times New Roman"/>
                      <w:lang w:val="en-US" w:eastAsia="zh-CN"/>
                    </w:rPr>
                  </w:pPr>
                  <w:r>
                    <w:rPr>
                      <w:rFonts w:hint="eastAsia" w:cs="Times New Roman"/>
                      <w:lang w:val="en-US" w:eastAsia="zh-CN"/>
                    </w:rPr>
                    <w:t>固体废物处置及综合利用</w:t>
                  </w:r>
                </w:p>
              </w:tc>
              <w:tc>
                <w:tcPr>
                  <w:tcW w:w="2326" w:type="pct"/>
                  <w:shd w:val="clear" w:color="auto" w:fill="auto"/>
                  <w:vAlign w:val="center"/>
                </w:tcPr>
                <w:p w14:paraId="35E71B48">
                  <w:pPr>
                    <w:pStyle w:val="12"/>
                    <w:jc w:val="both"/>
                    <w:rPr>
                      <w:rFonts w:cs="Times New Roman"/>
                    </w:rPr>
                  </w:pPr>
                  <w:r>
                    <w:rPr>
                      <w:rFonts w:hint="eastAsia" w:cs="Times New Roman"/>
                    </w:rPr>
                    <w:t>页岩气开采产生的固体废物应实行全过程管理，并按照“减量化、资源化、无害化”的原则，减少固体废物的产生量，并对其进行资源化利用和无害化处理处置。</w:t>
                  </w:r>
                </w:p>
              </w:tc>
              <w:tc>
                <w:tcPr>
                  <w:tcW w:w="1770" w:type="pct"/>
                  <w:shd w:val="clear" w:color="auto" w:fill="auto"/>
                  <w:vAlign w:val="center"/>
                </w:tcPr>
                <w:p w14:paraId="04F2BCF5">
                  <w:pPr>
                    <w:pStyle w:val="12"/>
                    <w:rPr>
                      <w:rFonts w:hint="default" w:eastAsia="宋体" w:cs="Times New Roman"/>
                      <w:lang w:val="en-US" w:eastAsia="zh-CN"/>
                    </w:rPr>
                  </w:pPr>
                  <w:r>
                    <w:rPr>
                      <w:rFonts w:hint="eastAsia" w:cs="Times New Roman"/>
                      <w:lang w:val="en-US" w:eastAsia="zh-CN"/>
                    </w:rPr>
                    <w:t>本项目利用水基岩屑和热脱附干渣作为原料煅烧后生产水稳层骨料，部分作为水稳层骨料产品外售；部分以水稳层骨料生产免烧砌块，实现水基岩屑及热脱附干渣的资源化利用。</w:t>
                  </w:r>
                </w:p>
              </w:tc>
              <w:tc>
                <w:tcPr>
                  <w:tcW w:w="511" w:type="pct"/>
                  <w:shd w:val="clear" w:color="auto" w:fill="auto"/>
                  <w:vAlign w:val="center"/>
                </w:tcPr>
                <w:p w14:paraId="169E672D">
                  <w:pPr>
                    <w:pStyle w:val="12"/>
                    <w:rPr>
                      <w:rFonts w:cs="Times New Roman"/>
                    </w:rPr>
                  </w:pPr>
                  <w:r>
                    <w:rPr>
                      <w:rFonts w:cs="Times New Roman"/>
                    </w:rPr>
                    <w:t>符合</w:t>
                  </w:r>
                </w:p>
              </w:tc>
            </w:tr>
            <w:tr w14:paraId="32B88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92" w:type="pct"/>
                  <w:vMerge w:val="continue"/>
                  <w:shd w:val="clear" w:color="auto" w:fill="auto"/>
                  <w:vAlign w:val="center"/>
                </w:tcPr>
                <w:p w14:paraId="60D736D1">
                  <w:pPr>
                    <w:pStyle w:val="12"/>
                    <w:rPr>
                      <w:rFonts w:hint="default" w:eastAsia="宋体" w:cs="Times New Roman"/>
                      <w:lang w:val="en-US" w:eastAsia="zh-CN"/>
                    </w:rPr>
                  </w:pPr>
                </w:p>
              </w:tc>
              <w:tc>
                <w:tcPr>
                  <w:tcW w:w="2326" w:type="pct"/>
                  <w:shd w:val="clear" w:color="auto" w:fill="auto"/>
                  <w:vAlign w:val="center"/>
                </w:tcPr>
                <w:p w14:paraId="3835188E">
                  <w:pPr>
                    <w:pStyle w:val="12"/>
                    <w:jc w:val="both"/>
                    <w:rPr>
                      <w:rFonts w:hint="default" w:cs="Times New Roman"/>
                      <w:lang w:val="en-US" w:eastAsia="zh-CN"/>
                    </w:rPr>
                  </w:pPr>
                  <w:r>
                    <w:rPr>
                      <w:rFonts w:hint="default" w:cs="Times New Roman"/>
                      <w:lang w:val="en-US" w:eastAsia="zh-CN"/>
                    </w:rPr>
                    <w:t>水基岩屑应首先进行固液分离，降低含水率，回收其中的液相并重复利用，剩余固相优先考虑资源化综合利用，同时加强其暂存、预处理、转运等过程的环境管理，避免二次污染。外送加工利用水基岩屑，应符合接纳企业对原材料的质量和规格要求，同时接纳企业应具有相关环保手续</w:t>
                  </w:r>
                  <w:r>
                    <w:rPr>
                      <w:rFonts w:hint="eastAsia" w:cs="Times New Roman"/>
                      <w:lang w:val="en-US" w:eastAsia="zh-CN"/>
                    </w:rPr>
                    <w:t>；</w:t>
                  </w:r>
                  <w:r>
                    <w:rPr>
                      <w:rFonts w:hint="default" w:cs="Times New Roman"/>
                      <w:lang w:val="en-US" w:eastAsia="zh-CN"/>
                    </w:rPr>
                    <w:t>企业自身加工利用水基岩屑，应符合国家行业技术政策和相关环保要求</w:t>
                  </w:r>
                  <w:r>
                    <w:rPr>
                      <w:rFonts w:hint="eastAsia" w:cs="Times New Roman"/>
                      <w:lang w:val="en-US" w:eastAsia="zh-CN"/>
                    </w:rPr>
                    <w:t>；</w:t>
                  </w:r>
                  <w:r>
                    <w:rPr>
                      <w:rFonts w:hint="default" w:cs="Times New Roman"/>
                      <w:lang w:val="en-US" w:eastAsia="zh-CN"/>
                    </w:rPr>
                    <w:t>利用水基岩屑加工制作成产品外售，应符合产品质量标准。无害化填埋水基岩屑，其填埋场所应符合《土壤污染防治行动计划》、《一般工业固体废弃物贮存、处置场污染控制标准》(GB18599-2001)的相关规定。</w:t>
                  </w:r>
                </w:p>
              </w:tc>
              <w:tc>
                <w:tcPr>
                  <w:tcW w:w="1770" w:type="pct"/>
                  <w:shd w:val="clear" w:color="auto" w:fill="auto"/>
                  <w:vAlign w:val="center"/>
                </w:tcPr>
                <w:p w14:paraId="15E676CE">
                  <w:pPr>
                    <w:pStyle w:val="12"/>
                    <w:rPr>
                      <w:rFonts w:hint="default" w:eastAsia="宋体" w:cs="Times New Roman"/>
                      <w:lang w:val="en-US" w:eastAsia="zh-CN"/>
                    </w:rPr>
                  </w:pPr>
                  <w:r>
                    <w:rPr>
                      <w:rFonts w:hint="eastAsia" w:cs="Times New Roman"/>
                      <w:lang w:val="en-US" w:eastAsia="zh-CN"/>
                    </w:rPr>
                    <w:t>本项目为水基岩屑的接纳企业，属于利用水基岩屑加工制成产品外售的企业，本项目水稳层骨料满足</w:t>
                  </w:r>
                  <w:r>
                    <w:rPr>
                      <w:rFonts w:hint="default" w:cs="Times New Roman"/>
                    </w:rPr>
                    <w:t>《城镇道路工程施工与质量验收规范》(CJJ1-2008)</w:t>
                  </w:r>
                  <w:r>
                    <w:rPr>
                      <w:rFonts w:hint="eastAsia" w:cs="Times New Roman"/>
                      <w:lang w:eastAsia="zh-CN"/>
                    </w:rPr>
                    <w:t>、</w:t>
                  </w:r>
                  <w:r>
                    <w:rPr>
                      <w:rFonts w:hint="default" w:cs="Times New Roman"/>
                    </w:rPr>
                    <w:t>《城市道路路基设计规范》（CJJ194-2013）</w:t>
                  </w:r>
                  <w:r>
                    <w:rPr>
                      <w:rFonts w:hint="eastAsia" w:cs="Times New Roman"/>
                      <w:lang w:val="en-US" w:eastAsia="zh-CN"/>
                    </w:rPr>
                    <w:t>产品质量标准；免烧砌块满足</w:t>
                  </w:r>
                  <w:r>
                    <w:rPr>
                      <w:rFonts w:hint="default" w:ascii="Times New Roman" w:hAnsi="Times New Roman" w:eastAsia="宋体" w:cs="Times New Roman"/>
                      <w:color w:val="000000"/>
                      <w:kern w:val="0"/>
                      <w:sz w:val="21"/>
                      <w:szCs w:val="21"/>
                      <w:lang w:val="en-US" w:eastAsia="zh-CN" w:bidi="ar"/>
                    </w:rPr>
                    <w:t>《砌墙砖实验方法》（GB/T2542-2012）</w:t>
                  </w:r>
                  <w:r>
                    <w:rPr>
                      <w:rFonts w:hint="eastAsia" w:cs="Times New Roman"/>
                      <w:color w:val="000000"/>
                      <w:kern w:val="0"/>
                      <w:sz w:val="21"/>
                      <w:szCs w:val="21"/>
                      <w:lang w:val="en-US" w:eastAsia="zh-CN" w:bidi="ar"/>
                    </w:rPr>
                    <w:t>、</w:t>
                  </w:r>
                  <w:r>
                    <w:rPr>
                      <w:rFonts w:hint="default" w:ascii="Times New Roman" w:hAnsi="Times New Roman" w:eastAsia="宋体" w:cs="Times New Roman"/>
                      <w:color w:val="000000"/>
                      <w:kern w:val="0"/>
                      <w:sz w:val="21"/>
                      <w:szCs w:val="21"/>
                      <w:lang w:val="en-US" w:eastAsia="zh-CN" w:bidi="ar"/>
                    </w:rPr>
                    <w:t>《</w:t>
                  </w:r>
                  <w:r>
                    <w:rPr>
                      <w:rFonts w:hint="eastAsia" w:cs="Times New Roman"/>
                      <w:color w:val="000000"/>
                      <w:kern w:val="0"/>
                      <w:sz w:val="21"/>
                      <w:szCs w:val="21"/>
                      <w:lang w:val="en-US" w:eastAsia="zh-CN" w:bidi="ar"/>
                    </w:rPr>
                    <w:t>非烧结普通砖</w:t>
                  </w:r>
                  <w:r>
                    <w:rPr>
                      <w:rFonts w:hint="default" w:ascii="Times New Roman" w:hAnsi="Times New Roman" w:eastAsia="宋体" w:cs="Times New Roman"/>
                      <w:color w:val="000000"/>
                      <w:kern w:val="0"/>
                      <w:sz w:val="21"/>
                      <w:szCs w:val="21"/>
                      <w:lang w:val="en-US" w:eastAsia="zh-CN" w:bidi="ar"/>
                    </w:rPr>
                    <w:t>》</w:t>
                  </w:r>
                  <w:r>
                    <w:rPr>
                      <w:rFonts w:hint="eastAsia" w:cs="Times New Roman"/>
                      <w:color w:val="000000"/>
                      <w:kern w:val="0"/>
                      <w:sz w:val="21"/>
                      <w:szCs w:val="21"/>
                      <w:lang w:val="en-US" w:eastAsia="zh-CN" w:bidi="ar"/>
                    </w:rPr>
                    <w:t>（GB/T21144-2023）和《建筑材料放射性核素限量》（GB6566-2010）等产品质量标准。</w:t>
                  </w:r>
                </w:p>
              </w:tc>
              <w:tc>
                <w:tcPr>
                  <w:tcW w:w="511" w:type="pct"/>
                  <w:shd w:val="clear" w:color="auto" w:fill="auto"/>
                  <w:vAlign w:val="center"/>
                </w:tcPr>
                <w:p w14:paraId="1633E8B9">
                  <w:pPr>
                    <w:pStyle w:val="12"/>
                    <w:rPr>
                      <w:rFonts w:cs="Times New Roman"/>
                    </w:rPr>
                  </w:pPr>
                  <w:r>
                    <w:rPr>
                      <w:rFonts w:hint="eastAsia" w:cs="Times New Roman"/>
                    </w:rPr>
                    <w:t>符合</w:t>
                  </w:r>
                </w:p>
              </w:tc>
            </w:tr>
            <w:tr w14:paraId="3CF13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92" w:type="pct"/>
                  <w:vMerge w:val="continue"/>
                  <w:shd w:val="clear" w:color="auto" w:fill="auto"/>
                  <w:vAlign w:val="center"/>
                </w:tcPr>
                <w:p w14:paraId="62807C64">
                  <w:pPr>
                    <w:pStyle w:val="12"/>
                    <w:rPr>
                      <w:rFonts w:hint="default" w:cs="Times New Roman"/>
                      <w:lang w:val="en-US" w:eastAsia="zh-CN"/>
                    </w:rPr>
                  </w:pPr>
                </w:p>
              </w:tc>
              <w:tc>
                <w:tcPr>
                  <w:tcW w:w="2326" w:type="pct"/>
                  <w:shd w:val="clear" w:color="auto" w:fill="auto"/>
                  <w:vAlign w:val="center"/>
                </w:tcPr>
                <w:p w14:paraId="34650ACD">
                  <w:pPr>
                    <w:pStyle w:val="12"/>
                    <w:jc w:val="both"/>
                    <w:rPr>
                      <w:rFonts w:hint="default" w:cs="Times New Roman"/>
                      <w:lang w:val="en-US" w:eastAsia="zh-CN"/>
                    </w:rPr>
                  </w:pPr>
                  <w:r>
                    <w:rPr>
                      <w:rFonts w:hint="default" w:cs="Times New Roman"/>
                      <w:lang w:val="en-US" w:eastAsia="zh-CN"/>
                    </w:rPr>
                    <w:t>油基岩屑处置后的产物若符合相关国家污染物排放</w:t>
                  </w:r>
                  <w:r>
                    <w:rPr>
                      <w:rFonts w:hint="eastAsia" w:cs="Times New Roman"/>
                      <w:lang w:val="en-US" w:eastAsia="zh-CN"/>
                    </w:rPr>
                    <w:t>（</w:t>
                  </w:r>
                  <w:r>
                    <w:rPr>
                      <w:rFonts w:hint="default" w:cs="Times New Roman"/>
                      <w:lang w:val="en-US" w:eastAsia="zh-CN"/>
                    </w:rPr>
                    <w:t>控制</w:t>
                  </w:r>
                  <w:r>
                    <w:rPr>
                      <w:rFonts w:hint="eastAsia" w:cs="Times New Roman"/>
                      <w:lang w:val="en-US" w:eastAsia="zh-CN"/>
                    </w:rPr>
                    <w:t>）</w:t>
                  </w:r>
                  <w:r>
                    <w:rPr>
                      <w:rFonts w:hint="default" w:cs="Times New Roman"/>
                      <w:lang w:val="en-US" w:eastAsia="zh-CN"/>
                    </w:rPr>
                    <w:t>标准或技术规范要求，且符合国家、地方制定或行业通行的被替代原料生产的产品质量标准的，不作为固体废物管理，按照相应的产品管理，除此之外，均按危险废物进行管理</w:t>
                  </w:r>
                  <w:r>
                    <w:rPr>
                      <w:rFonts w:hint="eastAsia" w:cs="Times New Roman"/>
                      <w:lang w:val="en-US" w:eastAsia="zh-CN"/>
                    </w:rPr>
                    <w:t>；</w:t>
                  </w:r>
                  <w:r>
                    <w:rPr>
                      <w:rFonts w:hint="default" w:cs="Times New Roman"/>
                      <w:lang w:val="en-US" w:eastAsia="zh-CN"/>
                    </w:rPr>
                    <w:t>国家或地方法律法规、标准等另有规定的从其规定。</w:t>
                  </w:r>
                </w:p>
              </w:tc>
              <w:tc>
                <w:tcPr>
                  <w:tcW w:w="1770" w:type="pct"/>
                  <w:shd w:val="clear" w:color="auto" w:fill="auto"/>
                  <w:vAlign w:val="center"/>
                </w:tcPr>
                <w:p w14:paraId="0AD0E044">
                  <w:pPr>
                    <w:pStyle w:val="12"/>
                    <w:rPr>
                      <w:rFonts w:hint="default" w:eastAsia="宋体"/>
                      <w:sz w:val="20"/>
                      <w:szCs w:val="20"/>
                      <w:lang w:val="en-US" w:eastAsia="zh-CN"/>
                    </w:rPr>
                  </w:pPr>
                  <w:r>
                    <w:rPr>
                      <w:rFonts w:hint="eastAsia"/>
                      <w:sz w:val="21"/>
                      <w:szCs w:val="21"/>
                      <w:lang w:val="en-US" w:eastAsia="zh-CN"/>
                    </w:rPr>
                    <w:t>本项目热脱附干渣属于油基岩屑处置后的产物，本项目只接收经鉴定为一般固废的热脱附干渣。</w:t>
                  </w:r>
                </w:p>
              </w:tc>
              <w:tc>
                <w:tcPr>
                  <w:tcW w:w="511" w:type="pct"/>
                  <w:shd w:val="clear" w:color="auto" w:fill="auto"/>
                  <w:vAlign w:val="center"/>
                </w:tcPr>
                <w:p w14:paraId="4EDCC283">
                  <w:pPr>
                    <w:pStyle w:val="12"/>
                    <w:rPr>
                      <w:rFonts w:hint="eastAsia" w:eastAsia="宋体" w:cs="Times New Roman"/>
                      <w:lang w:val="en-US" w:eastAsia="zh-CN"/>
                    </w:rPr>
                  </w:pPr>
                  <w:r>
                    <w:rPr>
                      <w:rFonts w:hint="eastAsia" w:cs="Times New Roman"/>
                      <w:lang w:val="en-US" w:eastAsia="zh-CN"/>
                    </w:rPr>
                    <w:t>符合</w:t>
                  </w:r>
                </w:p>
              </w:tc>
            </w:tr>
          </w:tbl>
          <w:p w14:paraId="0E84EE62">
            <w:pPr>
              <w:ind w:firstLine="480"/>
              <w:rPr>
                <w:rFonts w:hint="default" w:eastAsia="宋体" w:cs="Times New Roman"/>
                <w:b w:val="0"/>
                <w:bCs w:val="0"/>
                <w:lang w:val="en-US" w:eastAsia="zh-CN"/>
              </w:rPr>
            </w:pPr>
            <w:r>
              <w:rPr>
                <w:rFonts w:hint="default" w:cs="Times New Roman"/>
                <w:b w:val="0"/>
                <w:bCs w:val="0"/>
                <w:lang w:val="en-US" w:eastAsia="zh-CN"/>
              </w:rPr>
              <w:t>综上所述，本项目建设符合</w:t>
            </w:r>
            <w:r>
              <w:rPr>
                <w:rFonts w:cs="Times New Roman"/>
                <w:b w:val="0"/>
                <w:bCs w:val="0"/>
              </w:rPr>
              <w:t>《陆上石油天然气开采钻井废物处置污染控制技术要求》</w:t>
            </w:r>
            <w:r>
              <w:rPr>
                <w:rFonts w:hint="default" w:cs="Times New Roman"/>
                <w:b w:val="0"/>
                <w:bCs w:val="0"/>
              </w:rPr>
              <w:t>（</w:t>
            </w:r>
            <w:r>
              <w:rPr>
                <w:rFonts w:cs="Times New Roman"/>
                <w:b w:val="0"/>
                <w:bCs w:val="0"/>
              </w:rPr>
              <w:t>SY/T7298-2016）及《陆上石油天然气开采水基钻井废弃物处理处置及资源化利用技术规范》</w:t>
            </w:r>
            <w:r>
              <w:rPr>
                <w:rFonts w:hint="default" w:cs="Times New Roman"/>
                <w:b w:val="0"/>
                <w:bCs w:val="0"/>
              </w:rPr>
              <w:t>（</w:t>
            </w:r>
            <w:r>
              <w:rPr>
                <w:rFonts w:cs="Times New Roman"/>
                <w:b w:val="0"/>
                <w:bCs w:val="0"/>
              </w:rPr>
              <w:t>SY/T7466-2020）</w:t>
            </w:r>
            <w:r>
              <w:rPr>
                <w:rFonts w:hint="default" w:cs="Times New Roman"/>
                <w:b w:val="0"/>
                <w:bCs w:val="0"/>
                <w:lang w:val="en-US" w:eastAsia="zh-CN"/>
              </w:rPr>
              <w:t>《石油天然气开采固体废物污染控制技术规范（试行）》（HJ1461-2026）</w:t>
            </w:r>
            <w:r>
              <w:rPr>
                <w:rFonts w:cs="Times New Roman"/>
                <w:b w:val="0"/>
                <w:bCs w:val="0"/>
              </w:rPr>
              <w:t>《四川省页岩气开采业污染防治技术政策》</w:t>
            </w:r>
            <w:r>
              <w:rPr>
                <w:rFonts w:hint="default" w:cs="Times New Roman"/>
                <w:b w:val="0"/>
                <w:bCs w:val="0"/>
                <w:lang w:eastAsia="zh-CN"/>
              </w:rPr>
              <w:t>（</w:t>
            </w:r>
            <w:r>
              <w:rPr>
                <w:rFonts w:hint="default" w:cs="Times New Roman"/>
                <w:b w:val="0"/>
                <w:bCs w:val="0"/>
                <w:lang w:val="en-US" w:eastAsia="zh-CN"/>
              </w:rPr>
              <w:t>四川省环境保护厅公告2018年第3号</w:t>
            </w:r>
            <w:r>
              <w:rPr>
                <w:rFonts w:hint="default" w:cs="Times New Roman"/>
                <w:b w:val="0"/>
                <w:bCs w:val="0"/>
                <w:lang w:eastAsia="zh-CN"/>
              </w:rPr>
              <w:t>）</w:t>
            </w:r>
            <w:r>
              <w:rPr>
                <w:rFonts w:hint="default" w:cs="Times New Roman"/>
                <w:b w:val="0"/>
                <w:bCs w:val="0"/>
                <w:lang w:val="en-US" w:eastAsia="zh-CN"/>
              </w:rPr>
              <w:t>的相关要求。</w:t>
            </w:r>
          </w:p>
          <w:p w14:paraId="0E8A36E8">
            <w:pPr>
              <w:pStyle w:val="3"/>
              <w:spacing w:before="163"/>
              <w:rPr>
                <w:rFonts w:hint="eastAsia"/>
                <w:lang w:val="en-US" w:eastAsia="zh-CN"/>
              </w:rPr>
            </w:pPr>
            <w:r>
              <w:t>1</w:t>
            </w:r>
            <w:r>
              <w:rPr>
                <w:rFonts w:hint="eastAsia"/>
                <w:lang w:val="en-US" w:eastAsia="zh-CN"/>
              </w:rPr>
              <w:t>1</w:t>
            </w:r>
            <w:r>
              <w:t>、</w:t>
            </w:r>
            <w:r>
              <w:rPr>
                <w:rFonts w:hint="eastAsia"/>
                <w:lang w:val="en-US" w:eastAsia="zh-CN"/>
              </w:rPr>
              <w:t>与</w:t>
            </w:r>
            <w:r>
              <w:rPr>
                <w:b/>
                <w:bCs/>
                <w:color w:val="000000"/>
                <w:kern w:val="0"/>
                <w:sz w:val="24"/>
                <w:lang w:bidi="ar"/>
              </w:rPr>
              <w:t>《</w:t>
            </w:r>
            <w:r>
              <w:rPr>
                <w:b/>
                <w:bCs/>
                <w:color w:val="000000"/>
                <w:sz w:val="24"/>
                <w:szCs w:val="32"/>
              </w:rPr>
              <w:t>四川省重污染天气金属表面处理及热处理加工等10个行业应急减排措施制定技术指南（2024年修订版</w:t>
            </w:r>
            <w:r>
              <w:rPr>
                <w:b/>
                <w:bCs/>
                <w:color w:val="000000"/>
                <w:kern w:val="0"/>
                <w:sz w:val="24"/>
                <w:lang w:bidi="ar"/>
              </w:rPr>
              <w:t>》（川环办函〔2024〕337号）</w:t>
            </w:r>
            <w:r>
              <w:rPr>
                <w:rFonts w:hint="eastAsia"/>
                <w:lang w:val="en-US" w:eastAsia="zh-CN"/>
              </w:rPr>
              <w:t>的符合性分析</w:t>
            </w:r>
          </w:p>
          <w:p w14:paraId="457AF58A">
            <w:pPr>
              <w:numPr>
                <w:ilvl w:val="0"/>
                <w:numId w:val="0"/>
              </w:numPr>
              <w:autoSpaceDE w:val="0"/>
              <w:autoSpaceDN w:val="0"/>
              <w:adjustRightInd w:val="0"/>
              <w:snapToGrid w:val="0"/>
              <w:ind w:left="397" w:hanging="397"/>
              <w:jc w:val="center"/>
              <w:rPr>
                <w:b/>
                <w:bCs/>
                <w:color w:val="000000"/>
                <w:kern w:val="0"/>
                <w:sz w:val="21"/>
                <w:szCs w:val="18"/>
              </w:rPr>
            </w:pPr>
            <w:r>
              <w:rPr>
                <w:rFonts w:hint="default" w:ascii="Times New Roman" w:hAnsi="Times New Roman" w:eastAsia="宋体" w:cstheme="minorBidi"/>
                <w:b/>
                <w:bCs/>
                <w:color w:val="000000"/>
                <w:kern w:val="0"/>
                <w:sz w:val="21"/>
                <w:szCs w:val="18"/>
                <w:lang w:val="en-US" w:eastAsia="zh-CN" w:bidi="ar-SA"/>
              </w:rPr>
              <w:t>表1-1</w:t>
            </w:r>
            <w:r>
              <w:rPr>
                <w:rFonts w:hint="eastAsia" w:cstheme="minorBidi"/>
                <w:b/>
                <w:bCs/>
                <w:color w:val="000000"/>
                <w:kern w:val="0"/>
                <w:sz w:val="21"/>
                <w:szCs w:val="18"/>
                <w:lang w:val="en-US" w:eastAsia="zh-CN" w:bidi="ar-SA"/>
              </w:rPr>
              <w:t xml:space="preserve">7 </w:t>
            </w:r>
            <w:r>
              <w:rPr>
                <w:b/>
                <w:bCs/>
                <w:color w:val="000000"/>
                <w:kern w:val="0"/>
                <w:sz w:val="21"/>
                <w:szCs w:val="18"/>
              </w:rPr>
              <w:t>与通用行业企业绩效分级指标的符合性分析一览表</w:t>
            </w:r>
          </w:p>
          <w:tbl>
            <w:tblPr>
              <w:tblStyle w:val="26"/>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8"/>
              <w:gridCol w:w="2291"/>
              <w:gridCol w:w="157"/>
              <w:gridCol w:w="2338"/>
              <w:gridCol w:w="767"/>
              <w:gridCol w:w="1943"/>
              <w:gridCol w:w="637"/>
            </w:tblGrid>
            <w:tr w14:paraId="07BBA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380" w:type="pct"/>
                  <w:tcBorders>
                    <w:tl2br w:val="nil"/>
                    <w:tr2bl w:val="nil"/>
                  </w:tcBorders>
                  <w:noWrap w:val="0"/>
                  <w:vAlign w:val="center"/>
                </w:tcPr>
                <w:p w14:paraId="66DEF607">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ascii="Times New Roman" w:hAnsi="Times New Roman" w:cs="Times New Roman"/>
                      <w:b/>
                      <w:bCs/>
                      <w:color w:val="000000"/>
                      <w:kern w:val="0"/>
                      <w:sz w:val="21"/>
                      <w:szCs w:val="21"/>
                    </w:rPr>
                  </w:pPr>
                  <w:r>
                    <w:rPr>
                      <w:rFonts w:ascii="Times New Roman" w:hAnsi="Times New Roman" w:cs="Times New Roman"/>
                      <w:b/>
                      <w:bCs/>
                      <w:color w:val="000000"/>
                      <w:kern w:val="0"/>
                      <w:sz w:val="21"/>
                      <w:szCs w:val="21"/>
                    </w:rPr>
                    <w:t>差异指标</w:t>
                  </w:r>
                </w:p>
              </w:tc>
              <w:tc>
                <w:tcPr>
                  <w:tcW w:w="1391" w:type="pct"/>
                  <w:gridSpan w:val="2"/>
                  <w:tcBorders>
                    <w:tl2br w:val="nil"/>
                    <w:tr2bl w:val="nil"/>
                  </w:tcBorders>
                  <w:noWrap w:val="0"/>
                  <w:vAlign w:val="center"/>
                </w:tcPr>
                <w:p w14:paraId="3AFFC146">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ascii="Times New Roman" w:hAnsi="Times New Roman" w:cs="Times New Roman"/>
                      <w:b/>
                      <w:bCs/>
                      <w:color w:val="000000"/>
                      <w:kern w:val="0"/>
                      <w:sz w:val="21"/>
                      <w:szCs w:val="21"/>
                    </w:rPr>
                  </w:pPr>
                  <w:r>
                    <w:rPr>
                      <w:rFonts w:ascii="Times New Roman" w:hAnsi="Times New Roman" w:cs="Times New Roman"/>
                      <w:b/>
                      <w:bCs/>
                      <w:color w:val="000000"/>
                      <w:kern w:val="0"/>
                      <w:sz w:val="21"/>
                      <w:szCs w:val="21"/>
                    </w:rPr>
                    <w:t>A级企业</w:t>
                  </w:r>
                </w:p>
              </w:tc>
              <w:tc>
                <w:tcPr>
                  <w:tcW w:w="1328" w:type="pct"/>
                  <w:tcBorders>
                    <w:tl2br w:val="nil"/>
                    <w:tr2bl w:val="nil"/>
                  </w:tcBorders>
                  <w:noWrap w:val="0"/>
                  <w:vAlign w:val="center"/>
                </w:tcPr>
                <w:p w14:paraId="4BB714BA">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ascii="Times New Roman" w:hAnsi="Times New Roman" w:cs="Times New Roman"/>
                      <w:b/>
                      <w:bCs/>
                      <w:color w:val="000000"/>
                      <w:kern w:val="0"/>
                      <w:sz w:val="21"/>
                      <w:szCs w:val="21"/>
                    </w:rPr>
                  </w:pPr>
                  <w:r>
                    <w:rPr>
                      <w:rFonts w:ascii="Times New Roman" w:hAnsi="Times New Roman" w:cs="Times New Roman"/>
                      <w:b/>
                      <w:bCs/>
                      <w:color w:val="000000"/>
                      <w:kern w:val="0"/>
                      <w:sz w:val="21"/>
                      <w:szCs w:val="21"/>
                    </w:rPr>
                    <w:t>B级企业</w:t>
                  </w:r>
                </w:p>
              </w:tc>
              <w:tc>
                <w:tcPr>
                  <w:tcW w:w="436" w:type="pct"/>
                  <w:tcBorders>
                    <w:tl2br w:val="nil"/>
                    <w:tr2bl w:val="nil"/>
                  </w:tcBorders>
                  <w:noWrap w:val="0"/>
                  <w:vAlign w:val="center"/>
                </w:tcPr>
                <w:p w14:paraId="285C26E9">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ascii="Times New Roman" w:hAnsi="Times New Roman" w:cs="Times New Roman"/>
                      <w:b/>
                      <w:bCs/>
                      <w:color w:val="000000"/>
                      <w:kern w:val="0"/>
                      <w:sz w:val="21"/>
                      <w:szCs w:val="21"/>
                    </w:rPr>
                  </w:pPr>
                  <w:r>
                    <w:rPr>
                      <w:rFonts w:ascii="Times New Roman" w:hAnsi="Times New Roman" w:cs="Times New Roman"/>
                      <w:b/>
                      <w:bCs/>
                      <w:color w:val="000000"/>
                      <w:kern w:val="0"/>
                      <w:sz w:val="21"/>
                      <w:szCs w:val="21"/>
                    </w:rPr>
                    <w:t>C级企业</w:t>
                  </w:r>
                </w:p>
              </w:tc>
              <w:tc>
                <w:tcPr>
                  <w:tcW w:w="1103" w:type="pct"/>
                  <w:tcBorders>
                    <w:tl2br w:val="nil"/>
                    <w:tr2bl w:val="nil"/>
                  </w:tcBorders>
                  <w:noWrap w:val="0"/>
                  <w:vAlign w:val="center"/>
                </w:tcPr>
                <w:p w14:paraId="710A7127">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ascii="Times New Roman" w:hAnsi="Times New Roman" w:cs="Times New Roman"/>
                      <w:b/>
                      <w:bCs/>
                      <w:color w:val="000000"/>
                      <w:kern w:val="0"/>
                      <w:sz w:val="21"/>
                      <w:szCs w:val="21"/>
                    </w:rPr>
                  </w:pPr>
                  <w:r>
                    <w:rPr>
                      <w:rFonts w:ascii="Times New Roman" w:hAnsi="Times New Roman" w:cs="Times New Roman"/>
                      <w:b/>
                      <w:bCs/>
                      <w:color w:val="000000"/>
                      <w:kern w:val="0"/>
                      <w:sz w:val="21"/>
                      <w:szCs w:val="21"/>
                    </w:rPr>
                    <w:t>本项目情况</w:t>
                  </w:r>
                </w:p>
              </w:tc>
              <w:tc>
                <w:tcPr>
                  <w:tcW w:w="359" w:type="pct"/>
                  <w:tcBorders>
                    <w:tl2br w:val="nil"/>
                    <w:tr2bl w:val="nil"/>
                  </w:tcBorders>
                  <w:noWrap w:val="0"/>
                  <w:vAlign w:val="center"/>
                </w:tcPr>
                <w:p w14:paraId="4DF1AC81">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ascii="Times New Roman" w:hAnsi="Times New Roman" w:cs="Times New Roman"/>
                      <w:b/>
                      <w:bCs/>
                      <w:color w:val="000000"/>
                      <w:kern w:val="0"/>
                      <w:sz w:val="21"/>
                      <w:szCs w:val="21"/>
                    </w:rPr>
                  </w:pPr>
                  <w:r>
                    <w:rPr>
                      <w:rFonts w:ascii="Times New Roman" w:hAnsi="Times New Roman" w:cs="Times New Roman"/>
                      <w:b/>
                      <w:bCs/>
                      <w:color w:val="000000"/>
                      <w:kern w:val="0"/>
                      <w:sz w:val="21"/>
                      <w:szCs w:val="21"/>
                    </w:rPr>
                    <w:t>符合性</w:t>
                  </w:r>
                </w:p>
              </w:tc>
            </w:tr>
            <w:tr w14:paraId="6F4D4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380" w:type="pct"/>
                  <w:tcBorders>
                    <w:tl2br w:val="nil"/>
                    <w:tr2bl w:val="nil"/>
                  </w:tcBorders>
                  <w:noWrap w:val="0"/>
                  <w:vAlign w:val="center"/>
                </w:tcPr>
                <w:p w14:paraId="7736D428">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ascii="Times New Roman" w:hAnsi="Times New Roman" w:cs="Times New Roman"/>
                      <w:b/>
                      <w:bCs/>
                      <w:color w:val="000000"/>
                      <w:kern w:val="0"/>
                      <w:sz w:val="21"/>
                      <w:szCs w:val="21"/>
                    </w:rPr>
                  </w:pPr>
                  <w:r>
                    <w:rPr>
                      <w:rFonts w:ascii="Times New Roman" w:hAnsi="Times New Roman" w:cs="Times New Roman"/>
                      <w:b/>
                      <w:bCs/>
                      <w:color w:val="000000"/>
                      <w:kern w:val="0"/>
                      <w:sz w:val="21"/>
                      <w:szCs w:val="21"/>
                    </w:rPr>
                    <w:t>能源类型</w:t>
                  </w:r>
                </w:p>
              </w:tc>
              <w:tc>
                <w:tcPr>
                  <w:tcW w:w="1391" w:type="pct"/>
                  <w:gridSpan w:val="2"/>
                  <w:tcBorders>
                    <w:tl2br w:val="nil"/>
                    <w:tr2bl w:val="nil"/>
                  </w:tcBorders>
                  <w:noWrap w:val="0"/>
                  <w:vAlign w:val="center"/>
                </w:tcPr>
                <w:p w14:paraId="05A51957">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left"/>
                    <w:textAlignment w:val="auto"/>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以电、天然气为能源</w:t>
                  </w:r>
                </w:p>
              </w:tc>
              <w:tc>
                <w:tcPr>
                  <w:tcW w:w="1764" w:type="pct"/>
                  <w:gridSpan w:val="2"/>
                  <w:tcBorders>
                    <w:tl2br w:val="nil"/>
                    <w:tr2bl w:val="nil"/>
                  </w:tcBorders>
                  <w:noWrap w:val="0"/>
                  <w:vAlign w:val="center"/>
                </w:tcPr>
                <w:p w14:paraId="194D8899">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left"/>
                    <w:textAlignment w:val="auto"/>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其他</w:t>
                  </w:r>
                </w:p>
              </w:tc>
              <w:tc>
                <w:tcPr>
                  <w:tcW w:w="1103" w:type="pct"/>
                  <w:tcBorders>
                    <w:tl2br w:val="nil"/>
                    <w:tr2bl w:val="nil"/>
                  </w:tcBorders>
                  <w:noWrap w:val="0"/>
                  <w:vAlign w:val="center"/>
                </w:tcPr>
                <w:p w14:paraId="3EC6CE46">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本项目主要以电</w:t>
                  </w:r>
                  <w:r>
                    <w:rPr>
                      <w:rFonts w:hint="eastAsia" w:ascii="Times New Roman" w:hAnsi="Times New Roman" w:cs="Times New Roman"/>
                      <w:color w:val="000000"/>
                      <w:kern w:val="0"/>
                      <w:sz w:val="21"/>
                      <w:szCs w:val="21"/>
                      <w:lang w:eastAsia="zh-CN"/>
                    </w:rPr>
                    <w:t>、</w:t>
                  </w:r>
                  <w:r>
                    <w:rPr>
                      <w:rFonts w:hint="eastAsia" w:ascii="Times New Roman" w:hAnsi="Times New Roman" w:cs="Times New Roman"/>
                      <w:color w:val="000000"/>
                      <w:kern w:val="0"/>
                      <w:sz w:val="21"/>
                      <w:szCs w:val="21"/>
                      <w:lang w:val="en-US" w:eastAsia="zh-CN"/>
                    </w:rPr>
                    <w:t>天然气</w:t>
                  </w:r>
                  <w:r>
                    <w:rPr>
                      <w:rFonts w:ascii="Times New Roman" w:hAnsi="Times New Roman" w:cs="Times New Roman"/>
                      <w:color w:val="000000"/>
                      <w:kern w:val="0"/>
                      <w:sz w:val="21"/>
                      <w:szCs w:val="21"/>
                    </w:rPr>
                    <w:t>为能源。</w:t>
                  </w:r>
                </w:p>
              </w:tc>
              <w:tc>
                <w:tcPr>
                  <w:tcW w:w="359" w:type="pct"/>
                  <w:tcBorders>
                    <w:tl2br w:val="nil"/>
                    <w:tr2bl w:val="nil"/>
                  </w:tcBorders>
                  <w:noWrap w:val="0"/>
                  <w:vAlign w:val="center"/>
                </w:tcPr>
                <w:p w14:paraId="6961A71A">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符合</w:t>
                  </w:r>
                </w:p>
              </w:tc>
            </w:tr>
            <w:tr w14:paraId="22786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380" w:type="pct"/>
                  <w:tcBorders>
                    <w:tl2br w:val="nil"/>
                    <w:tr2bl w:val="nil"/>
                  </w:tcBorders>
                  <w:noWrap w:val="0"/>
                  <w:vAlign w:val="center"/>
                </w:tcPr>
                <w:p w14:paraId="348FB12C">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ascii="Times New Roman" w:hAnsi="Times New Roman" w:cs="Times New Roman"/>
                      <w:b/>
                      <w:bCs/>
                      <w:color w:val="000000"/>
                      <w:kern w:val="0"/>
                      <w:sz w:val="21"/>
                      <w:szCs w:val="21"/>
                    </w:rPr>
                  </w:pPr>
                  <w:r>
                    <w:rPr>
                      <w:rFonts w:ascii="Times New Roman" w:hAnsi="Times New Roman" w:cs="Times New Roman"/>
                      <w:b/>
                      <w:bCs/>
                      <w:color w:val="000000"/>
                      <w:kern w:val="0"/>
                      <w:sz w:val="21"/>
                      <w:szCs w:val="21"/>
                    </w:rPr>
                    <w:t>生产工艺</w:t>
                  </w:r>
                </w:p>
              </w:tc>
              <w:tc>
                <w:tcPr>
                  <w:tcW w:w="2719" w:type="pct"/>
                  <w:gridSpan w:val="3"/>
                  <w:tcBorders>
                    <w:tl2br w:val="nil"/>
                    <w:tr2bl w:val="nil"/>
                  </w:tcBorders>
                  <w:noWrap w:val="0"/>
                  <w:vAlign w:val="center"/>
                </w:tcPr>
                <w:p w14:paraId="02D13DD0">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left"/>
                    <w:textAlignment w:val="auto"/>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属于《产业结构调整指导目录》鼓励类和允许类。</w:t>
                  </w:r>
                </w:p>
              </w:tc>
              <w:tc>
                <w:tcPr>
                  <w:tcW w:w="436" w:type="pct"/>
                  <w:tcBorders>
                    <w:tl2br w:val="nil"/>
                    <w:tr2bl w:val="nil"/>
                  </w:tcBorders>
                  <w:noWrap w:val="0"/>
                  <w:vAlign w:val="center"/>
                </w:tcPr>
                <w:p w14:paraId="6B0433DB">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left"/>
                    <w:textAlignment w:val="auto"/>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未达到A、B级要求</w:t>
                  </w:r>
                </w:p>
              </w:tc>
              <w:tc>
                <w:tcPr>
                  <w:tcW w:w="1103" w:type="pct"/>
                  <w:tcBorders>
                    <w:tl2br w:val="nil"/>
                    <w:tr2bl w:val="nil"/>
                  </w:tcBorders>
                  <w:noWrap w:val="0"/>
                  <w:vAlign w:val="center"/>
                </w:tcPr>
                <w:p w14:paraId="78E960B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cs="Times New Roman"/>
                      <w:color w:val="000000"/>
                      <w:kern w:val="0"/>
                      <w:sz w:val="21"/>
                      <w:szCs w:val="21"/>
                    </w:rPr>
                  </w:pPr>
                  <w:r>
                    <w:rPr>
                      <w:rFonts w:hint="eastAsia" w:cs="Times New Roman"/>
                      <w:color w:val="000000"/>
                      <w:kern w:val="0"/>
                      <w:sz w:val="21"/>
                      <w:szCs w:val="21"/>
                      <w:lang w:val="en-US" w:eastAsia="zh-CN"/>
                    </w:rPr>
                    <w:t>对照</w:t>
                  </w:r>
                  <w:r>
                    <w:rPr>
                      <w:rFonts w:ascii="Times New Roman" w:hAnsi="Times New Roman" w:cs="Times New Roman"/>
                      <w:color w:val="000000"/>
                      <w:kern w:val="0"/>
                      <w:sz w:val="21"/>
                      <w:szCs w:val="21"/>
                    </w:rPr>
                    <w:t>《产业结构调整指导目录》</w:t>
                  </w:r>
                  <w:r>
                    <w:rPr>
                      <w:rFonts w:hint="eastAsia" w:cs="Times New Roman"/>
                      <w:color w:val="000000"/>
                      <w:kern w:val="0"/>
                      <w:sz w:val="21"/>
                      <w:szCs w:val="21"/>
                      <w:lang w:eastAsia="zh-CN"/>
                    </w:rPr>
                    <w:t>，</w:t>
                  </w:r>
                  <w:r>
                    <w:rPr>
                      <w:rFonts w:ascii="Times New Roman" w:hAnsi="Times New Roman" w:cs="Times New Roman"/>
                      <w:color w:val="000000"/>
                      <w:kern w:val="0"/>
                      <w:sz w:val="21"/>
                      <w:szCs w:val="21"/>
                    </w:rPr>
                    <w:t>本项目</w:t>
                  </w:r>
                  <w:r>
                    <w:rPr>
                      <w:rFonts w:ascii="Times New Roman" w:hAnsi="Times New Roman" w:cs="Times New Roman"/>
                      <w:color w:val="000000"/>
                      <w:sz w:val="21"/>
                      <w:szCs w:val="21"/>
                    </w:rPr>
                    <w:t>属于</w:t>
                  </w:r>
                  <w:r>
                    <w:rPr>
                      <w:rFonts w:hint="eastAsia" w:cs="Times New Roman"/>
                      <w:color w:val="000000"/>
                      <w:sz w:val="21"/>
                      <w:szCs w:val="21"/>
                      <w:lang w:val="en-US" w:eastAsia="zh-CN"/>
                    </w:rPr>
                    <w:t>允许</w:t>
                  </w:r>
                  <w:r>
                    <w:rPr>
                      <w:rFonts w:hint="eastAsia" w:ascii="Times New Roman" w:hAnsi="Times New Roman" w:cs="Times New Roman"/>
                      <w:color w:val="000000"/>
                      <w:sz w:val="21"/>
                      <w:szCs w:val="21"/>
                      <w:lang w:val="en-US" w:eastAsia="zh-CN"/>
                    </w:rPr>
                    <w:t>类</w:t>
                  </w:r>
                  <w:r>
                    <w:rPr>
                      <w:rFonts w:ascii="Times New Roman" w:hAnsi="Times New Roman" w:cs="Times New Roman"/>
                      <w:color w:val="000000"/>
                      <w:sz w:val="21"/>
                      <w:szCs w:val="21"/>
                    </w:rPr>
                    <w:t>。</w:t>
                  </w:r>
                </w:p>
              </w:tc>
              <w:tc>
                <w:tcPr>
                  <w:tcW w:w="359" w:type="pct"/>
                  <w:tcBorders>
                    <w:tl2br w:val="nil"/>
                    <w:tr2bl w:val="nil"/>
                  </w:tcBorders>
                  <w:noWrap w:val="0"/>
                  <w:vAlign w:val="center"/>
                </w:tcPr>
                <w:p w14:paraId="733ADF52">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符合</w:t>
                  </w:r>
                </w:p>
              </w:tc>
            </w:tr>
            <w:tr w14:paraId="2AD19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380" w:type="pct"/>
                  <w:vMerge w:val="restart"/>
                  <w:tcBorders>
                    <w:tl2br w:val="nil"/>
                    <w:tr2bl w:val="nil"/>
                  </w:tcBorders>
                  <w:noWrap w:val="0"/>
                  <w:vAlign w:val="center"/>
                </w:tcPr>
                <w:p w14:paraId="14358957">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ascii="Times New Roman" w:hAnsi="Times New Roman" w:cs="Times New Roman"/>
                      <w:b/>
                      <w:bCs/>
                      <w:color w:val="000000"/>
                      <w:kern w:val="0"/>
                      <w:sz w:val="21"/>
                      <w:szCs w:val="21"/>
                    </w:rPr>
                  </w:pPr>
                  <w:r>
                    <w:rPr>
                      <w:rFonts w:ascii="Times New Roman" w:hAnsi="Times New Roman" w:cs="Times New Roman"/>
                      <w:b/>
                      <w:bCs/>
                      <w:color w:val="000000"/>
                      <w:kern w:val="0"/>
                      <w:sz w:val="21"/>
                      <w:szCs w:val="21"/>
                    </w:rPr>
                    <w:t>无组织管控</w:t>
                  </w:r>
                </w:p>
              </w:tc>
              <w:tc>
                <w:tcPr>
                  <w:tcW w:w="3155" w:type="pct"/>
                  <w:gridSpan w:val="4"/>
                  <w:tcBorders>
                    <w:tl2br w:val="nil"/>
                    <w:tr2bl w:val="nil"/>
                  </w:tcBorders>
                  <w:noWrap w:val="0"/>
                  <w:vAlign w:val="center"/>
                </w:tcPr>
                <w:p w14:paraId="48506BA4">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（一）涉PM企业基本要求</w:t>
                  </w:r>
                </w:p>
                <w:p w14:paraId="403518C3">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1、物料装卸</w:t>
                  </w:r>
                </w:p>
                <w:p w14:paraId="5CC4B6EE">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（1）车辆运输的物料应采取封闭措施。粉状、粒状、块状散装物料在封闭料场内装卸，装卸过程中产尘点应设置集尘除尘装置，料场应采取有效抑尘措施。</w:t>
                  </w:r>
                </w:p>
                <w:p w14:paraId="7F257DBA">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（2）不易产尘的袋装物料宜在料棚中装卸，如需露天装卸应采取防止破袋及粉尘外逸措施。</w:t>
                  </w:r>
                </w:p>
                <w:p w14:paraId="283216F1">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2、物料储存</w:t>
                  </w:r>
                </w:p>
                <w:p w14:paraId="7E9BC0B0">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1）一般物料。粉状物料应储存于密闭/封闭料仓中；粒状、块状物料应储存于封闭料场中，并采取喷淋、清扫或其他有效抑尘措施；袋装物料应储存于封闭/半封闭料场中。封闭料场顶棚和四周围墙完整，料场内路面全部硬化，料场货物进出大门为硬质材料门或自动感应门，在确保安全的情况下，所有门窗保持常闭状态。不产尘物料（如钢材、管件）及产品如露天储存应在规定的存储区域码放整齐。</w:t>
                  </w:r>
                </w:p>
                <w:p w14:paraId="687B0516">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2）危险废物。应有符合规范要求的危险废物储存间，危险废物储存间门口应张贴标准规范的危险废物标识和危废信息板，建立台账并挂于危废间内，危险废物的记录和货单保存3年以上。危废间内禁止存放除危险废物和应急工具外的其他物品。</w:t>
                  </w:r>
                </w:p>
                <w:p w14:paraId="0D5BF645">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3、物料转移和输送</w:t>
                  </w:r>
                </w:p>
                <w:p w14:paraId="31FA4074">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1）粉状、粒状等易产尘物料转移、输送过程应采用管状带式输送机、气力输送、密闭车厢等密闭方式运输；粒状、块状或粘湿物料采用皮带通廊、封闭车厢等封闭方式运输或苫盖严密，防止沿途抛洒和飞扬；无法封闭的产尘点（物料转载、下料口等）应采取集尘除尘措施，或有效抑尘措施。</w:t>
                  </w:r>
                </w:p>
                <w:p w14:paraId="4F2B520F">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4、工艺过程</w:t>
                  </w:r>
                </w:p>
                <w:p w14:paraId="2BA6BA8B">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（1）各种物料破碎、筛分、配料、混料等过程应在封闭厂房内进行，并采取局部有效抑尘、集尘除尘措施。破碎筛分设备在进、出料口和配料混料过程等产尘点应设置集尘除尘设施。</w:t>
                  </w:r>
                </w:p>
                <w:p w14:paraId="64030ED0">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（2）各生产工序的车间地面干净，无积料、积灰现象。生产车间不得有可见烟粉尘外逸。</w:t>
                  </w:r>
                </w:p>
              </w:tc>
              <w:tc>
                <w:tcPr>
                  <w:tcW w:w="1103" w:type="pct"/>
                  <w:vMerge w:val="restart"/>
                  <w:tcBorders>
                    <w:tl2br w:val="nil"/>
                    <w:tr2bl w:val="nil"/>
                  </w:tcBorders>
                  <w:noWrap w:val="0"/>
                  <w:vAlign w:val="center"/>
                </w:tcPr>
                <w:p w14:paraId="0B4A80E8">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1、项目均采用密闭</w:t>
                  </w:r>
                  <w:r>
                    <w:rPr>
                      <w:rFonts w:hint="eastAsia" w:ascii="Times New Roman" w:hAnsi="Times New Roman" w:cs="Times New Roman"/>
                      <w:color w:val="000000"/>
                      <w:kern w:val="0"/>
                      <w:sz w:val="21"/>
                      <w:szCs w:val="21"/>
                      <w:lang w:val="en-US" w:eastAsia="zh-CN"/>
                    </w:rPr>
                    <w:t>车辆运输</w:t>
                  </w:r>
                  <w:r>
                    <w:rPr>
                      <w:rFonts w:ascii="Times New Roman" w:hAnsi="Times New Roman" w:cs="Times New Roman"/>
                      <w:color w:val="000000"/>
                      <w:kern w:val="0"/>
                      <w:sz w:val="21"/>
                      <w:szCs w:val="21"/>
                    </w:rPr>
                    <w:t>在封闭的</w:t>
                  </w:r>
                  <w:r>
                    <w:rPr>
                      <w:rFonts w:hint="eastAsia" w:ascii="Times New Roman" w:hAnsi="Times New Roman" w:cs="Times New Roman"/>
                      <w:color w:val="000000"/>
                      <w:kern w:val="0"/>
                      <w:sz w:val="21"/>
                      <w:szCs w:val="21"/>
                      <w:lang w:val="en-US" w:eastAsia="zh-CN"/>
                    </w:rPr>
                    <w:t>厂房</w:t>
                  </w:r>
                  <w:r>
                    <w:rPr>
                      <w:rFonts w:ascii="Times New Roman" w:hAnsi="Times New Roman" w:cs="Times New Roman"/>
                      <w:color w:val="000000"/>
                      <w:kern w:val="0"/>
                      <w:sz w:val="21"/>
                      <w:szCs w:val="21"/>
                    </w:rPr>
                    <w:t>内进行装卸。</w:t>
                  </w:r>
                </w:p>
                <w:p w14:paraId="10B48A2C">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2、</w:t>
                  </w:r>
                  <w:r>
                    <w:rPr>
                      <w:rFonts w:hint="eastAsia" w:cs="Times New Roman"/>
                      <w:color w:val="000000"/>
                      <w:kern w:val="0"/>
                      <w:sz w:val="21"/>
                      <w:szCs w:val="21"/>
                      <w:lang w:val="en-US" w:eastAsia="zh-CN"/>
                    </w:rPr>
                    <w:t>水稳层骨料、水泥设置密闭筒仓；砂石堆存区、预处理药剂投加工段设置洒水抑尘装置；所有原料均位于厂房内，厂房</w:t>
                  </w:r>
                  <w:r>
                    <w:rPr>
                      <w:rFonts w:ascii="Times New Roman" w:hAnsi="Times New Roman" w:cs="Times New Roman"/>
                      <w:color w:val="000000"/>
                      <w:kern w:val="0"/>
                      <w:sz w:val="21"/>
                      <w:szCs w:val="21"/>
                    </w:rPr>
                    <w:t>四周、顶部均完整、大门为硬质材质，地面硬化，门窗常闭。</w:t>
                  </w:r>
                </w:p>
                <w:p w14:paraId="608EC741">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设置独立危废暂存间对危险废物进行分类分区暂存，标识标牌、台账、转运记录等情况完善。液体危废采用密闭容器承装，</w:t>
                  </w:r>
                  <w:r>
                    <w:rPr>
                      <w:rFonts w:hint="eastAsia" w:ascii="Times New Roman" w:hAnsi="Times New Roman" w:cs="Times New Roman"/>
                      <w:color w:val="000000"/>
                      <w:kern w:val="0"/>
                      <w:sz w:val="21"/>
                      <w:szCs w:val="21"/>
                      <w:lang w:val="en-US" w:eastAsia="zh-CN"/>
                    </w:rPr>
                    <w:t>下</w:t>
                  </w:r>
                  <w:r>
                    <w:rPr>
                      <w:rFonts w:hint="eastAsia" w:cs="Times New Roman"/>
                      <w:color w:val="000000"/>
                      <w:kern w:val="0"/>
                      <w:sz w:val="21"/>
                      <w:szCs w:val="21"/>
                      <w:lang w:val="en-US" w:eastAsia="zh-CN"/>
                    </w:rPr>
                    <w:t>方</w:t>
                  </w:r>
                  <w:r>
                    <w:rPr>
                      <w:rFonts w:hint="eastAsia" w:ascii="Times New Roman" w:hAnsi="Times New Roman" w:cs="Times New Roman"/>
                      <w:color w:val="000000"/>
                      <w:kern w:val="0"/>
                      <w:sz w:val="21"/>
                      <w:szCs w:val="21"/>
                      <w:lang w:val="en-US" w:eastAsia="zh-CN"/>
                    </w:rPr>
                    <w:t>设置防渗托盘</w:t>
                  </w:r>
                  <w:r>
                    <w:rPr>
                      <w:rFonts w:ascii="Times New Roman" w:hAnsi="Times New Roman" w:cs="Times New Roman"/>
                      <w:color w:val="000000"/>
                      <w:kern w:val="0"/>
                      <w:sz w:val="21"/>
                      <w:szCs w:val="21"/>
                    </w:rPr>
                    <w:t>。</w:t>
                  </w:r>
                </w:p>
                <w:p w14:paraId="0CBC8AF4">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3、</w:t>
                  </w:r>
                  <w:r>
                    <w:rPr>
                      <w:rFonts w:hint="eastAsia" w:cs="Times New Roman"/>
                      <w:color w:val="000000"/>
                      <w:kern w:val="0"/>
                      <w:sz w:val="21"/>
                      <w:szCs w:val="21"/>
                      <w:lang w:val="en-US" w:eastAsia="zh-CN"/>
                    </w:rPr>
                    <w:t>粉状、粒状物料采用密闭管道输送</w:t>
                  </w:r>
                  <w:r>
                    <w:rPr>
                      <w:rFonts w:ascii="Times New Roman" w:hAnsi="Times New Roman" w:cs="Times New Roman"/>
                      <w:color w:val="000000"/>
                      <w:kern w:val="0"/>
                      <w:sz w:val="21"/>
                      <w:szCs w:val="21"/>
                    </w:rPr>
                    <w:t>。</w:t>
                  </w:r>
                </w:p>
                <w:p w14:paraId="42CB0269">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eastAsia" w:ascii="Times New Roman" w:hAnsi="Times New Roman" w:cs="Times New Roman"/>
                      <w:color w:val="000000"/>
                      <w:kern w:val="0"/>
                      <w:sz w:val="21"/>
                      <w:szCs w:val="21"/>
                      <w:lang w:eastAsia="zh-CN"/>
                    </w:rPr>
                  </w:pPr>
                  <w:r>
                    <w:rPr>
                      <w:rFonts w:ascii="Times New Roman" w:hAnsi="Times New Roman" w:cs="Times New Roman"/>
                      <w:color w:val="000000"/>
                      <w:kern w:val="0"/>
                      <w:sz w:val="21"/>
                      <w:szCs w:val="21"/>
                    </w:rPr>
                    <w:t>4、进行物料开封、转移、筛分、配料、混合过程均在封闭的厂房内进行。</w:t>
                  </w:r>
                  <w:r>
                    <w:rPr>
                      <w:rFonts w:hint="eastAsia" w:cs="Times New Roman"/>
                      <w:color w:val="000000"/>
                      <w:kern w:val="0"/>
                      <w:sz w:val="21"/>
                      <w:szCs w:val="21"/>
                      <w:lang w:val="en-US" w:eastAsia="zh-CN"/>
                    </w:rPr>
                    <w:t>水泥、水稳层骨料筒仓顶部均自带布袋除尘器处理；砂石堆存区、预处理药剂投加工段设置喷雾抑尘装置</w:t>
                  </w:r>
                  <w:r>
                    <w:rPr>
                      <w:rFonts w:hint="eastAsia" w:ascii="Times New Roman" w:hAnsi="Times New Roman" w:cs="Times New Roman"/>
                      <w:color w:val="000000"/>
                      <w:kern w:val="0"/>
                      <w:sz w:val="21"/>
                      <w:szCs w:val="21"/>
                      <w:lang w:eastAsia="zh-CN"/>
                    </w:rPr>
                    <w:t>。</w:t>
                  </w:r>
                </w:p>
                <w:p w14:paraId="747F4445">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cs="Times New Roman"/>
                      <w:color w:val="000000"/>
                      <w:kern w:val="0"/>
                      <w:sz w:val="21"/>
                      <w:szCs w:val="21"/>
                      <w:lang w:val="en-US" w:eastAsia="zh-CN"/>
                    </w:rPr>
                  </w:pPr>
                  <w:r>
                    <w:rPr>
                      <w:rFonts w:hint="eastAsia" w:cs="Times New Roman"/>
                      <w:color w:val="000000"/>
                      <w:kern w:val="0"/>
                      <w:sz w:val="21"/>
                      <w:szCs w:val="21"/>
                      <w:lang w:val="en-US" w:eastAsia="zh-CN"/>
                    </w:rPr>
                    <w:t>5、本项目煅烧过程产生含烃类物质</w:t>
                  </w:r>
                  <w:r>
                    <w:rPr>
                      <w:rFonts w:hint="eastAsia" w:cs="Times New Roman"/>
                      <w:color w:val="000000" w:themeColor="text1"/>
                      <w:sz w:val="21"/>
                      <w:szCs w:val="21"/>
                      <w:highlight w:val="none"/>
                      <w:lang w:val="en-US" w:eastAsia="zh-CN"/>
                      <w14:textFill>
                        <w14:solidFill>
                          <w14:schemeClr w14:val="tx1"/>
                        </w14:solidFill>
                      </w14:textFill>
                    </w:rPr>
                    <w:t>（以非甲烷总烃计</w:t>
                  </w:r>
                  <w:r>
                    <w:rPr>
                      <w:rFonts w:hint="eastAsia" w:cs="Times New Roman"/>
                      <w:color w:val="000000"/>
                      <w:kern w:val="0"/>
                      <w:sz w:val="21"/>
                      <w:szCs w:val="21"/>
                      <w:lang w:val="en-US" w:eastAsia="zh-CN"/>
                    </w:rPr>
                    <w:t>），随水基岩屑和热脱附干渣煅烧而直接焚烧处理后，经1根25m高排气筒排放（DA001），VOCs无组织浓度满足</w:t>
                  </w:r>
                  <w:r>
                    <w:rPr>
                      <w:rFonts w:ascii="Times New Roman" w:hAnsi="Times New Roman" w:cs="Times New Roman"/>
                      <w:color w:val="000000"/>
                      <w:kern w:val="0"/>
                      <w:sz w:val="21"/>
                      <w:szCs w:val="21"/>
                    </w:rPr>
                    <w:t>《挥发性有机物无组织排放控制标准》（GB37822-2019）的无组织管控要求</w:t>
                  </w:r>
                  <w:r>
                    <w:rPr>
                      <w:rFonts w:hint="eastAsia" w:cs="Times New Roman"/>
                      <w:color w:val="000000"/>
                      <w:kern w:val="0"/>
                      <w:sz w:val="21"/>
                      <w:szCs w:val="21"/>
                      <w:lang w:val="en-US" w:eastAsia="zh-CN"/>
                    </w:rPr>
                    <w:t>。</w:t>
                  </w:r>
                </w:p>
              </w:tc>
              <w:tc>
                <w:tcPr>
                  <w:tcW w:w="359" w:type="pct"/>
                  <w:vMerge w:val="restart"/>
                  <w:tcBorders>
                    <w:tl2br w:val="nil"/>
                    <w:tr2bl w:val="nil"/>
                  </w:tcBorders>
                  <w:noWrap w:val="0"/>
                  <w:vAlign w:val="center"/>
                </w:tcPr>
                <w:p w14:paraId="52CBDAEB">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符合</w:t>
                  </w:r>
                </w:p>
              </w:tc>
            </w:tr>
            <w:tr w14:paraId="70184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380" w:type="pct"/>
                  <w:vMerge w:val="continue"/>
                  <w:tcBorders>
                    <w:tl2br w:val="nil"/>
                    <w:tr2bl w:val="nil"/>
                  </w:tcBorders>
                  <w:noWrap w:val="0"/>
                  <w:vAlign w:val="center"/>
                </w:tcPr>
                <w:p w14:paraId="43C9EEA6">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sz w:val="21"/>
                      <w:szCs w:val="21"/>
                    </w:rPr>
                  </w:pPr>
                </w:p>
              </w:tc>
              <w:tc>
                <w:tcPr>
                  <w:tcW w:w="3155" w:type="pct"/>
                  <w:gridSpan w:val="4"/>
                  <w:tcBorders>
                    <w:tl2br w:val="nil"/>
                    <w:tr2bl w:val="nil"/>
                  </w:tcBorders>
                  <w:noWrap w:val="0"/>
                  <w:vAlign w:val="center"/>
                </w:tcPr>
                <w:p w14:paraId="35F89C63">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（二）涉VOCs企业基本要求</w:t>
                  </w:r>
                </w:p>
                <w:p w14:paraId="64A7E779">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1、物料储存</w:t>
                  </w:r>
                </w:p>
                <w:p w14:paraId="69F9E663">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1）VOCs物料应储存于密闭的容器、包装袋、储罐、储库、料仓中。盛装VOCs物料的容器或者包装袋应存放于室内，或存放于设置有雨棚、遮阳或防渗设施的专用场地。盛装VOCs物料的容器或包装袋在非取用状态时应加盖、封口，保持密闭。</w:t>
                  </w:r>
                </w:p>
                <w:p w14:paraId="245F5F3B">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2）危险废料存放于独立密闭暂存间内，暂存间内地面硬化并做好防扬散、防流失、防渗漏措施；液体危废需采用密闭容器盛装，必须有泄漏液收集装置（托盘、导流沟、收集池等）；具有挥发性气体的危废需采用密闭容器盛装，暂存间废气经导出口排至气体净化装置。</w:t>
                  </w:r>
                </w:p>
                <w:p w14:paraId="688760C0">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2、物料转移和输送</w:t>
                  </w:r>
                </w:p>
                <w:p w14:paraId="26A61F8A">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（1）VOCs物料采用密闭管道或密闭容器等密闭输送。</w:t>
                  </w:r>
                </w:p>
                <w:p w14:paraId="64D0691B">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（2）VOCs物料采用密闭包装、密闭容器等密闭方式进行转移。</w:t>
                  </w:r>
                </w:p>
                <w:p w14:paraId="3537C655">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3、工艺过程</w:t>
                  </w:r>
                </w:p>
                <w:p w14:paraId="6F8703F8">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（1）原辅材料调配、使用、回收等过程采用密闭设备或在密闭空间内操作。</w:t>
                  </w:r>
                </w:p>
                <w:p w14:paraId="146E5627">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涉VOCs原料装卸、储存、转移和输送、工艺过程等环节的废气全部收集引至VOCs处理系统。</w:t>
                  </w:r>
                </w:p>
                <w:p w14:paraId="0518A5B2">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4、其他涉VOCs物料的过程需满足《挥发性有机物无组织排放控制标准》（GB37822-2019）的无组织管控要求。</w:t>
                  </w:r>
                </w:p>
              </w:tc>
              <w:tc>
                <w:tcPr>
                  <w:tcW w:w="1103" w:type="pct"/>
                  <w:vMerge w:val="continue"/>
                  <w:tcBorders>
                    <w:tl2br w:val="nil"/>
                    <w:tr2bl w:val="nil"/>
                  </w:tcBorders>
                  <w:noWrap w:val="0"/>
                  <w:vAlign w:val="center"/>
                </w:tcPr>
                <w:p w14:paraId="21ECC7F3">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kern w:val="0"/>
                      <w:sz w:val="21"/>
                      <w:szCs w:val="21"/>
                    </w:rPr>
                  </w:pPr>
                </w:p>
              </w:tc>
              <w:tc>
                <w:tcPr>
                  <w:tcW w:w="359" w:type="pct"/>
                  <w:vMerge w:val="continue"/>
                  <w:tcBorders>
                    <w:tl2br w:val="nil"/>
                    <w:tr2bl w:val="nil"/>
                  </w:tcBorders>
                  <w:noWrap w:val="0"/>
                  <w:vAlign w:val="center"/>
                </w:tcPr>
                <w:p w14:paraId="3D8F1839">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kern w:val="0"/>
                      <w:sz w:val="21"/>
                      <w:szCs w:val="21"/>
                    </w:rPr>
                  </w:pPr>
                </w:p>
              </w:tc>
            </w:tr>
            <w:tr w14:paraId="5B6B2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380" w:type="pct"/>
                  <w:vMerge w:val="continue"/>
                  <w:tcBorders>
                    <w:tl2br w:val="nil"/>
                    <w:tr2bl w:val="nil"/>
                  </w:tcBorders>
                  <w:noWrap w:val="0"/>
                  <w:vAlign w:val="center"/>
                </w:tcPr>
                <w:p w14:paraId="68BD9005">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kern w:val="0"/>
                      <w:sz w:val="21"/>
                      <w:szCs w:val="21"/>
                    </w:rPr>
                  </w:pPr>
                </w:p>
              </w:tc>
              <w:tc>
                <w:tcPr>
                  <w:tcW w:w="3155" w:type="pct"/>
                  <w:gridSpan w:val="4"/>
                  <w:tcBorders>
                    <w:tl2br w:val="nil"/>
                    <w:tr2bl w:val="nil"/>
                  </w:tcBorders>
                  <w:noWrap w:val="0"/>
                  <w:vAlign w:val="center"/>
                </w:tcPr>
                <w:p w14:paraId="7330235E">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（三）厂容厂貌</w:t>
                  </w:r>
                </w:p>
                <w:p w14:paraId="7FC30C54">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厂区内道路、原辅材料和燃料堆场等路面应硬化。厂区内道路采取定期清扫、洒水等措施，保持清洁，路面无明显可见积尘。其他未利用地优先绿化，或进行硬化，无成片裸露土地。</w:t>
                  </w:r>
                </w:p>
              </w:tc>
              <w:tc>
                <w:tcPr>
                  <w:tcW w:w="1103" w:type="pct"/>
                  <w:vMerge w:val="continue"/>
                  <w:tcBorders>
                    <w:tl2br w:val="nil"/>
                    <w:tr2bl w:val="nil"/>
                  </w:tcBorders>
                  <w:noWrap w:val="0"/>
                  <w:vAlign w:val="center"/>
                </w:tcPr>
                <w:p w14:paraId="0312930F">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kern w:val="0"/>
                      <w:sz w:val="21"/>
                      <w:szCs w:val="21"/>
                    </w:rPr>
                  </w:pPr>
                </w:p>
              </w:tc>
              <w:tc>
                <w:tcPr>
                  <w:tcW w:w="359" w:type="pct"/>
                  <w:vMerge w:val="continue"/>
                  <w:tcBorders>
                    <w:tl2br w:val="nil"/>
                    <w:tr2bl w:val="nil"/>
                  </w:tcBorders>
                  <w:noWrap w:val="0"/>
                  <w:vAlign w:val="center"/>
                </w:tcPr>
                <w:p w14:paraId="74047EDB">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kern w:val="0"/>
                      <w:sz w:val="21"/>
                      <w:szCs w:val="21"/>
                    </w:rPr>
                  </w:pPr>
                </w:p>
              </w:tc>
            </w:tr>
            <w:tr w14:paraId="6FA69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trPr>
              <w:tc>
                <w:tcPr>
                  <w:tcW w:w="380" w:type="pct"/>
                  <w:tcBorders>
                    <w:tl2br w:val="nil"/>
                    <w:tr2bl w:val="nil"/>
                  </w:tcBorders>
                  <w:noWrap w:val="0"/>
                  <w:vAlign w:val="center"/>
                </w:tcPr>
                <w:p w14:paraId="13E76C58">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ascii="Times New Roman" w:hAnsi="Times New Roman" w:cs="Times New Roman"/>
                      <w:b/>
                      <w:bCs/>
                      <w:color w:val="000000"/>
                      <w:kern w:val="0"/>
                      <w:sz w:val="21"/>
                      <w:szCs w:val="21"/>
                    </w:rPr>
                  </w:pPr>
                  <w:r>
                    <w:rPr>
                      <w:rFonts w:ascii="Times New Roman" w:hAnsi="Times New Roman" w:cs="Times New Roman"/>
                      <w:b/>
                      <w:bCs/>
                      <w:color w:val="000000"/>
                      <w:kern w:val="0"/>
                      <w:sz w:val="21"/>
                      <w:szCs w:val="21"/>
                    </w:rPr>
                    <w:t>污染治理技术</w:t>
                  </w:r>
                </w:p>
              </w:tc>
              <w:tc>
                <w:tcPr>
                  <w:tcW w:w="1302" w:type="pct"/>
                  <w:tcBorders>
                    <w:tl2br w:val="nil"/>
                    <w:tr2bl w:val="nil"/>
                  </w:tcBorders>
                  <w:noWrap w:val="0"/>
                  <w:vAlign w:val="center"/>
                </w:tcPr>
                <w:p w14:paraId="59B68297">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（一）涉锅炉/炉窑要求：</w:t>
                  </w:r>
                </w:p>
                <w:p w14:paraId="4663FD60">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1、电窑/电锅炉：</w:t>
                  </w:r>
                </w:p>
                <w:p w14:paraId="088758BE">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PM采用覆膜袋式除尘、电袋复合除尘、湿电除尘、静电除尘等高效除尘技术。</w:t>
                  </w:r>
                </w:p>
                <w:p w14:paraId="6772C4B6">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2、燃气锅炉/炉窑：</w:t>
                  </w:r>
                </w:p>
                <w:p w14:paraId="0A1334C2">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（1）PM</w:t>
                  </w:r>
                  <w:r>
                    <w:rPr>
                      <w:rFonts w:ascii="Times New Roman" w:hAnsi="Times New Roman" w:cs="Times New Roman"/>
                      <w:color w:val="000000"/>
                      <w:kern w:val="0"/>
                      <w:sz w:val="21"/>
                      <w:szCs w:val="21"/>
                      <w:vertAlign w:val="superscript"/>
                    </w:rPr>
                    <w:t>【1】</w:t>
                  </w:r>
                  <w:r>
                    <w:rPr>
                      <w:rFonts w:ascii="Times New Roman" w:hAnsi="Times New Roman" w:cs="Times New Roman"/>
                      <w:color w:val="000000"/>
                      <w:kern w:val="0"/>
                      <w:sz w:val="21"/>
                      <w:szCs w:val="21"/>
                    </w:rPr>
                    <w:t>采用袋式除尘、静电除尘、湿电除尘等高效除尘技术。</w:t>
                  </w:r>
                </w:p>
                <w:p w14:paraId="444DCAEE">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（2）NOx</w:t>
                  </w:r>
                  <w:r>
                    <w:rPr>
                      <w:rFonts w:ascii="Times New Roman" w:hAnsi="Times New Roman" w:cs="Times New Roman"/>
                      <w:color w:val="000000"/>
                      <w:kern w:val="0"/>
                      <w:sz w:val="21"/>
                      <w:szCs w:val="21"/>
                      <w:vertAlign w:val="superscript"/>
                    </w:rPr>
                    <w:t>【2】</w:t>
                  </w:r>
                  <w:r>
                    <w:rPr>
                      <w:rFonts w:ascii="Times New Roman" w:hAnsi="Times New Roman" w:cs="Times New Roman"/>
                      <w:color w:val="000000"/>
                      <w:kern w:val="0"/>
                      <w:sz w:val="21"/>
                      <w:szCs w:val="21"/>
                    </w:rPr>
                    <w:t>采用低氮燃烧或SNCR/SCR等技术。</w:t>
                  </w:r>
                </w:p>
                <w:p w14:paraId="14C7C323">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（二）其他工序（非锅炉/炉窑）：</w:t>
                  </w:r>
                </w:p>
                <w:p w14:paraId="08696814">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1、PM采用覆膜袋式除尘或其他先进除尘工艺。</w:t>
                  </w:r>
                </w:p>
                <w:p w14:paraId="7941208F">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2、VOCs废气采用燃烧、吸附等治理技术。</w:t>
                  </w:r>
                </w:p>
              </w:tc>
              <w:tc>
                <w:tcPr>
                  <w:tcW w:w="1416" w:type="pct"/>
                  <w:gridSpan w:val="2"/>
                  <w:tcBorders>
                    <w:tl2br w:val="nil"/>
                    <w:tr2bl w:val="nil"/>
                  </w:tcBorders>
                  <w:noWrap w:val="0"/>
                  <w:vAlign w:val="center"/>
                </w:tcPr>
                <w:p w14:paraId="7335B41F">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（一）涉锅炉/炉窑要求：</w:t>
                  </w:r>
                </w:p>
                <w:p w14:paraId="45B4EAD3">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1、燃煤/生物质/燃油等锅炉/炉窑：</w:t>
                  </w:r>
                </w:p>
                <w:p w14:paraId="5C2C9A1D">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（1）PM采用袋式除尘、滤筒除尘、电袋复合除尘、湿电除尘、四电场及以上静电除尘等高效除尘技术。</w:t>
                  </w:r>
                </w:p>
                <w:p w14:paraId="217FA7FC">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（2）SO</w:t>
                  </w:r>
                  <w:r>
                    <w:rPr>
                      <w:rFonts w:ascii="Times New Roman" w:hAnsi="Times New Roman" w:cs="Times New Roman"/>
                      <w:color w:val="000000"/>
                      <w:kern w:val="0"/>
                      <w:sz w:val="21"/>
                      <w:szCs w:val="21"/>
                      <w:vertAlign w:val="subscript"/>
                    </w:rPr>
                    <w:t>2</w:t>
                  </w:r>
                  <w:r>
                    <w:rPr>
                      <w:rFonts w:ascii="Times New Roman" w:hAnsi="Times New Roman" w:cs="Times New Roman"/>
                      <w:color w:val="000000"/>
                      <w:kern w:val="0"/>
                      <w:sz w:val="21"/>
                      <w:szCs w:val="21"/>
                      <w:vertAlign w:val="superscript"/>
                    </w:rPr>
                    <w:t>【3】</w:t>
                  </w:r>
                  <w:r>
                    <w:rPr>
                      <w:rFonts w:ascii="Times New Roman" w:hAnsi="Times New Roman" w:cs="Times New Roman"/>
                      <w:color w:val="000000"/>
                      <w:kern w:val="0"/>
                      <w:sz w:val="21"/>
                      <w:szCs w:val="21"/>
                    </w:rPr>
                    <w:t>采用石灰/石-石膏、氨法、钠碱法、双碱法等湿法、干法和半干法（设计效率不低于85%）。</w:t>
                  </w:r>
                </w:p>
                <w:p w14:paraId="0F57AA4E">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（3）NOx采用低氮燃烧、SNCR/SCR、湿式氧化法等技术。</w:t>
                  </w:r>
                </w:p>
                <w:p w14:paraId="7EEC205F">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2、电窑、燃气锅炉/炉窑：未达到A级要求。</w:t>
                  </w:r>
                </w:p>
                <w:p w14:paraId="01840D4F">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（二）其他工序（非锅炉/炉窑）：</w:t>
                  </w:r>
                </w:p>
                <w:p w14:paraId="6445C09E">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1、PM采用袋式除尘或其他先进除尘工艺。</w:t>
                  </w:r>
                </w:p>
                <w:p w14:paraId="468C6051">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2、VOCs废气采用燃烧、吸附等治理技术。</w:t>
                  </w:r>
                </w:p>
              </w:tc>
              <w:tc>
                <w:tcPr>
                  <w:tcW w:w="436" w:type="pct"/>
                  <w:tcBorders>
                    <w:tl2br w:val="nil"/>
                    <w:tr2bl w:val="nil"/>
                  </w:tcBorders>
                  <w:noWrap w:val="0"/>
                  <w:vAlign w:val="center"/>
                </w:tcPr>
                <w:p w14:paraId="3EFB5599">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未达到B级要求。</w:t>
                  </w:r>
                </w:p>
              </w:tc>
              <w:tc>
                <w:tcPr>
                  <w:tcW w:w="1103" w:type="pct"/>
                  <w:tcBorders>
                    <w:tl2br w:val="nil"/>
                    <w:tr2bl w:val="nil"/>
                  </w:tcBorders>
                  <w:noWrap w:val="0"/>
                  <w:vAlign w:val="center"/>
                </w:tcPr>
                <w:p w14:paraId="4212E84B">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ascii="Times New Roman" w:hAnsi="Times New Roman" w:cs="Times New Roman"/>
                      <w:color w:val="000000"/>
                      <w:kern w:val="0"/>
                      <w:sz w:val="21"/>
                      <w:szCs w:val="21"/>
                    </w:rPr>
                  </w:pPr>
                  <w:r>
                    <w:rPr>
                      <w:rFonts w:hint="eastAsia" w:ascii="Times New Roman" w:hAnsi="Times New Roman" w:cs="Times New Roman"/>
                      <w:color w:val="000000"/>
                      <w:kern w:val="0"/>
                      <w:sz w:val="21"/>
                      <w:szCs w:val="21"/>
                      <w:lang w:val="en-US" w:eastAsia="zh-CN"/>
                    </w:rPr>
                    <w:t>本项目回转窑使用天然气进行燃烧，煅烧废气经</w:t>
                  </w:r>
                  <w:r>
                    <w:rPr>
                      <w:rFonts w:hint="eastAsia"/>
                      <w:sz w:val="21"/>
                      <w:szCs w:val="21"/>
                      <w:lang w:val="en-US" w:eastAsia="zh-CN"/>
                    </w:rPr>
                    <w:t>旋风除尘器+布袋除尘器1#+喷射活性炭+布袋除尘器2#+3座脱酸塔去除；NOx采用低氮燃烧技术，</w:t>
                  </w:r>
                  <w:r>
                    <w:rPr>
                      <w:rFonts w:hint="eastAsia" w:cs="Times New Roman"/>
                      <w:color w:val="000000"/>
                      <w:kern w:val="0"/>
                      <w:sz w:val="21"/>
                      <w:szCs w:val="21"/>
                      <w:lang w:val="en-US" w:eastAsia="zh-CN"/>
                    </w:rPr>
                    <w:t>含烃类物质</w:t>
                  </w:r>
                  <w:r>
                    <w:rPr>
                      <w:rFonts w:hint="eastAsia" w:cs="Times New Roman"/>
                      <w:color w:val="000000" w:themeColor="text1"/>
                      <w:sz w:val="21"/>
                      <w:szCs w:val="21"/>
                      <w:highlight w:val="none"/>
                      <w:lang w:val="en-US" w:eastAsia="zh-CN"/>
                      <w14:textFill>
                        <w14:solidFill>
                          <w14:schemeClr w14:val="tx1"/>
                        </w14:solidFill>
                      </w14:textFill>
                    </w:rPr>
                    <w:t>（以非甲烷总烃计</w:t>
                  </w:r>
                  <w:r>
                    <w:rPr>
                      <w:rFonts w:hint="eastAsia" w:cs="Times New Roman"/>
                      <w:color w:val="000000"/>
                      <w:kern w:val="0"/>
                      <w:sz w:val="21"/>
                      <w:szCs w:val="21"/>
                      <w:lang w:val="en-US" w:eastAsia="zh-CN"/>
                    </w:rPr>
                    <w:t>）</w:t>
                  </w:r>
                  <w:r>
                    <w:rPr>
                      <w:rFonts w:hint="eastAsia"/>
                      <w:sz w:val="21"/>
                      <w:szCs w:val="21"/>
                      <w:lang w:val="en-US" w:eastAsia="zh-CN"/>
                    </w:rPr>
                    <w:t>采用回转窑直接焚烧处理。</w:t>
                  </w:r>
                </w:p>
              </w:tc>
              <w:tc>
                <w:tcPr>
                  <w:tcW w:w="359" w:type="pct"/>
                  <w:tcBorders>
                    <w:tl2br w:val="nil"/>
                    <w:tr2bl w:val="nil"/>
                  </w:tcBorders>
                  <w:noWrap w:val="0"/>
                  <w:vAlign w:val="center"/>
                </w:tcPr>
                <w:p w14:paraId="0376AAF5">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符合</w:t>
                  </w:r>
                </w:p>
              </w:tc>
            </w:tr>
            <w:tr w14:paraId="301B1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 w:hRule="atLeast"/>
              </w:trPr>
              <w:tc>
                <w:tcPr>
                  <w:tcW w:w="380" w:type="pct"/>
                  <w:vMerge w:val="restart"/>
                  <w:tcBorders>
                    <w:tl2br w:val="nil"/>
                    <w:tr2bl w:val="nil"/>
                  </w:tcBorders>
                  <w:noWrap w:val="0"/>
                  <w:vAlign w:val="center"/>
                </w:tcPr>
                <w:p w14:paraId="5DEBBBB3">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ascii="Times New Roman" w:hAnsi="Times New Roman" w:cs="Times New Roman"/>
                      <w:b/>
                      <w:bCs/>
                      <w:color w:val="000000"/>
                      <w:kern w:val="0"/>
                      <w:sz w:val="21"/>
                      <w:szCs w:val="21"/>
                    </w:rPr>
                  </w:pPr>
                  <w:r>
                    <w:rPr>
                      <w:rFonts w:ascii="Times New Roman" w:hAnsi="Times New Roman" w:cs="Times New Roman"/>
                      <w:b/>
                      <w:bCs/>
                      <w:color w:val="000000"/>
                      <w:kern w:val="0"/>
                      <w:sz w:val="21"/>
                      <w:szCs w:val="21"/>
                    </w:rPr>
                    <w:t>排放限值</w:t>
                  </w:r>
                </w:p>
              </w:tc>
              <w:tc>
                <w:tcPr>
                  <w:tcW w:w="1302" w:type="pct"/>
                  <w:tcBorders>
                    <w:tl2br w:val="nil"/>
                    <w:tr2bl w:val="nil"/>
                  </w:tcBorders>
                  <w:noWrap w:val="0"/>
                  <w:vAlign w:val="center"/>
                </w:tcPr>
                <w:p w14:paraId="6C0E9593">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（一）锅炉：</w:t>
                  </w:r>
                </w:p>
                <w:p w14:paraId="389AF393">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1、PM、SO</w:t>
                  </w:r>
                  <w:r>
                    <w:rPr>
                      <w:rFonts w:ascii="Times New Roman" w:hAnsi="Times New Roman" w:cs="Times New Roman"/>
                      <w:color w:val="000000"/>
                      <w:kern w:val="0"/>
                      <w:sz w:val="21"/>
                      <w:szCs w:val="21"/>
                      <w:vertAlign w:val="subscript"/>
                    </w:rPr>
                    <w:t>2</w:t>
                  </w:r>
                  <w:r>
                    <w:rPr>
                      <w:rFonts w:ascii="Times New Roman" w:hAnsi="Times New Roman" w:cs="Times New Roman"/>
                      <w:color w:val="000000"/>
                      <w:kern w:val="0"/>
                      <w:sz w:val="21"/>
                      <w:szCs w:val="21"/>
                    </w:rPr>
                    <w:t>、NOx排放浓度分别不高于：</w:t>
                  </w:r>
                </w:p>
                <w:p w14:paraId="1CAAC274">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燃气：5、10、50/30</w:t>
                  </w:r>
                  <w:r>
                    <w:rPr>
                      <w:rFonts w:ascii="Times New Roman" w:hAnsi="Times New Roman" w:cs="Times New Roman"/>
                      <w:color w:val="000000"/>
                      <w:kern w:val="0"/>
                      <w:sz w:val="21"/>
                      <w:szCs w:val="21"/>
                      <w:vertAlign w:val="superscript"/>
                    </w:rPr>
                    <w:t>【4】</w:t>
                  </w:r>
                  <w:r>
                    <w:rPr>
                      <w:rFonts w:ascii="Times New Roman" w:hAnsi="Times New Roman" w:cs="Times New Roman"/>
                      <w:color w:val="000000"/>
                      <w:kern w:val="0"/>
                      <w:sz w:val="21"/>
                      <w:szCs w:val="21"/>
                    </w:rPr>
                    <w:t>mg/m</w:t>
                  </w:r>
                  <w:r>
                    <w:rPr>
                      <w:rFonts w:ascii="Times New Roman" w:hAnsi="Times New Roman" w:cs="Times New Roman"/>
                      <w:color w:val="000000"/>
                      <w:kern w:val="0"/>
                      <w:sz w:val="21"/>
                      <w:szCs w:val="21"/>
                      <w:vertAlign w:val="superscript"/>
                    </w:rPr>
                    <w:t>3</w:t>
                  </w:r>
                  <w:r>
                    <w:rPr>
                      <w:rFonts w:ascii="Times New Roman" w:hAnsi="Times New Roman" w:cs="Times New Roman"/>
                      <w:color w:val="000000"/>
                      <w:kern w:val="0"/>
                      <w:sz w:val="21"/>
                      <w:szCs w:val="21"/>
                    </w:rPr>
                    <w:t>（基准含氧量：3.5%）。</w:t>
                  </w:r>
                </w:p>
                <w:p w14:paraId="72A50751">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2、氨逃逸排放浓度不高于8mg/m</w:t>
                  </w:r>
                  <w:r>
                    <w:rPr>
                      <w:rFonts w:ascii="Times New Roman" w:hAnsi="Times New Roman" w:cs="Times New Roman"/>
                      <w:color w:val="000000"/>
                      <w:kern w:val="0"/>
                      <w:sz w:val="21"/>
                      <w:szCs w:val="21"/>
                      <w:vertAlign w:val="superscript"/>
                    </w:rPr>
                    <w:t>3</w:t>
                  </w:r>
                  <w:r>
                    <w:rPr>
                      <w:rFonts w:ascii="Times New Roman" w:hAnsi="Times New Roman" w:cs="Times New Roman"/>
                      <w:color w:val="000000"/>
                      <w:kern w:val="0"/>
                      <w:sz w:val="21"/>
                      <w:szCs w:val="21"/>
                    </w:rPr>
                    <w:t>（使用氨水、尿素作还原剂）。</w:t>
                  </w:r>
                </w:p>
                <w:p w14:paraId="7D85A7F1">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（二）加热炉、热处理炉、干燥炉：</w:t>
                  </w:r>
                </w:p>
                <w:p w14:paraId="645D341C">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PM、SO</w:t>
                  </w:r>
                  <w:r>
                    <w:rPr>
                      <w:rFonts w:ascii="Times New Roman" w:hAnsi="Times New Roman" w:cs="Times New Roman"/>
                      <w:color w:val="000000"/>
                      <w:kern w:val="0"/>
                      <w:sz w:val="21"/>
                      <w:szCs w:val="21"/>
                      <w:vertAlign w:val="subscript"/>
                    </w:rPr>
                    <w:t>2</w:t>
                  </w:r>
                  <w:r>
                    <w:rPr>
                      <w:rFonts w:ascii="Times New Roman" w:hAnsi="Times New Roman" w:cs="Times New Roman"/>
                      <w:color w:val="000000"/>
                      <w:kern w:val="0"/>
                      <w:sz w:val="21"/>
                      <w:szCs w:val="21"/>
                    </w:rPr>
                    <w:t>、NOx排放浓度分别不高于：</w:t>
                  </w:r>
                </w:p>
                <w:p w14:paraId="19EF83C4">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电窑：10mg/m</w:t>
                  </w:r>
                  <w:r>
                    <w:rPr>
                      <w:rFonts w:ascii="Times New Roman" w:hAnsi="Times New Roman" w:cs="Times New Roman"/>
                      <w:color w:val="000000"/>
                      <w:kern w:val="0"/>
                      <w:sz w:val="21"/>
                      <w:szCs w:val="21"/>
                      <w:vertAlign w:val="superscript"/>
                    </w:rPr>
                    <w:t>3</w:t>
                  </w:r>
                  <w:r>
                    <w:rPr>
                      <w:rFonts w:ascii="Times New Roman" w:hAnsi="Times New Roman" w:cs="Times New Roman"/>
                      <w:color w:val="000000"/>
                      <w:kern w:val="0"/>
                      <w:sz w:val="21"/>
                      <w:szCs w:val="21"/>
                    </w:rPr>
                    <w:t>（PM）；</w:t>
                  </w:r>
                </w:p>
                <w:p w14:paraId="43C8AA25">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燃气：10、35、50mg/m</w:t>
                  </w:r>
                  <w:r>
                    <w:rPr>
                      <w:rFonts w:ascii="Times New Roman" w:hAnsi="Times New Roman" w:cs="Times New Roman"/>
                      <w:color w:val="000000"/>
                      <w:kern w:val="0"/>
                      <w:sz w:val="21"/>
                      <w:szCs w:val="21"/>
                      <w:vertAlign w:val="superscript"/>
                    </w:rPr>
                    <w:t>3</w:t>
                  </w:r>
                  <w:r>
                    <w:rPr>
                      <w:rFonts w:ascii="Times New Roman" w:hAnsi="Times New Roman" w:cs="Times New Roman"/>
                      <w:color w:val="000000"/>
                      <w:kern w:val="0"/>
                      <w:sz w:val="21"/>
                      <w:szCs w:val="21"/>
                    </w:rPr>
                    <w:t>；（基准含氧量：燃气3.5%，电窑和因工艺需要掺入空气/非密闭式生产的按实测浓度计）。</w:t>
                  </w:r>
                </w:p>
                <w:p w14:paraId="1FAE22F5">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（三）其他炉窑：</w:t>
                  </w:r>
                </w:p>
                <w:p w14:paraId="23B98872">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PM、SO</w:t>
                  </w:r>
                  <w:r>
                    <w:rPr>
                      <w:rFonts w:ascii="Times New Roman" w:hAnsi="Times New Roman" w:cs="Times New Roman"/>
                      <w:color w:val="000000"/>
                      <w:kern w:val="0"/>
                      <w:sz w:val="21"/>
                      <w:szCs w:val="21"/>
                      <w:vertAlign w:val="subscript"/>
                    </w:rPr>
                    <w:t>2</w:t>
                  </w:r>
                  <w:r>
                    <w:rPr>
                      <w:rFonts w:ascii="Times New Roman" w:hAnsi="Times New Roman" w:cs="Times New Roman"/>
                      <w:color w:val="000000"/>
                      <w:kern w:val="0"/>
                      <w:sz w:val="21"/>
                      <w:szCs w:val="21"/>
                    </w:rPr>
                    <w:t>、NOx排放浓度分别不高于10、50、100mg/m</w:t>
                  </w:r>
                  <w:r>
                    <w:rPr>
                      <w:rFonts w:ascii="Times New Roman" w:hAnsi="Times New Roman" w:cs="Times New Roman"/>
                      <w:color w:val="000000"/>
                      <w:kern w:val="0"/>
                      <w:sz w:val="21"/>
                      <w:szCs w:val="21"/>
                      <w:vertAlign w:val="superscript"/>
                    </w:rPr>
                    <w:t>3</w:t>
                  </w:r>
                  <w:r>
                    <w:rPr>
                      <w:rFonts w:ascii="Times New Roman" w:hAnsi="Times New Roman" w:cs="Times New Roman"/>
                      <w:color w:val="000000"/>
                      <w:kern w:val="0"/>
                      <w:sz w:val="21"/>
                      <w:szCs w:val="21"/>
                    </w:rPr>
                    <w:t>（基准含氧量：9%）。</w:t>
                  </w:r>
                </w:p>
                <w:p w14:paraId="60F54F57">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（四）其他工序：</w:t>
                  </w:r>
                </w:p>
                <w:p w14:paraId="49742770">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1、PM有组织排放浓度不高于10mg/m</w:t>
                  </w:r>
                  <w:r>
                    <w:rPr>
                      <w:rFonts w:ascii="Times New Roman" w:hAnsi="Times New Roman" w:cs="Times New Roman"/>
                      <w:color w:val="000000"/>
                      <w:kern w:val="0"/>
                      <w:sz w:val="21"/>
                      <w:szCs w:val="21"/>
                      <w:vertAlign w:val="superscript"/>
                    </w:rPr>
                    <w:t>3</w:t>
                  </w:r>
                  <w:r>
                    <w:rPr>
                      <w:rFonts w:ascii="Times New Roman" w:hAnsi="Times New Roman" w:cs="Times New Roman"/>
                      <w:color w:val="000000"/>
                      <w:kern w:val="0"/>
                      <w:sz w:val="21"/>
                      <w:szCs w:val="21"/>
                    </w:rPr>
                    <w:t>。</w:t>
                  </w:r>
                </w:p>
                <w:p w14:paraId="21BB7241">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2、VOCs（以NMHC计）有组织排放浓度不高于30mg/m</w:t>
                  </w:r>
                  <w:r>
                    <w:rPr>
                      <w:rFonts w:ascii="Times New Roman" w:hAnsi="Times New Roman" w:cs="Times New Roman"/>
                      <w:color w:val="000000"/>
                      <w:kern w:val="0"/>
                      <w:sz w:val="21"/>
                      <w:szCs w:val="21"/>
                      <w:vertAlign w:val="superscript"/>
                    </w:rPr>
                    <w:t>3</w:t>
                  </w:r>
                  <w:r>
                    <w:rPr>
                      <w:rFonts w:ascii="Times New Roman" w:hAnsi="Times New Roman" w:cs="Times New Roman"/>
                      <w:color w:val="000000"/>
                      <w:kern w:val="0"/>
                      <w:sz w:val="21"/>
                      <w:szCs w:val="21"/>
                    </w:rPr>
                    <w:t>。</w:t>
                  </w:r>
                </w:p>
                <w:p w14:paraId="1D30B20C">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3、厂区内无组织排放监控点NMHC的1h平均浓度值不高于6mg/m</w:t>
                  </w:r>
                  <w:r>
                    <w:rPr>
                      <w:rFonts w:ascii="Times New Roman" w:hAnsi="Times New Roman" w:cs="Times New Roman"/>
                      <w:color w:val="000000"/>
                      <w:kern w:val="0"/>
                      <w:sz w:val="21"/>
                      <w:szCs w:val="21"/>
                      <w:vertAlign w:val="superscript"/>
                    </w:rPr>
                    <w:t>3</w:t>
                  </w:r>
                  <w:r>
                    <w:rPr>
                      <w:rFonts w:ascii="Times New Roman" w:hAnsi="Times New Roman" w:cs="Times New Roman"/>
                      <w:color w:val="000000"/>
                      <w:kern w:val="0"/>
                      <w:sz w:val="21"/>
                      <w:szCs w:val="21"/>
                    </w:rPr>
                    <w:t>、任意一次浓度值不高于20mg/m</w:t>
                  </w:r>
                  <w:r>
                    <w:rPr>
                      <w:rFonts w:ascii="Times New Roman" w:hAnsi="Times New Roman" w:cs="Times New Roman"/>
                      <w:color w:val="000000"/>
                      <w:kern w:val="0"/>
                      <w:sz w:val="21"/>
                      <w:szCs w:val="21"/>
                      <w:vertAlign w:val="superscript"/>
                    </w:rPr>
                    <w:t>3</w:t>
                  </w:r>
                  <w:r>
                    <w:rPr>
                      <w:rFonts w:ascii="Times New Roman" w:hAnsi="Times New Roman" w:cs="Times New Roman"/>
                      <w:color w:val="000000"/>
                      <w:kern w:val="0"/>
                      <w:sz w:val="21"/>
                      <w:szCs w:val="21"/>
                    </w:rPr>
                    <w:t>。</w:t>
                  </w:r>
                </w:p>
              </w:tc>
              <w:tc>
                <w:tcPr>
                  <w:tcW w:w="1416" w:type="pct"/>
                  <w:gridSpan w:val="2"/>
                  <w:tcBorders>
                    <w:tl2br w:val="nil"/>
                    <w:tr2bl w:val="nil"/>
                  </w:tcBorders>
                  <w:noWrap w:val="0"/>
                  <w:vAlign w:val="center"/>
                </w:tcPr>
                <w:p w14:paraId="1AD167DF">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（一）锅炉：</w:t>
                  </w:r>
                </w:p>
                <w:p w14:paraId="72A44338">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1、PM、SO</w:t>
                  </w:r>
                  <w:r>
                    <w:rPr>
                      <w:rFonts w:ascii="Times New Roman" w:hAnsi="Times New Roman" w:cs="Times New Roman"/>
                      <w:color w:val="000000"/>
                      <w:kern w:val="0"/>
                      <w:sz w:val="21"/>
                      <w:szCs w:val="21"/>
                      <w:vertAlign w:val="subscript"/>
                    </w:rPr>
                    <w:t>2</w:t>
                  </w:r>
                  <w:r>
                    <w:rPr>
                      <w:rFonts w:ascii="Times New Roman" w:hAnsi="Times New Roman" w:cs="Times New Roman"/>
                      <w:color w:val="000000"/>
                      <w:kern w:val="0"/>
                      <w:sz w:val="21"/>
                      <w:szCs w:val="21"/>
                    </w:rPr>
                    <w:t>、NOx排放浓度分别不高于：</w:t>
                  </w:r>
                </w:p>
                <w:p w14:paraId="714598C9">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燃煤/生物质：10、35、50mg/m</w:t>
                  </w:r>
                  <w:r>
                    <w:rPr>
                      <w:rFonts w:ascii="Times New Roman" w:hAnsi="Times New Roman" w:cs="Times New Roman"/>
                      <w:color w:val="000000"/>
                      <w:kern w:val="0"/>
                      <w:sz w:val="21"/>
                      <w:szCs w:val="21"/>
                      <w:vertAlign w:val="superscript"/>
                    </w:rPr>
                    <w:t>3</w:t>
                  </w:r>
                  <w:r>
                    <w:rPr>
                      <w:rFonts w:ascii="Times New Roman" w:hAnsi="Times New Roman" w:cs="Times New Roman"/>
                      <w:color w:val="000000"/>
                      <w:kern w:val="0"/>
                      <w:sz w:val="21"/>
                      <w:szCs w:val="21"/>
                    </w:rPr>
                    <w:t>；</w:t>
                  </w:r>
                </w:p>
                <w:p w14:paraId="62C3BA5A">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燃油：10、20、80mg/m</w:t>
                  </w:r>
                  <w:r>
                    <w:rPr>
                      <w:rFonts w:ascii="Times New Roman" w:hAnsi="Times New Roman" w:cs="Times New Roman"/>
                      <w:color w:val="000000"/>
                      <w:kern w:val="0"/>
                      <w:sz w:val="21"/>
                      <w:szCs w:val="21"/>
                      <w:vertAlign w:val="superscript"/>
                    </w:rPr>
                    <w:t>3</w:t>
                  </w:r>
                  <w:r>
                    <w:rPr>
                      <w:rFonts w:ascii="Times New Roman" w:hAnsi="Times New Roman" w:cs="Times New Roman"/>
                      <w:color w:val="000000"/>
                      <w:kern w:val="0"/>
                      <w:sz w:val="21"/>
                      <w:szCs w:val="21"/>
                    </w:rPr>
                    <w:t>；</w:t>
                  </w:r>
                </w:p>
                <w:p w14:paraId="1739C5A2">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燃气：5、10、50/30</w:t>
                  </w:r>
                  <w:r>
                    <w:rPr>
                      <w:rFonts w:ascii="Times New Roman" w:hAnsi="Times New Roman" w:cs="Times New Roman"/>
                      <w:color w:val="000000"/>
                      <w:kern w:val="0"/>
                      <w:sz w:val="21"/>
                      <w:szCs w:val="21"/>
                      <w:vertAlign w:val="superscript"/>
                    </w:rPr>
                    <w:t>【4】</w:t>
                  </w:r>
                  <w:r>
                    <w:rPr>
                      <w:rFonts w:ascii="Times New Roman" w:hAnsi="Times New Roman" w:cs="Times New Roman"/>
                      <w:color w:val="000000"/>
                      <w:kern w:val="0"/>
                      <w:sz w:val="21"/>
                      <w:szCs w:val="21"/>
                    </w:rPr>
                    <w:t>mg/m</w:t>
                  </w:r>
                  <w:r>
                    <w:rPr>
                      <w:rFonts w:ascii="Times New Roman" w:hAnsi="Times New Roman" w:cs="Times New Roman"/>
                      <w:color w:val="000000"/>
                      <w:kern w:val="0"/>
                      <w:sz w:val="21"/>
                      <w:szCs w:val="21"/>
                      <w:vertAlign w:val="superscript"/>
                    </w:rPr>
                    <w:t>3</w:t>
                  </w:r>
                  <w:r>
                    <w:rPr>
                      <w:rFonts w:ascii="Times New Roman" w:hAnsi="Times New Roman" w:cs="Times New Roman"/>
                      <w:color w:val="000000"/>
                      <w:kern w:val="0"/>
                      <w:sz w:val="21"/>
                      <w:szCs w:val="21"/>
                    </w:rPr>
                    <w:t>；</w:t>
                  </w:r>
                </w:p>
                <w:p w14:paraId="3F3B014C">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（基准含氧量：燃煤/生物质/燃油/燃气：9%/9%</w:t>
                  </w:r>
                  <w:r>
                    <w:rPr>
                      <w:rFonts w:ascii="Times New Roman" w:hAnsi="Times New Roman" w:cs="Times New Roman"/>
                      <w:color w:val="000000"/>
                      <w:kern w:val="0"/>
                      <w:sz w:val="21"/>
                      <w:szCs w:val="21"/>
                      <w:vertAlign w:val="superscript"/>
                    </w:rPr>
                    <w:t>【5】</w:t>
                  </w:r>
                  <w:r>
                    <w:rPr>
                      <w:rFonts w:ascii="Times New Roman" w:hAnsi="Times New Roman" w:cs="Times New Roman"/>
                      <w:color w:val="000000"/>
                      <w:kern w:val="0"/>
                      <w:sz w:val="21"/>
                      <w:szCs w:val="21"/>
                    </w:rPr>
                    <w:t>/3.5%/3.5%）。</w:t>
                  </w:r>
                </w:p>
                <w:p w14:paraId="27ADDC06">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2、氨逃逸排放浓度不高于8mg/m</w:t>
                  </w:r>
                  <w:r>
                    <w:rPr>
                      <w:rFonts w:ascii="Times New Roman" w:hAnsi="Times New Roman" w:cs="Times New Roman"/>
                      <w:color w:val="000000"/>
                      <w:kern w:val="0"/>
                      <w:sz w:val="21"/>
                      <w:szCs w:val="21"/>
                      <w:vertAlign w:val="superscript"/>
                    </w:rPr>
                    <w:t>3</w:t>
                  </w:r>
                  <w:r>
                    <w:rPr>
                      <w:rFonts w:ascii="Times New Roman" w:hAnsi="Times New Roman" w:cs="Times New Roman"/>
                      <w:color w:val="000000"/>
                      <w:kern w:val="0"/>
                      <w:sz w:val="21"/>
                      <w:szCs w:val="21"/>
                    </w:rPr>
                    <w:t>（使用氨水、尿素作还原剂）</w:t>
                  </w:r>
                </w:p>
                <w:p w14:paraId="3BB03EDD">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（二）加热炉、热处理炉、干燥炉：</w:t>
                  </w:r>
                </w:p>
                <w:p w14:paraId="7B1AB6D4">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PM、SO</w:t>
                  </w:r>
                  <w:r>
                    <w:rPr>
                      <w:rFonts w:ascii="Times New Roman" w:hAnsi="Times New Roman" w:cs="Times New Roman"/>
                      <w:color w:val="000000"/>
                      <w:kern w:val="0"/>
                      <w:sz w:val="21"/>
                      <w:szCs w:val="21"/>
                      <w:vertAlign w:val="subscript"/>
                    </w:rPr>
                    <w:t>2</w:t>
                  </w:r>
                  <w:r>
                    <w:rPr>
                      <w:rFonts w:ascii="Times New Roman" w:hAnsi="Times New Roman" w:cs="Times New Roman"/>
                      <w:color w:val="000000"/>
                      <w:kern w:val="0"/>
                      <w:sz w:val="21"/>
                      <w:szCs w:val="21"/>
                    </w:rPr>
                    <w:t>、NOx排放浓度分别不高于：10、50、100mg/m</w:t>
                  </w:r>
                  <w:r>
                    <w:rPr>
                      <w:rFonts w:ascii="Times New Roman" w:hAnsi="Times New Roman" w:cs="Times New Roman"/>
                      <w:color w:val="000000"/>
                      <w:kern w:val="0"/>
                      <w:sz w:val="21"/>
                      <w:szCs w:val="21"/>
                      <w:vertAlign w:val="superscript"/>
                    </w:rPr>
                    <w:t>3</w:t>
                  </w:r>
                  <w:r>
                    <w:rPr>
                      <w:rFonts w:ascii="Times New Roman" w:hAnsi="Times New Roman" w:cs="Times New Roman"/>
                      <w:color w:val="000000"/>
                      <w:kern w:val="0"/>
                      <w:sz w:val="21"/>
                      <w:szCs w:val="21"/>
                    </w:rPr>
                    <w:t>；</w:t>
                  </w:r>
                </w:p>
                <w:p w14:paraId="41D8860E">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（基准含氧量：燃油/燃煤3.5%/9%，因工艺需要掺入空气/非密闭式生产的按实测浓度计）。</w:t>
                  </w:r>
                </w:p>
                <w:p w14:paraId="7CBD32B5">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（三）其他炉窑：</w:t>
                  </w:r>
                </w:p>
                <w:p w14:paraId="153A953B">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PM、SO</w:t>
                  </w:r>
                  <w:r>
                    <w:rPr>
                      <w:rFonts w:ascii="Times New Roman" w:hAnsi="Times New Roman" w:cs="Times New Roman"/>
                      <w:color w:val="000000"/>
                      <w:kern w:val="0"/>
                      <w:sz w:val="21"/>
                      <w:szCs w:val="21"/>
                      <w:vertAlign w:val="subscript"/>
                    </w:rPr>
                    <w:t>2</w:t>
                  </w:r>
                  <w:r>
                    <w:rPr>
                      <w:rFonts w:ascii="Times New Roman" w:hAnsi="Times New Roman" w:cs="Times New Roman"/>
                      <w:color w:val="000000"/>
                      <w:kern w:val="0"/>
                      <w:sz w:val="21"/>
                      <w:szCs w:val="21"/>
                    </w:rPr>
                    <w:t>、NOx排放浓度分别不高于10、100、200mg/m</w:t>
                  </w:r>
                  <w:r>
                    <w:rPr>
                      <w:rFonts w:ascii="Times New Roman" w:hAnsi="Times New Roman" w:cs="Times New Roman"/>
                      <w:color w:val="000000"/>
                      <w:kern w:val="0"/>
                      <w:sz w:val="21"/>
                      <w:szCs w:val="21"/>
                      <w:vertAlign w:val="superscript"/>
                    </w:rPr>
                    <w:t>3</w:t>
                  </w:r>
                  <w:r>
                    <w:rPr>
                      <w:rFonts w:ascii="Times New Roman" w:hAnsi="Times New Roman" w:cs="Times New Roman"/>
                      <w:color w:val="000000"/>
                      <w:kern w:val="0"/>
                      <w:sz w:val="21"/>
                      <w:szCs w:val="21"/>
                    </w:rPr>
                    <w:t>（基准含氧量：9%）。</w:t>
                  </w:r>
                </w:p>
                <w:p w14:paraId="460D043B">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（四）其他工序：</w:t>
                  </w:r>
                </w:p>
                <w:p w14:paraId="35855C38">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1、PM有组织排放浓度不高于10mg/m</w:t>
                  </w:r>
                  <w:r>
                    <w:rPr>
                      <w:rFonts w:ascii="Times New Roman" w:hAnsi="Times New Roman" w:cs="Times New Roman"/>
                      <w:color w:val="000000"/>
                      <w:kern w:val="0"/>
                      <w:sz w:val="21"/>
                      <w:szCs w:val="21"/>
                      <w:vertAlign w:val="superscript"/>
                    </w:rPr>
                    <w:t>3</w:t>
                  </w:r>
                  <w:r>
                    <w:rPr>
                      <w:rFonts w:ascii="Times New Roman" w:hAnsi="Times New Roman" w:cs="Times New Roman"/>
                      <w:color w:val="000000"/>
                      <w:kern w:val="0"/>
                      <w:sz w:val="21"/>
                      <w:szCs w:val="21"/>
                    </w:rPr>
                    <w:t>。</w:t>
                  </w:r>
                </w:p>
                <w:p w14:paraId="6129148A">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2、VOCs（以NMHC计）有组织排放浓度不高于40mg/m</w:t>
                  </w:r>
                  <w:r>
                    <w:rPr>
                      <w:rFonts w:ascii="Times New Roman" w:hAnsi="Times New Roman" w:cs="Times New Roman"/>
                      <w:color w:val="000000"/>
                      <w:kern w:val="0"/>
                      <w:sz w:val="21"/>
                      <w:szCs w:val="21"/>
                      <w:vertAlign w:val="superscript"/>
                    </w:rPr>
                    <w:t>3</w:t>
                  </w:r>
                  <w:r>
                    <w:rPr>
                      <w:rFonts w:ascii="Times New Roman" w:hAnsi="Times New Roman" w:cs="Times New Roman"/>
                      <w:color w:val="000000"/>
                      <w:kern w:val="0"/>
                      <w:sz w:val="21"/>
                      <w:szCs w:val="21"/>
                    </w:rPr>
                    <w:t>。</w:t>
                  </w:r>
                </w:p>
                <w:p w14:paraId="78236F76">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3、厂区内无组织排放监控点NMHC的1h平均浓度值不高于6mg/m</w:t>
                  </w:r>
                  <w:r>
                    <w:rPr>
                      <w:rFonts w:ascii="Times New Roman" w:hAnsi="Times New Roman" w:cs="Times New Roman"/>
                      <w:color w:val="000000"/>
                      <w:kern w:val="0"/>
                      <w:sz w:val="21"/>
                      <w:szCs w:val="21"/>
                      <w:vertAlign w:val="superscript"/>
                    </w:rPr>
                    <w:t>3</w:t>
                  </w:r>
                  <w:r>
                    <w:rPr>
                      <w:rFonts w:ascii="Times New Roman" w:hAnsi="Times New Roman" w:cs="Times New Roman"/>
                      <w:color w:val="000000"/>
                      <w:kern w:val="0"/>
                      <w:sz w:val="21"/>
                      <w:szCs w:val="21"/>
                    </w:rPr>
                    <w:t>、任意一次浓度值不高于20mg/m</w:t>
                  </w:r>
                  <w:r>
                    <w:rPr>
                      <w:rFonts w:ascii="Times New Roman" w:hAnsi="Times New Roman" w:cs="Times New Roman"/>
                      <w:color w:val="000000"/>
                      <w:kern w:val="0"/>
                      <w:sz w:val="21"/>
                      <w:szCs w:val="21"/>
                      <w:vertAlign w:val="superscript"/>
                    </w:rPr>
                    <w:t>3</w:t>
                  </w:r>
                  <w:r>
                    <w:rPr>
                      <w:rFonts w:ascii="Times New Roman" w:hAnsi="Times New Roman" w:cs="Times New Roman"/>
                      <w:color w:val="000000"/>
                      <w:kern w:val="0"/>
                      <w:sz w:val="21"/>
                      <w:szCs w:val="21"/>
                    </w:rPr>
                    <w:t>。</w:t>
                  </w:r>
                </w:p>
              </w:tc>
              <w:tc>
                <w:tcPr>
                  <w:tcW w:w="436" w:type="pct"/>
                  <w:tcBorders>
                    <w:tl2br w:val="nil"/>
                    <w:tr2bl w:val="nil"/>
                  </w:tcBorders>
                  <w:noWrap w:val="0"/>
                  <w:vAlign w:val="center"/>
                </w:tcPr>
                <w:p w14:paraId="57BC4422">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未达到B级要求。</w:t>
                  </w:r>
                </w:p>
              </w:tc>
              <w:tc>
                <w:tcPr>
                  <w:tcW w:w="1103" w:type="pct"/>
                  <w:vMerge w:val="restart"/>
                  <w:tcBorders>
                    <w:tl2br w:val="nil"/>
                    <w:tr2bl w:val="nil"/>
                  </w:tcBorders>
                  <w:noWrap w:val="0"/>
                  <w:vAlign w:val="center"/>
                </w:tcPr>
                <w:p w14:paraId="26C94A06">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ascii="Times New Roman" w:hAnsi="Times New Roman" w:cs="Times New Roman"/>
                      <w:color w:val="000000"/>
                      <w:kern w:val="0"/>
                      <w:sz w:val="21"/>
                      <w:szCs w:val="21"/>
                    </w:rPr>
                  </w:pPr>
                  <w:r>
                    <w:rPr>
                      <w:rFonts w:hint="eastAsia" w:ascii="Times New Roman" w:hAnsi="Times New Roman" w:cs="Times New Roman"/>
                      <w:color w:val="000000"/>
                      <w:kern w:val="0"/>
                      <w:sz w:val="21"/>
                      <w:szCs w:val="21"/>
                      <w:lang w:val="en-US" w:eastAsia="zh-CN"/>
                    </w:rPr>
                    <w:t>本项目回转窑使用天然气进行燃烧，</w:t>
                  </w:r>
                  <w:r>
                    <w:rPr>
                      <w:rFonts w:ascii="Times New Roman" w:hAnsi="Times New Roman" w:cs="Times New Roman"/>
                      <w:color w:val="000000"/>
                      <w:kern w:val="0"/>
                      <w:sz w:val="21"/>
                      <w:szCs w:val="21"/>
                    </w:rPr>
                    <w:t>PM、SO</w:t>
                  </w:r>
                  <w:r>
                    <w:rPr>
                      <w:rFonts w:ascii="Times New Roman" w:hAnsi="Times New Roman" w:cs="Times New Roman"/>
                      <w:color w:val="000000"/>
                      <w:kern w:val="0"/>
                      <w:sz w:val="21"/>
                      <w:szCs w:val="21"/>
                      <w:vertAlign w:val="subscript"/>
                    </w:rPr>
                    <w:t>2</w:t>
                  </w:r>
                  <w:r>
                    <w:rPr>
                      <w:rFonts w:ascii="Times New Roman" w:hAnsi="Times New Roman" w:cs="Times New Roman"/>
                      <w:color w:val="000000"/>
                      <w:kern w:val="0"/>
                      <w:sz w:val="21"/>
                      <w:szCs w:val="21"/>
                    </w:rPr>
                    <w:t>、NOx排放浓度分别不高于：10、50、100mg/m</w:t>
                  </w:r>
                  <w:r>
                    <w:rPr>
                      <w:rFonts w:ascii="Times New Roman" w:hAnsi="Times New Roman" w:cs="Times New Roman"/>
                      <w:color w:val="000000"/>
                      <w:kern w:val="0"/>
                      <w:sz w:val="21"/>
                      <w:szCs w:val="21"/>
                      <w:vertAlign w:val="superscript"/>
                    </w:rPr>
                    <w:t>3</w:t>
                  </w:r>
                  <w:r>
                    <w:rPr>
                      <w:rFonts w:ascii="Times New Roman" w:hAnsi="Times New Roman" w:cs="Times New Roman"/>
                      <w:color w:val="000000"/>
                      <w:kern w:val="0"/>
                      <w:sz w:val="21"/>
                      <w:szCs w:val="21"/>
                    </w:rPr>
                    <w:t>。</w:t>
                  </w:r>
                </w:p>
              </w:tc>
              <w:tc>
                <w:tcPr>
                  <w:tcW w:w="359" w:type="pct"/>
                  <w:vMerge w:val="restart"/>
                  <w:tcBorders>
                    <w:tl2br w:val="nil"/>
                    <w:tr2bl w:val="nil"/>
                  </w:tcBorders>
                  <w:noWrap w:val="0"/>
                  <w:vAlign w:val="center"/>
                </w:tcPr>
                <w:p w14:paraId="15115FBD">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符合</w:t>
                  </w:r>
                </w:p>
              </w:tc>
            </w:tr>
            <w:tr w14:paraId="6BBAD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 w:hRule="atLeast"/>
              </w:trPr>
              <w:tc>
                <w:tcPr>
                  <w:tcW w:w="380" w:type="pct"/>
                  <w:vMerge w:val="continue"/>
                  <w:tcBorders>
                    <w:tl2br w:val="nil"/>
                    <w:tr2bl w:val="nil"/>
                  </w:tcBorders>
                  <w:noWrap w:val="0"/>
                  <w:vAlign w:val="center"/>
                </w:tcPr>
                <w:p w14:paraId="1E0996A6">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sz w:val="21"/>
                      <w:szCs w:val="21"/>
                    </w:rPr>
                  </w:pPr>
                </w:p>
              </w:tc>
              <w:tc>
                <w:tcPr>
                  <w:tcW w:w="3155" w:type="pct"/>
                  <w:gridSpan w:val="4"/>
                  <w:tcBorders>
                    <w:tl2br w:val="nil"/>
                    <w:tr2bl w:val="nil"/>
                  </w:tcBorders>
                  <w:noWrap w:val="0"/>
                  <w:vAlign w:val="center"/>
                </w:tcPr>
                <w:p w14:paraId="38CB8503">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备注：各项污染物稳定达到以上排放控制要求。</w:t>
                  </w:r>
                </w:p>
              </w:tc>
              <w:tc>
                <w:tcPr>
                  <w:tcW w:w="1103" w:type="pct"/>
                  <w:vMerge w:val="continue"/>
                  <w:tcBorders>
                    <w:tl2br w:val="nil"/>
                    <w:tr2bl w:val="nil"/>
                  </w:tcBorders>
                  <w:noWrap w:val="0"/>
                  <w:vAlign w:val="center"/>
                </w:tcPr>
                <w:p w14:paraId="34EE0108">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kern w:val="0"/>
                      <w:sz w:val="21"/>
                      <w:szCs w:val="21"/>
                    </w:rPr>
                  </w:pPr>
                </w:p>
              </w:tc>
              <w:tc>
                <w:tcPr>
                  <w:tcW w:w="359" w:type="pct"/>
                  <w:vMerge w:val="continue"/>
                  <w:tcBorders>
                    <w:tl2br w:val="nil"/>
                    <w:tr2bl w:val="nil"/>
                  </w:tcBorders>
                  <w:noWrap w:val="0"/>
                  <w:vAlign w:val="center"/>
                </w:tcPr>
                <w:p w14:paraId="5A326BBB">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kern w:val="0"/>
                      <w:sz w:val="21"/>
                      <w:szCs w:val="21"/>
                    </w:rPr>
                  </w:pPr>
                </w:p>
              </w:tc>
            </w:tr>
            <w:tr w14:paraId="31DAE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380" w:type="pct"/>
                  <w:tcBorders>
                    <w:tl2br w:val="nil"/>
                    <w:tr2bl w:val="nil"/>
                  </w:tcBorders>
                  <w:noWrap w:val="0"/>
                  <w:vAlign w:val="center"/>
                </w:tcPr>
                <w:p w14:paraId="45942C60">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ascii="Times New Roman" w:hAnsi="Times New Roman" w:cs="Times New Roman"/>
                      <w:b/>
                      <w:bCs/>
                      <w:color w:val="000000"/>
                      <w:kern w:val="0"/>
                      <w:sz w:val="21"/>
                      <w:szCs w:val="21"/>
                    </w:rPr>
                  </w:pPr>
                  <w:r>
                    <w:rPr>
                      <w:rFonts w:ascii="Times New Roman" w:hAnsi="Times New Roman" w:cs="Times New Roman"/>
                      <w:b/>
                      <w:bCs/>
                      <w:color w:val="000000"/>
                      <w:kern w:val="0"/>
                      <w:sz w:val="21"/>
                      <w:szCs w:val="21"/>
                    </w:rPr>
                    <w:t>监测监控水平</w:t>
                  </w:r>
                </w:p>
              </w:tc>
              <w:tc>
                <w:tcPr>
                  <w:tcW w:w="3155" w:type="pct"/>
                  <w:gridSpan w:val="4"/>
                  <w:tcBorders>
                    <w:tl2br w:val="nil"/>
                    <w:tr2bl w:val="nil"/>
                  </w:tcBorders>
                  <w:noWrap w:val="0"/>
                  <w:vAlign w:val="center"/>
                </w:tcPr>
                <w:p w14:paraId="2FCC46DF">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1、重点排污单位及排污许可重点管理单位主要排口应当安装污染物排放自动监测设备（CEMS），并与生态环境主管部门的监控设备联网，数据保存一年以上（投产或安装时间不满一年以上的企业，以现有数据为准）。</w:t>
                  </w:r>
                </w:p>
                <w:p w14:paraId="6345E835">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2、按照排污许可证、行业自行监测指南或排污单位自行监测技术指南等相关要求开展自行监测。</w:t>
                  </w:r>
                </w:p>
                <w:p w14:paraId="3B7129D5">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3、涉气生产工序、生产装置及污染治理设施按要求安装用电监管设备，用电监管数据按要求与省、市管理部门用电监管平台联网。</w:t>
                  </w:r>
                </w:p>
                <w:p w14:paraId="163B4AD7">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4、企业主要环保设施及生产设施安装分布式控制系统（DCS）或可保存和查看历史数据的可编程控制系统（PLC），记录企业环保设施运行及相关生产过程主要参数，数据保存一年以上。</w:t>
                  </w:r>
                </w:p>
              </w:tc>
              <w:tc>
                <w:tcPr>
                  <w:tcW w:w="1103" w:type="pct"/>
                  <w:tcBorders>
                    <w:tl2br w:val="nil"/>
                    <w:tr2bl w:val="nil"/>
                  </w:tcBorders>
                  <w:noWrap w:val="0"/>
                  <w:vAlign w:val="center"/>
                </w:tcPr>
                <w:p w14:paraId="531825BA">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项目按照排污许可证、行业自行监测指南或排污单位自行监测技术指南等相关要求开展自行监测。</w:t>
                  </w:r>
                </w:p>
              </w:tc>
              <w:tc>
                <w:tcPr>
                  <w:tcW w:w="359" w:type="pct"/>
                  <w:tcBorders>
                    <w:tl2br w:val="nil"/>
                    <w:tr2bl w:val="nil"/>
                  </w:tcBorders>
                  <w:noWrap w:val="0"/>
                  <w:vAlign w:val="center"/>
                </w:tcPr>
                <w:p w14:paraId="22ABDC93">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符合</w:t>
                  </w:r>
                </w:p>
              </w:tc>
            </w:tr>
            <w:tr w14:paraId="760B9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380" w:type="pct"/>
                  <w:tcBorders>
                    <w:tl2br w:val="nil"/>
                    <w:tr2bl w:val="nil"/>
                  </w:tcBorders>
                  <w:noWrap w:val="0"/>
                  <w:vAlign w:val="center"/>
                </w:tcPr>
                <w:p w14:paraId="0AA090AC">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ascii="Times New Roman" w:hAnsi="Times New Roman" w:cs="Times New Roman"/>
                      <w:b/>
                      <w:bCs/>
                      <w:color w:val="000000"/>
                      <w:kern w:val="0"/>
                      <w:sz w:val="21"/>
                      <w:szCs w:val="21"/>
                    </w:rPr>
                  </w:pPr>
                  <w:r>
                    <w:rPr>
                      <w:rFonts w:ascii="Times New Roman" w:hAnsi="Times New Roman" w:cs="Times New Roman"/>
                      <w:b/>
                      <w:bCs/>
                      <w:color w:val="000000"/>
                      <w:kern w:val="0"/>
                      <w:sz w:val="21"/>
                      <w:szCs w:val="21"/>
                    </w:rPr>
                    <w:t>运输方式</w:t>
                  </w:r>
                </w:p>
              </w:tc>
              <w:tc>
                <w:tcPr>
                  <w:tcW w:w="1302" w:type="pct"/>
                  <w:tcBorders>
                    <w:tl2br w:val="nil"/>
                    <w:tr2bl w:val="nil"/>
                  </w:tcBorders>
                  <w:noWrap w:val="0"/>
                  <w:vAlign w:val="center"/>
                </w:tcPr>
                <w:p w14:paraId="079A5A95">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1、物料公路运输全部使用国五及以上排放标准重型载货车辆（含燃气）或新能源车辆等清洁运输方式。</w:t>
                  </w:r>
                </w:p>
                <w:p w14:paraId="373499BE">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2、厂内运输车辆全部达到国五及以上排放标准（含燃气）或使用新能源车辆。</w:t>
                  </w:r>
                </w:p>
                <w:p w14:paraId="1172A3B6">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3、厂内非道路移动机械全部达到国三及以上排放标准或使用新能源机械。</w:t>
                  </w:r>
                </w:p>
                <w:p w14:paraId="2FA3097B">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4、危险品及危废运输全部使用国五及以上或新能源车辆。</w:t>
                  </w:r>
                </w:p>
              </w:tc>
              <w:tc>
                <w:tcPr>
                  <w:tcW w:w="1416" w:type="pct"/>
                  <w:gridSpan w:val="2"/>
                  <w:tcBorders>
                    <w:tl2br w:val="nil"/>
                    <w:tr2bl w:val="nil"/>
                  </w:tcBorders>
                  <w:noWrap w:val="0"/>
                  <w:vAlign w:val="center"/>
                </w:tcPr>
                <w:p w14:paraId="474E8BC5">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1、物料公路运输使用国五及以上排放标准重型载货车辆（含燃气）或新能源车辆等清洁运输方式比例不低于80%。</w:t>
                  </w:r>
                </w:p>
                <w:p w14:paraId="6C3CA48A">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2、厂内运输车辆达到国五及以上排放标准（含燃气）或使用新能源车辆的比例不低于80%。</w:t>
                  </w:r>
                </w:p>
                <w:p w14:paraId="4CC4CDDE">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3、厂内非道路移动机械达到国三及以上排放标准或使用新能源机械的比例不低于80%。</w:t>
                  </w:r>
                </w:p>
                <w:p w14:paraId="723DF297">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4、危险品及危废运输全部使用国五及以上或新能源车辆。</w:t>
                  </w:r>
                </w:p>
              </w:tc>
              <w:tc>
                <w:tcPr>
                  <w:tcW w:w="436" w:type="pct"/>
                  <w:tcBorders>
                    <w:tl2br w:val="nil"/>
                    <w:tr2bl w:val="nil"/>
                  </w:tcBorders>
                  <w:noWrap w:val="0"/>
                  <w:vAlign w:val="center"/>
                </w:tcPr>
                <w:p w14:paraId="61BA7913">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未达到B级要求</w:t>
                  </w:r>
                </w:p>
              </w:tc>
              <w:tc>
                <w:tcPr>
                  <w:tcW w:w="1103" w:type="pct"/>
                  <w:tcBorders>
                    <w:tl2br w:val="nil"/>
                    <w:tr2bl w:val="nil"/>
                  </w:tcBorders>
                  <w:noWrap w:val="0"/>
                  <w:vAlign w:val="center"/>
                </w:tcPr>
                <w:p w14:paraId="4B4C9717">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物料公路运输、危险废物运输均使用国五排放标准重型载货车辆。</w:t>
                  </w:r>
                </w:p>
              </w:tc>
              <w:tc>
                <w:tcPr>
                  <w:tcW w:w="359" w:type="pct"/>
                  <w:tcBorders>
                    <w:tl2br w:val="nil"/>
                    <w:tr2bl w:val="nil"/>
                  </w:tcBorders>
                  <w:noWrap w:val="0"/>
                  <w:vAlign w:val="center"/>
                </w:tcPr>
                <w:p w14:paraId="30DA2178">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符合</w:t>
                  </w:r>
                </w:p>
              </w:tc>
            </w:tr>
            <w:tr w14:paraId="0A28E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380" w:type="pct"/>
                  <w:tcBorders>
                    <w:tl2br w:val="nil"/>
                    <w:tr2bl w:val="nil"/>
                  </w:tcBorders>
                  <w:noWrap w:val="0"/>
                  <w:vAlign w:val="center"/>
                </w:tcPr>
                <w:p w14:paraId="116FCE65">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ascii="Times New Roman" w:hAnsi="Times New Roman" w:cs="Times New Roman"/>
                      <w:b/>
                      <w:bCs/>
                      <w:color w:val="000000"/>
                      <w:kern w:val="0"/>
                      <w:sz w:val="21"/>
                      <w:szCs w:val="21"/>
                    </w:rPr>
                  </w:pPr>
                  <w:r>
                    <w:rPr>
                      <w:rFonts w:ascii="Times New Roman" w:hAnsi="Times New Roman" w:cs="Times New Roman"/>
                      <w:b/>
                      <w:bCs/>
                      <w:color w:val="000000"/>
                      <w:kern w:val="0"/>
                      <w:sz w:val="21"/>
                      <w:szCs w:val="21"/>
                    </w:rPr>
                    <w:t>运输监管</w:t>
                  </w:r>
                </w:p>
              </w:tc>
              <w:tc>
                <w:tcPr>
                  <w:tcW w:w="2719" w:type="pct"/>
                  <w:gridSpan w:val="3"/>
                  <w:tcBorders>
                    <w:tl2br w:val="nil"/>
                    <w:tr2bl w:val="nil"/>
                  </w:tcBorders>
                  <w:noWrap w:val="0"/>
                  <w:vAlign w:val="center"/>
                </w:tcPr>
                <w:p w14:paraId="1D4F4AB4">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1、年度日均载货车辆进出10辆次及以上的单位，应参照《重污染天气重点行业移动源应急管理技术指南》建立门禁视频监控系统和电子台账。</w:t>
                  </w:r>
                </w:p>
                <w:p w14:paraId="79EC3FB5">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2、其他企业建立车辆进出台账。</w:t>
                  </w:r>
                </w:p>
              </w:tc>
              <w:tc>
                <w:tcPr>
                  <w:tcW w:w="436" w:type="pct"/>
                  <w:tcBorders>
                    <w:tl2br w:val="nil"/>
                    <w:tr2bl w:val="nil"/>
                  </w:tcBorders>
                  <w:noWrap w:val="0"/>
                  <w:vAlign w:val="center"/>
                </w:tcPr>
                <w:p w14:paraId="180C89A3">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未达到A、B级要求</w:t>
                  </w:r>
                </w:p>
              </w:tc>
              <w:tc>
                <w:tcPr>
                  <w:tcW w:w="1103" w:type="pct"/>
                  <w:tcBorders>
                    <w:tl2br w:val="nil"/>
                    <w:tr2bl w:val="nil"/>
                  </w:tcBorders>
                  <w:noWrap w:val="0"/>
                  <w:vAlign w:val="center"/>
                </w:tcPr>
                <w:p w14:paraId="5DF7C833">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企业建立门禁视频监控系统和车辆进出台账。</w:t>
                  </w:r>
                </w:p>
              </w:tc>
              <w:tc>
                <w:tcPr>
                  <w:tcW w:w="359" w:type="pct"/>
                  <w:tcBorders>
                    <w:tl2br w:val="nil"/>
                    <w:tr2bl w:val="nil"/>
                  </w:tcBorders>
                  <w:noWrap w:val="0"/>
                  <w:vAlign w:val="center"/>
                </w:tcPr>
                <w:p w14:paraId="3B7F158F">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符合</w:t>
                  </w:r>
                </w:p>
              </w:tc>
            </w:tr>
            <w:tr w14:paraId="48AC6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 w:hRule="atLeast"/>
              </w:trPr>
              <w:tc>
                <w:tcPr>
                  <w:tcW w:w="5000" w:type="pct"/>
                  <w:gridSpan w:val="7"/>
                  <w:tcBorders>
                    <w:tl2br w:val="nil"/>
                    <w:tr2bl w:val="nil"/>
                  </w:tcBorders>
                  <w:noWrap w:val="0"/>
                  <w:vAlign w:val="center"/>
                </w:tcPr>
                <w:p w14:paraId="14A30003">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left"/>
                    <w:textAlignment w:val="auto"/>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备注</w:t>
                  </w:r>
                  <w:r>
                    <w:rPr>
                      <w:rFonts w:ascii="Times New Roman" w:hAnsi="Times New Roman" w:cs="Times New Roman"/>
                      <w:color w:val="000000"/>
                      <w:kern w:val="0"/>
                      <w:sz w:val="21"/>
                      <w:szCs w:val="21"/>
                      <w:vertAlign w:val="superscript"/>
                    </w:rPr>
                    <w:t>【1】</w:t>
                  </w:r>
                  <w:r>
                    <w:rPr>
                      <w:rFonts w:ascii="Times New Roman" w:hAnsi="Times New Roman" w:cs="Times New Roman"/>
                      <w:color w:val="000000"/>
                      <w:kern w:val="0"/>
                      <w:sz w:val="21"/>
                      <w:szCs w:val="21"/>
                    </w:rPr>
                    <w:t>：燃气锅炉在PM稳定达到排放限值情况下可不采用除尘工艺。</w:t>
                  </w:r>
                </w:p>
                <w:p w14:paraId="020A64F7">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left"/>
                    <w:textAlignment w:val="auto"/>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备注</w:t>
                  </w:r>
                  <w:r>
                    <w:rPr>
                      <w:rFonts w:ascii="Times New Roman" w:hAnsi="Times New Roman" w:cs="Times New Roman"/>
                      <w:color w:val="000000"/>
                      <w:kern w:val="0"/>
                      <w:sz w:val="21"/>
                      <w:szCs w:val="21"/>
                      <w:vertAlign w:val="superscript"/>
                    </w:rPr>
                    <w:t>【2】</w:t>
                  </w:r>
                  <w:r>
                    <w:rPr>
                      <w:rFonts w:ascii="Times New Roman" w:hAnsi="Times New Roman" w:cs="Times New Roman"/>
                      <w:color w:val="000000"/>
                      <w:kern w:val="0"/>
                      <w:sz w:val="21"/>
                      <w:szCs w:val="21"/>
                    </w:rPr>
                    <w:t>：温度低于800℃的燃气/燃油的干燥窑、热处理窑和燃气/生物质锅炉，在稳定达到排放限值情况下可不采用SCR/SNCR等工艺。</w:t>
                  </w:r>
                </w:p>
                <w:p w14:paraId="4ED2E042">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left"/>
                    <w:textAlignment w:val="auto"/>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备注</w:t>
                  </w:r>
                  <w:r>
                    <w:rPr>
                      <w:rFonts w:ascii="Times New Roman" w:hAnsi="Times New Roman" w:cs="Times New Roman"/>
                      <w:color w:val="000000"/>
                      <w:kern w:val="0"/>
                      <w:sz w:val="21"/>
                      <w:szCs w:val="21"/>
                      <w:vertAlign w:val="superscript"/>
                    </w:rPr>
                    <w:t>【3】</w:t>
                  </w:r>
                  <w:r>
                    <w:rPr>
                      <w:rFonts w:ascii="Times New Roman" w:hAnsi="Times New Roman" w:cs="Times New Roman"/>
                      <w:color w:val="000000"/>
                      <w:kern w:val="0"/>
                      <w:sz w:val="21"/>
                      <w:szCs w:val="21"/>
                    </w:rPr>
                    <w:t>：采用纯生物质锅炉、窑炉，在SO</w:t>
                  </w:r>
                  <w:r>
                    <w:rPr>
                      <w:rFonts w:ascii="Times New Roman" w:hAnsi="Times New Roman" w:cs="Times New Roman"/>
                      <w:color w:val="000000"/>
                      <w:kern w:val="0"/>
                      <w:sz w:val="21"/>
                      <w:szCs w:val="21"/>
                      <w:vertAlign w:val="subscript"/>
                    </w:rPr>
                    <w:t>2</w:t>
                  </w:r>
                  <w:r>
                    <w:rPr>
                      <w:rFonts w:ascii="Times New Roman" w:hAnsi="Times New Roman" w:cs="Times New Roman"/>
                      <w:color w:val="000000"/>
                      <w:kern w:val="0"/>
                      <w:sz w:val="21"/>
                      <w:szCs w:val="21"/>
                    </w:rPr>
                    <w:t>稳定达到排放限值情况下可不采用脱硫工艺。</w:t>
                  </w:r>
                </w:p>
                <w:p w14:paraId="2A0855A1">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left"/>
                    <w:textAlignment w:val="auto"/>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备注</w:t>
                  </w:r>
                  <w:r>
                    <w:rPr>
                      <w:rFonts w:ascii="Times New Roman" w:hAnsi="Times New Roman" w:cs="Times New Roman"/>
                      <w:color w:val="000000"/>
                      <w:kern w:val="0"/>
                      <w:sz w:val="21"/>
                      <w:szCs w:val="21"/>
                      <w:vertAlign w:val="superscript"/>
                    </w:rPr>
                    <w:t>【4】</w:t>
                  </w:r>
                  <w:r>
                    <w:rPr>
                      <w:rFonts w:ascii="Times New Roman" w:hAnsi="Times New Roman" w:cs="Times New Roman"/>
                      <w:color w:val="000000"/>
                      <w:kern w:val="0"/>
                      <w:sz w:val="21"/>
                      <w:szCs w:val="21"/>
                    </w:rPr>
                    <w:t>：新建燃气锅炉和需要采取特别保护措施的区域，执行该排放限值。</w:t>
                  </w:r>
                </w:p>
                <w:p w14:paraId="56A961D9">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left"/>
                    <w:textAlignment w:val="auto"/>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备注</w:t>
                  </w:r>
                  <w:r>
                    <w:rPr>
                      <w:rFonts w:ascii="Times New Roman" w:hAnsi="Times New Roman" w:cs="Times New Roman"/>
                      <w:color w:val="000000"/>
                      <w:kern w:val="0"/>
                      <w:sz w:val="21"/>
                      <w:szCs w:val="21"/>
                      <w:vertAlign w:val="superscript"/>
                    </w:rPr>
                    <w:t>【5】</w:t>
                  </w:r>
                  <w:r>
                    <w:rPr>
                      <w:rFonts w:ascii="Times New Roman" w:hAnsi="Times New Roman" w:cs="Times New Roman"/>
                      <w:color w:val="000000"/>
                      <w:kern w:val="0"/>
                      <w:sz w:val="21"/>
                      <w:szCs w:val="21"/>
                    </w:rPr>
                    <w:t>：不包含生物质/垃圾焚烧发电。</w:t>
                  </w:r>
                </w:p>
                <w:p w14:paraId="7320AF06">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left"/>
                    <w:textAlignment w:val="auto"/>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备注</w:t>
                  </w:r>
                  <w:r>
                    <w:rPr>
                      <w:rFonts w:ascii="Times New Roman" w:hAnsi="Times New Roman" w:cs="Times New Roman"/>
                      <w:color w:val="000000"/>
                      <w:kern w:val="0"/>
                      <w:sz w:val="21"/>
                      <w:szCs w:val="21"/>
                      <w:vertAlign w:val="superscript"/>
                    </w:rPr>
                    <w:t>【6】</w:t>
                  </w:r>
                  <w:r>
                    <w:rPr>
                      <w:rFonts w:ascii="Times New Roman" w:hAnsi="Times New Roman" w:cs="Times New Roman"/>
                      <w:color w:val="000000"/>
                      <w:kern w:val="0"/>
                      <w:sz w:val="21"/>
                      <w:szCs w:val="21"/>
                    </w:rPr>
                    <w:t>：主要排放口按照《排污许可证申请与核发技术规范XX工业》确定。</w:t>
                  </w:r>
                </w:p>
              </w:tc>
            </w:tr>
          </w:tbl>
          <w:p w14:paraId="7C933F05">
            <w:pPr>
              <w:pStyle w:val="3"/>
              <w:spacing w:before="0" w:beforeLines="0"/>
              <w:ind w:firstLine="480" w:firstLineChars="200"/>
            </w:pPr>
            <w:r>
              <w:rPr>
                <w:b w:val="0"/>
                <w:bCs/>
                <w:color w:val="000000"/>
                <w:kern w:val="0"/>
                <w:sz w:val="24"/>
              </w:rPr>
              <w:t>根据上表所述，本项目</w:t>
            </w:r>
            <w:r>
              <w:rPr>
                <w:rFonts w:hint="eastAsia"/>
                <w:b w:val="0"/>
                <w:bCs/>
                <w:color w:val="000000"/>
                <w:kern w:val="0"/>
                <w:sz w:val="24"/>
                <w:lang w:val="en-US" w:eastAsia="zh-CN"/>
              </w:rPr>
              <w:t>建设能达到A级标准，</w:t>
            </w:r>
            <w:r>
              <w:rPr>
                <w:b w:val="0"/>
                <w:bCs/>
                <w:color w:val="000000"/>
                <w:kern w:val="0"/>
                <w:sz w:val="24"/>
                <w:lang w:bidi="ar"/>
              </w:rPr>
              <w:t>与《</w:t>
            </w:r>
            <w:r>
              <w:rPr>
                <w:b w:val="0"/>
                <w:bCs/>
                <w:color w:val="000000"/>
                <w:sz w:val="24"/>
              </w:rPr>
              <w:t>四川省重污染天气金属表面处理及热处理加工等10个行业应急减排措施制定技术指南（2024年修订版</w:t>
            </w:r>
            <w:r>
              <w:rPr>
                <w:b w:val="0"/>
                <w:bCs/>
                <w:color w:val="000000"/>
                <w:kern w:val="0"/>
                <w:sz w:val="24"/>
                <w:lang w:bidi="ar"/>
              </w:rPr>
              <w:t>》（川环办函〔2024〕337号）中</w:t>
            </w:r>
            <w:r>
              <w:rPr>
                <w:rFonts w:hint="eastAsia" w:ascii="宋体" w:hAnsi="宋体" w:eastAsia="宋体" w:cs="宋体"/>
                <w:b w:val="0"/>
                <w:bCs/>
                <w:color w:val="000000"/>
                <w:kern w:val="0"/>
                <w:sz w:val="24"/>
                <w:lang w:bidi="ar"/>
              </w:rPr>
              <w:t>“通用行业”</w:t>
            </w:r>
            <w:r>
              <w:rPr>
                <w:b w:val="0"/>
                <w:bCs/>
                <w:color w:val="000000"/>
                <w:kern w:val="0"/>
                <w:sz w:val="24"/>
                <w:lang w:bidi="ar"/>
              </w:rPr>
              <w:t>企业绩效分级指标相符。</w:t>
            </w:r>
            <w:r>
              <w:br w:type="textWrapping"/>
            </w:r>
            <w:r>
              <w:rPr>
                <w:rFonts w:hint="eastAsia"/>
                <w:lang w:val="en-US" w:eastAsia="zh-CN"/>
              </w:rPr>
              <w:t>12、</w:t>
            </w:r>
            <w:r>
              <w:t>外环境关系及选址合理性分析</w:t>
            </w:r>
          </w:p>
          <w:p w14:paraId="27F92F40">
            <w:pPr>
              <w:ind w:firstLine="480"/>
              <w:rPr>
                <w:rFonts w:hint="default" w:ascii="Times New Roman" w:hAnsi="Times New Roman" w:cs="Times New Roman"/>
              </w:rPr>
            </w:pPr>
            <w:r>
              <w:rPr>
                <w:rFonts w:hint="default" w:ascii="Times New Roman" w:hAnsi="Times New Roman" w:cs="Times New Roman"/>
              </w:rPr>
              <w:t>（1）外环境情况</w:t>
            </w:r>
          </w:p>
          <w:p w14:paraId="7615E5A7">
            <w:pPr>
              <w:ind w:firstLine="480"/>
              <w:rPr>
                <w:rFonts w:hint="default" w:ascii="Times New Roman" w:hAnsi="Times New Roman" w:cs="Times New Roman"/>
              </w:rPr>
            </w:pPr>
            <w:r>
              <w:rPr>
                <w:rFonts w:hint="default" w:ascii="Times New Roman" w:hAnsi="Times New Roman" w:cs="Times New Roman"/>
              </w:rPr>
              <w:t>本项目位于四川平昌经济开发区星光工业园施迈路1号（1号厂房、2号厂房、3号厂房），本项目已取得园区入园许可，符合规划要求。本项目租赁四川金联玉合电气有限公司-原单位名称为四川施迈电气有限公司）已建成的1号厂房、2号厂房、3号厂房建设本项目。周边总体上以其他工业企业、空置厂房及居民为主。本项目外环境关系如下：</w:t>
            </w:r>
          </w:p>
          <w:p w14:paraId="0ABC45B7">
            <w:pPr>
              <w:ind w:firstLine="480"/>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cs="Times New Roman"/>
                <w:lang w:val="en-US" w:eastAsia="zh-CN"/>
              </w:rPr>
              <w:t>所在厂区：</w:t>
            </w:r>
            <w:r>
              <w:rPr>
                <w:rFonts w:hint="default" w:ascii="Times New Roman" w:hAnsi="Times New Roman" w:eastAsia="宋体" w:cs="Times New Roman"/>
                <w:color w:val="000000"/>
                <w:kern w:val="0"/>
                <w:sz w:val="24"/>
                <w:szCs w:val="24"/>
                <w:lang w:val="en-US" w:eastAsia="zh-CN" w:bidi="ar"/>
              </w:rPr>
              <w:t>租赁厂房所在厂区已建设完成，共建设6栋标准化厂房，1栋临时厂房，1栋办公楼，1栋宿舍楼（原为办公区，现状实际用途为宿舍楼）。</w:t>
            </w:r>
          </w:p>
          <w:p w14:paraId="4E6F5559">
            <w:pPr>
              <w:ind w:firstLine="480"/>
              <w:rPr>
                <w:rFonts w:hint="default" w:ascii="Times New Roman" w:hAnsi="Times New Roman"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现状4号厂房为四川三科共兴再生资源有限公司（固废综合利用）</w:t>
            </w:r>
            <w:r>
              <w:rPr>
                <w:rFonts w:hint="default" w:ascii="Times New Roman" w:hAnsi="Times New Roman" w:cs="Times New Roman"/>
                <w:color w:val="000000"/>
                <w:kern w:val="0"/>
                <w:sz w:val="24"/>
                <w:szCs w:val="24"/>
                <w:lang w:val="en-US" w:eastAsia="zh-CN" w:bidi="ar"/>
              </w:rPr>
              <w:t>、</w:t>
            </w:r>
            <w:r>
              <w:rPr>
                <w:rFonts w:hint="eastAsia" w:cs="Times New Roman"/>
                <w:color w:val="000000"/>
                <w:kern w:val="0"/>
                <w:sz w:val="24"/>
                <w:szCs w:val="24"/>
                <w:lang w:val="en-US" w:eastAsia="zh-CN" w:bidi="ar"/>
              </w:rPr>
              <w:t>5号厂房为中石油钻井泥浆配置站、</w:t>
            </w:r>
            <w:r>
              <w:rPr>
                <w:rFonts w:hint="default" w:ascii="Times New Roman" w:hAnsi="Times New Roman" w:cs="Times New Roman"/>
                <w:color w:val="000000"/>
                <w:kern w:val="0"/>
                <w:sz w:val="24"/>
                <w:szCs w:val="24"/>
                <w:lang w:val="en-US" w:eastAsia="zh-CN" w:bidi="ar"/>
              </w:rPr>
              <w:t>6号厂房为</w:t>
            </w:r>
            <w:r>
              <w:rPr>
                <w:rFonts w:hint="eastAsia" w:cs="Times New Roman"/>
                <w:color w:val="000000"/>
                <w:kern w:val="0"/>
                <w:sz w:val="24"/>
                <w:szCs w:val="24"/>
                <w:lang w:val="en-US" w:eastAsia="zh-CN" w:bidi="ar"/>
              </w:rPr>
              <w:t>中石油钻井泥浆配置站原料仓库</w:t>
            </w:r>
            <w:r>
              <w:rPr>
                <w:rFonts w:hint="default" w:ascii="Times New Roman" w:hAnsi="Times New Roman" w:eastAsia="宋体" w:cs="Times New Roman"/>
                <w:color w:val="000000"/>
                <w:kern w:val="0"/>
                <w:sz w:val="24"/>
                <w:szCs w:val="24"/>
                <w:lang w:val="en-US" w:eastAsia="zh-CN" w:bidi="ar"/>
              </w:rPr>
              <w:t>。</w:t>
            </w:r>
            <w:r>
              <w:rPr>
                <w:rFonts w:hint="default" w:ascii="Times New Roman" w:hAnsi="Times New Roman" w:cs="Times New Roman"/>
                <w:color w:val="000000"/>
                <w:kern w:val="0"/>
                <w:sz w:val="24"/>
                <w:szCs w:val="24"/>
                <w:lang w:val="en-US" w:eastAsia="zh-CN" w:bidi="ar"/>
              </w:rPr>
              <w:t>已建现状办公楼为空置状态，宿舍楼有少量其他公司人员住宿及办公。</w:t>
            </w:r>
          </w:p>
          <w:p w14:paraId="77984D5A">
            <w:pPr>
              <w:ind w:firstLine="480"/>
              <w:rPr>
                <w:rFonts w:hint="default" w:ascii="Times New Roman" w:hAnsi="Times New Roman" w:cs="Times New Roman"/>
                <w:color w:val="000000"/>
                <w:kern w:val="0"/>
                <w:sz w:val="24"/>
                <w:szCs w:val="24"/>
                <w:lang w:val="en-US" w:eastAsia="zh-CN" w:bidi="ar"/>
              </w:rPr>
            </w:pPr>
            <w:r>
              <w:rPr>
                <w:rFonts w:hint="default" w:ascii="Times New Roman" w:hAnsi="Times New Roman" w:cs="Times New Roman"/>
                <w:color w:val="000000"/>
                <w:kern w:val="0"/>
                <w:sz w:val="24"/>
                <w:szCs w:val="24"/>
                <w:lang w:val="en-US" w:eastAsia="zh-CN" w:bidi="ar"/>
              </w:rPr>
              <w:t>4号厂房位于本项目3号厂房东侧，距离约15m；5号厂房位于3号厂房北侧，距离约17m，6号厂房位于3号厂房东北侧，距离约24m；临时厂房位于1号厂房南侧，距离约13m。办公楼位于1号厂房西侧，距离约13m；宿舍楼位于3号厂房东南侧，距离约18m。</w:t>
            </w:r>
          </w:p>
          <w:p w14:paraId="59BC4AC0">
            <w:pPr>
              <w:ind w:firstLine="480"/>
              <w:rPr>
                <w:rFonts w:cs="Times New Roman"/>
              </w:rPr>
            </w:pPr>
            <w:r>
              <w:rPr>
                <w:rFonts w:hint="default" w:ascii="Times New Roman" w:hAnsi="Times New Roman" w:cs="Times New Roman"/>
              </w:rPr>
              <w:t>北侧：约15</w:t>
            </w:r>
            <w:r>
              <w:rPr>
                <w:rFonts w:hint="default" w:ascii="Times New Roman" w:hAnsi="Times New Roman" w:cs="Times New Roman"/>
                <w:lang w:val="en-US" w:eastAsia="zh-CN"/>
              </w:rPr>
              <w:t>5</w:t>
            </w:r>
            <w:r>
              <w:rPr>
                <w:rFonts w:hint="default" w:ascii="Times New Roman" w:hAnsi="Times New Roman" w:cs="Times New Roman"/>
              </w:rPr>
              <w:t>m处为</w:t>
            </w:r>
            <w:r>
              <w:rPr>
                <w:rFonts w:hint="default" w:ascii="Times New Roman" w:hAnsi="Times New Roman" w:cs="Times New Roman"/>
                <w:lang w:val="en-US" w:eastAsia="zh-CN"/>
              </w:rPr>
              <w:t>大众创业园二期园区，内有</w:t>
            </w:r>
            <w:r>
              <w:rPr>
                <w:rFonts w:hint="default" w:ascii="Times New Roman" w:hAnsi="Times New Roman" w:cs="Times New Roman"/>
              </w:rPr>
              <w:t>四川巨人愿旺新材料有限公司（PVC装饰材料生产）</w:t>
            </w:r>
            <w:r>
              <w:rPr>
                <w:rFonts w:hint="default" w:ascii="Times New Roman" w:hAnsi="Times New Roman" w:cs="Times New Roman"/>
                <w:lang w:eastAsia="zh-CN"/>
              </w:rPr>
              <w:t>、</w:t>
            </w:r>
            <w:r>
              <w:rPr>
                <w:rFonts w:hint="default" w:ascii="Times New Roman" w:hAnsi="Times New Roman" w:eastAsia="宋体" w:cs="Times New Roman"/>
                <w:sz w:val="24"/>
                <w:szCs w:val="24"/>
              </w:rPr>
              <w:t>四川巴山方润农用机械制造</w:t>
            </w:r>
            <w:r>
              <w:rPr>
                <w:rFonts w:ascii="宋体" w:hAnsi="宋体" w:eastAsia="宋体" w:cs="宋体"/>
                <w:sz w:val="24"/>
                <w:szCs w:val="24"/>
              </w:rPr>
              <w:t>有限公司</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农机制造</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及闲置厂房；</w:t>
            </w:r>
            <w:r>
              <w:rPr>
                <w:rFonts w:hint="eastAsia"/>
              </w:rPr>
              <w:t>约</w:t>
            </w:r>
            <w:r>
              <w:rPr>
                <w:rFonts w:eastAsia="TimesNewRomanPSMT" w:cs="Times New Roman"/>
              </w:rPr>
              <w:t>3</w:t>
            </w:r>
            <w:r>
              <w:rPr>
                <w:rFonts w:hint="eastAsia" w:eastAsia="TimesNewRomanPSMT" w:cs="Times New Roman"/>
                <w:lang w:val="en-US" w:eastAsia="zh-CN"/>
              </w:rPr>
              <w:t>3</w:t>
            </w:r>
            <w:r>
              <w:rPr>
                <w:rFonts w:eastAsia="TimesNewRomanPSMT" w:cs="Times New Roman"/>
              </w:rPr>
              <w:t>0m</w:t>
            </w:r>
            <w:r>
              <w:rPr>
                <w:rFonts w:cs="Times New Roman"/>
              </w:rPr>
              <w:t>处为平昌县茂鑫金属制品有限公司（</w:t>
            </w:r>
            <w:r>
              <w:rPr>
                <w:rFonts w:hint="eastAsia" w:cs="Times New Roman"/>
              </w:rPr>
              <w:t>金属制品生产</w:t>
            </w:r>
            <w:r>
              <w:rPr>
                <w:rFonts w:cs="Times New Roman"/>
              </w:rPr>
              <w:t>）</w:t>
            </w:r>
            <w:r>
              <w:rPr>
                <w:rFonts w:hint="eastAsia" w:cs="Times New Roman"/>
                <w:lang w:eastAsia="zh-CN"/>
              </w:rPr>
              <w:t>；</w:t>
            </w:r>
            <w:r>
              <w:rPr>
                <w:rFonts w:cs="Times New Roman"/>
              </w:rPr>
              <w:t>约</w:t>
            </w:r>
            <w:r>
              <w:rPr>
                <w:rFonts w:hint="eastAsia" w:eastAsia="TimesNewRomanPSMT" w:cs="Times New Roman"/>
                <w:lang w:val="en-US" w:eastAsia="zh-CN"/>
              </w:rPr>
              <w:t>40</w:t>
            </w:r>
            <w:r>
              <w:rPr>
                <w:rFonts w:eastAsia="TimesNewRomanPSMT" w:cs="Times New Roman"/>
              </w:rPr>
              <w:t>0m~</w:t>
            </w:r>
            <w:r>
              <w:rPr>
                <w:rFonts w:hint="eastAsia" w:eastAsia="TimesNewRomanPSMT" w:cs="Times New Roman"/>
                <w:lang w:val="en-US" w:eastAsia="zh-CN"/>
              </w:rPr>
              <w:t>490</w:t>
            </w:r>
            <w:r>
              <w:rPr>
                <w:rFonts w:eastAsia="TimesNewRomanPSMT" w:cs="Times New Roman"/>
              </w:rPr>
              <w:t>m</w:t>
            </w:r>
            <w:r>
              <w:rPr>
                <w:rFonts w:cs="Times New Roman"/>
              </w:rPr>
              <w:t>处有约</w:t>
            </w:r>
            <w:r>
              <w:rPr>
                <w:rFonts w:eastAsia="TimesNewRomanPSMT" w:cs="Times New Roman"/>
              </w:rPr>
              <w:t>8</w:t>
            </w:r>
            <w:r>
              <w:rPr>
                <w:rFonts w:cs="Times New Roman"/>
              </w:rPr>
              <w:t>户居民；</w:t>
            </w:r>
            <w:r>
              <w:rPr>
                <w:rFonts w:hint="eastAsia" w:cs="Times New Roman"/>
                <w:lang w:val="en-US" w:eastAsia="zh-CN"/>
              </w:rPr>
              <w:t>东北侧</w:t>
            </w:r>
            <w:r>
              <w:rPr>
                <w:rFonts w:cs="Times New Roman"/>
              </w:rPr>
              <w:t>约</w:t>
            </w:r>
            <w:r>
              <w:rPr>
                <w:rFonts w:eastAsia="TimesNewRomanPSMT" w:cs="Times New Roman"/>
              </w:rPr>
              <w:t>275m</w:t>
            </w:r>
            <w:r>
              <w:rPr>
                <w:rFonts w:cs="Times New Roman"/>
              </w:rPr>
              <w:t>处为</w:t>
            </w:r>
            <w:r>
              <w:rPr>
                <w:rFonts w:hint="eastAsia" w:cs="Times New Roman"/>
                <w:lang w:eastAsia="zh-CN"/>
              </w:rPr>
              <w:t>平昌县助力车轮制造有限公司</w:t>
            </w:r>
            <w:r>
              <w:rPr>
                <w:rFonts w:cs="Times New Roman"/>
              </w:rPr>
              <w:t>（钢圈生产）</w:t>
            </w:r>
            <w:r>
              <w:rPr>
                <w:rFonts w:hint="eastAsia" w:cs="Times New Roman"/>
              </w:rPr>
              <w:t>。</w:t>
            </w:r>
          </w:p>
          <w:p w14:paraId="01E5FF0D">
            <w:pPr>
              <w:ind w:firstLine="480"/>
              <w:rPr>
                <w:rFonts w:cs="Times New Roman"/>
              </w:rPr>
            </w:pPr>
            <w:r>
              <w:rPr>
                <w:rFonts w:hint="eastAsia" w:cs="Times New Roman"/>
              </w:rPr>
              <w:t>东侧：</w:t>
            </w:r>
            <w:r>
              <w:rPr>
                <w:rFonts w:cs="Times New Roman"/>
              </w:rPr>
              <w:t>东侧约</w:t>
            </w:r>
            <w:r>
              <w:rPr>
                <w:rFonts w:hint="eastAsia" w:eastAsia="TimesNewRomanPSMT" w:cs="Times New Roman"/>
                <w:lang w:val="en-US" w:eastAsia="zh-CN"/>
              </w:rPr>
              <w:t>60</w:t>
            </w:r>
            <w:r>
              <w:rPr>
                <w:rFonts w:eastAsia="TimesNewRomanPSMT" w:cs="Times New Roman"/>
              </w:rPr>
              <w:t>m</w:t>
            </w:r>
            <w:r>
              <w:rPr>
                <w:rFonts w:cs="Times New Roman"/>
              </w:rPr>
              <w:t>处为</w:t>
            </w:r>
            <w:bookmarkStart w:id="31" w:name="OLE_LINK96"/>
            <w:bookmarkStart w:id="32" w:name="OLE_LINK100"/>
            <w:r>
              <w:rPr>
                <w:rFonts w:ascii="宋体" w:hAnsi="宋体" w:eastAsia="宋体" w:cs="宋体"/>
                <w:sz w:val="24"/>
                <w:szCs w:val="24"/>
              </w:rPr>
              <w:t>中铁十一局集团有限公司项目部</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约285m处为</w:t>
            </w:r>
            <w:bookmarkEnd w:id="31"/>
            <w:bookmarkEnd w:id="32"/>
            <w:r>
              <w:rPr>
                <w:rFonts w:hint="eastAsia" w:cs="Times New Roman"/>
                <w:lang w:eastAsia="zh-CN"/>
              </w:rPr>
              <w:t>光富报废汽车回收有限责任公司</w:t>
            </w:r>
            <w:r>
              <w:rPr>
                <w:rFonts w:cs="Times New Roman"/>
              </w:rPr>
              <w:t>（机动车拆解）</w:t>
            </w:r>
            <w:r>
              <w:rPr>
                <w:rFonts w:hint="eastAsia" w:cs="Times New Roman"/>
                <w:lang w:eastAsia="zh-CN"/>
              </w:rPr>
              <w:t>；</w:t>
            </w:r>
            <w:r>
              <w:rPr>
                <w:rFonts w:cs="Times New Roman"/>
              </w:rPr>
              <w:t>约</w:t>
            </w:r>
            <w:r>
              <w:rPr>
                <w:rFonts w:hint="eastAsia" w:eastAsia="TimesNewRomanPSMT" w:cs="Times New Roman"/>
                <w:lang w:val="en-US" w:eastAsia="zh-CN"/>
              </w:rPr>
              <w:t>460</w:t>
            </w:r>
            <w:r>
              <w:rPr>
                <w:rFonts w:eastAsia="TimesNewRomanPSMT" w:cs="Times New Roman"/>
              </w:rPr>
              <w:t>m~</w:t>
            </w:r>
            <w:r>
              <w:rPr>
                <w:rFonts w:hint="eastAsia" w:eastAsia="TimesNewRomanPSMT" w:cs="Times New Roman"/>
                <w:lang w:val="en-US" w:eastAsia="zh-CN"/>
              </w:rPr>
              <w:t>630</w:t>
            </w:r>
            <w:r>
              <w:rPr>
                <w:rFonts w:eastAsia="TimesNewRomanPSMT" w:cs="Times New Roman"/>
              </w:rPr>
              <w:t>m</w:t>
            </w:r>
            <w:r>
              <w:rPr>
                <w:rFonts w:cs="Times New Roman"/>
              </w:rPr>
              <w:t>处约有</w:t>
            </w:r>
            <w:r>
              <w:rPr>
                <w:rFonts w:eastAsia="TimesNewRomanPSMT" w:cs="Times New Roman"/>
              </w:rPr>
              <w:t>17</w:t>
            </w:r>
            <w:r>
              <w:rPr>
                <w:rFonts w:cs="Times New Roman"/>
              </w:rPr>
              <w:t>户居民；东南侧约</w:t>
            </w:r>
            <w:r>
              <w:rPr>
                <w:rFonts w:eastAsia="TimesNewRomanPSMT" w:cs="Times New Roman"/>
              </w:rPr>
              <w:t>4</w:t>
            </w:r>
            <w:r>
              <w:rPr>
                <w:rFonts w:hint="eastAsia" w:eastAsia="TimesNewRomanPSMT" w:cs="Times New Roman"/>
                <w:lang w:val="en-US" w:eastAsia="zh-CN"/>
              </w:rPr>
              <w:t>30</w:t>
            </w:r>
            <w:r>
              <w:rPr>
                <w:rFonts w:eastAsia="TimesNewRomanPSMT" w:cs="Times New Roman"/>
              </w:rPr>
              <w:t>m~</w:t>
            </w:r>
            <w:r>
              <w:rPr>
                <w:rFonts w:hint="eastAsia" w:eastAsia="TimesNewRomanPSMT" w:cs="Times New Roman"/>
                <w:lang w:val="en-US" w:eastAsia="zh-CN"/>
              </w:rPr>
              <w:t>631</w:t>
            </w:r>
            <w:r>
              <w:rPr>
                <w:rFonts w:eastAsia="TimesNewRomanPSMT" w:cs="Times New Roman"/>
              </w:rPr>
              <w:t>0m</w:t>
            </w:r>
            <w:r>
              <w:rPr>
                <w:rFonts w:cs="Times New Roman"/>
              </w:rPr>
              <w:t>处有</w:t>
            </w:r>
            <w:r>
              <w:rPr>
                <w:rFonts w:eastAsia="TimesNewRomanPSMT" w:cs="Times New Roman"/>
              </w:rPr>
              <w:t>15</w:t>
            </w:r>
            <w:r>
              <w:rPr>
                <w:rFonts w:cs="Times New Roman"/>
              </w:rPr>
              <w:t>户居民</w:t>
            </w:r>
            <w:r>
              <w:rPr>
                <w:rFonts w:hint="eastAsia" w:cs="Times New Roman"/>
              </w:rPr>
              <w:t>。</w:t>
            </w:r>
          </w:p>
          <w:p w14:paraId="630D6E79">
            <w:pPr>
              <w:ind w:firstLine="480"/>
              <w:rPr>
                <w:rFonts w:cs="Times New Roman"/>
              </w:rPr>
            </w:pPr>
            <w:r>
              <w:rPr>
                <w:rFonts w:hint="eastAsia" w:cs="Times New Roman"/>
              </w:rPr>
              <w:t>南侧：</w:t>
            </w:r>
            <w:r>
              <w:rPr>
                <w:rFonts w:cs="Times New Roman"/>
              </w:rPr>
              <w:t>南侧约</w:t>
            </w:r>
            <w:r>
              <w:rPr>
                <w:rFonts w:eastAsia="TimesNewRomanPSMT" w:cs="Times New Roman"/>
              </w:rPr>
              <w:t>85m</w:t>
            </w:r>
            <w:r>
              <w:rPr>
                <w:rFonts w:cs="Times New Roman"/>
              </w:rPr>
              <w:t>处为</w:t>
            </w:r>
            <w:r>
              <w:rPr>
                <w:rFonts w:hint="eastAsia" w:cs="Times New Roman"/>
                <w:lang w:eastAsia="zh-CN"/>
              </w:rPr>
              <w:t>四川惠创智链科技有限公司</w:t>
            </w:r>
            <w:r>
              <w:rPr>
                <w:rFonts w:hint="eastAsia" w:cs="Times New Roman"/>
              </w:rPr>
              <w:t>（</w:t>
            </w:r>
            <w:r>
              <w:rPr>
                <w:rFonts w:cs="Times New Roman"/>
              </w:rPr>
              <w:t>电动车、摩托车组装、发动机生产</w:t>
            </w:r>
            <w:r>
              <w:rPr>
                <w:rFonts w:hint="eastAsia" w:cs="Times New Roman"/>
                <w:lang w:eastAsia="zh-CN"/>
              </w:rPr>
              <w:t>，</w:t>
            </w:r>
            <w:r>
              <w:rPr>
                <w:rFonts w:hint="eastAsia" w:cs="Times New Roman"/>
                <w:lang w:val="en-US" w:eastAsia="zh-CN"/>
              </w:rPr>
              <w:t>已停产</w:t>
            </w:r>
            <w:r>
              <w:rPr>
                <w:rFonts w:cs="Times New Roman"/>
              </w:rPr>
              <w:t>）；西南侧约</w:t>
            </w:r>
            <w:r>
              <w:rPr>
                <w:rFonts w:eastAsia="TimesNewRomanPSMT" w:cs="Times New Roman"/>
              </w:rPr>
              <w:t>4</w:t>
            </w:r>
            <w:r>
              <w:rPr>
                <w:rFonts w:hint="eastAsia" w:eastAsia="TimesNewRomanPSMT" w:cs="Times New Roman"/>
                <w:lang w:val="en-US" w:eastAsia="zh-CN"/>
              </w:rPr>
              <w:t>7</w:t>
            </w:r>
            <w:r>
              <w:rPr>
                <w:rFonts w:eastAsia="TimesNewRomanPSMT" w:cs="Times New Roman"/>
              </w:rPr>
              <w:t>0m</w:t>
            </w:r>
            <w:r>
              <w:rPr>
                <w:rFonts w:cs="Times New Roman"/>
              </w:rPr>
              <w:t>处为平昌县三统机械制造有限公司（曲轴、齿轮</w:t>
            </w:r>
            <w:r>
              <w:rPr>
                <w:rFonts w:hint="eastAsia" w:cs="Times New Roman"/>
              </w:rPr>
              <w:t>等</w:t>
            </w:r>
            <w:r>
              <w:rPr>
                <w:rFonts w:cs="Times New Roman"/>
              </w:rPr>
              <w:t>零部件生产）</w:t>
            </w:r>
            <w:r>
              <w:rPr>
                <w:rFonts w:hint="eastAsia" w:cs="Times New Roman"/>
              </w:rPr>
              <w:t>。</w:t>
            </w:r>
          </w:p>
          <w:p w14:paraId="63C78DBC">
            <w:pPr>
              <w:ind w:firstLine="480"/>
              <w:rPr>
                <w:rFonts w:cs="Times New Roman"/>
              </w:rPr>
            </w:pPr>
            <w:r>
              <w:rPr>
                <w:rFonts w:hint="eastAsia" w:cs="Times New Roman"/>
              </w:rPr>
              <w:t>西侧：</w:t>
            </w:r>
            <w:r>
              <w:rPr>
                <w:rFonts w:cs="Times New Roman"/>
              </w:rPr>
              <w:t>约</w:t>
            </w:r>
            <w:r>
              <w:rPr>
                <w:rFonts w:eastAsia="TimesNewRomanPSMT" w:cs="Times New Roman"/>
              </w:rPr>
              <w:t>1</w:t>
            </w:r>
            <w:r>
              <w:rPr>
                <w:rFonts w:hint="eastAsia" w:eastAsia="TimesNewRomanPSMT" w:cs="Times New Roman"/>
                <w:lang w:val="en-US" w:eastAsia="zh-CN"/>
              </w:rPr>
              <w:t>50</w:t>
            </w:r>
            <w:r>
              <w:rPr>
                <w:rFonts w:eastAsia="TimesNewRomanPSMT" w:cs="Times New Roman"/>
              </w:rPr>
              <w:t>m~2</w:t>
            </w:r>
            <w:r>
              <w:rPr>
                <w:rFonts w:hint="eastAsia" w:eastAsia="TimesNewRomanPSMT" w:cs="Times New Roman"/>
                <w:lang w:val="en-US" w:eastAsia="zh-CN"/>
              </w:rPr>
              <w:t>60</w:t>
            </w:r>
            <w:r>
              <w:rPr>
                <w:rFonts w:eastAsia="TimesNewRomanPSMT" w:cs="Times New Roman"/>
              </w:rPr>
              <w:t>m</w:t>
            </w:r>
            <w:r>
              <w:rPr>
                <w:rFonts w:cs="Times New Roman"/>
              </w:rPr>
              <w:t>处约有居民</w:t>
            </w:r>
            <w:r>
              <w:rPr>
                <w:rFonts w:eastAsia="TimesNewRomanPSMT" w:cs="Times New Roman"/>
              </w:rPr>
              <w:t>12</w:t>
            </w:r>
            <w:r>
              <w:rPr>
                <w:rFonts w:cs="Times New Roman"/>
              </w:rPr>
              <w:t>户；西北侧约</w:t>
            </w:r>
            <w:r>
              <w:rPr>
                <w:rFonts w:eastAsia="TimesNewRomanPSMT" w:cs="Times New Roman"/>
              </w:rPr>
              <w:t>2</w:t>
            </w:r>
            <w:r>
              <w:rPr>
                <w:rFonts w:hint="eastAsia" w:eastAsia="TimesNewRomanPSMT" w:cs="Times New Roman"/>
                <w:lang w:val="en-US" w:eastAsia="zh-CN"/>
              </w:rPr>
              <w:t>55</w:t>
            </w:r>
            <w:r>
              <w:rPr>
                <w:rFonts w:eastAsia="TimesNewRomanPSMT" w:cs="Times New Roman"/>
              </w:rPr>
              <w:t>m</w:t>
            </w:r>
            <w:r>
              <w:rPr>
                <w:rFonts w:cs="Times New Roman"/>
              </w:rPr>
              <w:t>处为平昌家豪制衣有限公司（加工服装）</w:t>
            </w:r>
            <w:r>
              <w:rPr>
                <w:rFonts w:hint="eastAsia" w:cs="Times New Roman"/>
                <w:lang w:eastAsia="zh-CN"/>
              </w:rPr>
              <w:t>；</w:t>
            </w:r>
            <w:r>
              <w:rPr>
                <w:rFonts w:cs="Times New Roman"/>
              </w:rPr>
              <w:t>约</w:t>
            </w:r>
            <w:r>
              <w:rPr>
                <w:rFonts w:hint="eastAsia" w:eastAsia="TimesNewRomanPSMT" w:cs="Times New Roman"/>
                <w:lang w:val="en-US" w:eastAsia="zh-CN"/>
              </w:rPr>
              <w:t>210</w:t>
            </w:r>
            <w:r>
              <w:rPr>
                <w:rFonts w:eastAsia="TimesNewRomanPSMT" w:cs="Times New Roman"/>
              </w:rPr>
              <w:t>m</w:t>
            </w:r>
            <w:r>
              <w:rPr>
                <w:rFonts w:cs="Times New Roman"/>
              </w:rPr>
              <w:t>处为</w:t>
            </w:r>
            <w:r>
              <w:rPr>
                <w:rFonts w:hint="eastAsia" w:cs="Times New Roman"/>
                <w:lang w:eastAsia="zh-CN"/>
              </w:rPr>
              <w:t>平昌县岚苑艺术全屋定制家居有限公司</w:t>
            </w:r>
            <w:r>
              <w:rPr>
                <w:rFonts w:cs="Times New Roman"/>
              </w:rPr>
              <w:t>（聚丙烯颗粒生产</w:t>
            </w:r>
            <w:r>
              <w:rPr>
                <w:rFonts w:hint="eastAsia" w:cs="Times New Roman"/>
                <w:lang w:eastAsia="zh-CN"/>
              </w:rPr>
              <w:t>，</w:t>
            </w:r>
            <w:r>
              <w:rPr>
                <w:rFonts w:hint="eastAsia" w:cs="Times New Roman"/>
                <w:lang w:val="en-US" w:eastAsia="zh-CN"/>
              </w:rPr>
              <w:t>已停产</w:t>
            </w:r>
            <w:r>
              <w:rPr>
                <w:rFonts w:cs="Times New Roman"/>
              </w:rPr>
              <w:t>）</w:t>
            </w:r>
            <w:r>
              <w:rPr>
                <w:rFonts w:hint="eastAsia" w:cs="Times New Roman"/>
                <w:lang w:eastAsia="zh-CN"/>
              </w:rPr>
              <w:t>；</w:t>
            </w:r>
            <w:r>
              <w:rPr>
                <w:rFonts w:hint="eastAsia" w:cs="Times New Roman"/>
              </w:rPr>
              <w:t>约</w:t>
            </w:r>
            <w:r>
              <w:rPr>
                <w:rFonts w:hint="eastAsia" w:cs="Times New Roman"/>
                <w:lang w:val="en-US" w:eastAsia="zh-CN"/>
              </w:rPr>
              <w:t>310</w:t>
            </w:r>
            <w:r>
              <w:rPr>
                <w:rFonts w:hint="eastAsia" w:cs="Times New Roman"/>
              </w:rPr>
              <w:t>m处</w:t>
            </w:r>
            <w:r>
              <w:rPr>
                <w:rFonts w:hint="eastAsia" w:ascii="Times New Roman" w:hAnsi="Times New Roman" w:eastAsia="宋体" w:cs="Times New Roman"/>
              </w:rPr>
              <w:t>为</w:t>
            </w:r>
            <w:r>
              <w:rPr>
                <w:rFonts w:hint="default" w:ascii="Times New Roman" w:hAnsi="Times New Roman" w:eastAsia="宋体" w:cs="Times New Roman"/>
              </w:rPr>
              <w:t>平昌正丰塑料制品有限公司</w:t>
            </w:r>
            <w:r>
              <w:rPr>
                <w:rFonts w:hint="eastAsia" w:ascii="Times New Roman" w:hAnsi="Times New Roman" w:eastAsia="宋体" w:cs="Times New Roman"/>
              </w:rPr>
              <w:t>（</w:t>
            </w:r>
            <w:r>
              <w:rPr>
                <w:rFonts w:cs="Times New Roman"/>
              </w:rPr>
              <w:t>聚丙烯颗粒生产</w:t>
            </w:r>
            <w:r>
              <w:rPr>
                <w:rFonts w:hint="eastAsia" w:cs="Times New Roman"/>
              </w:rPr>
              <w:t>）</w:t>
            </w:r>
            <w:r>
              <w:rPr>
                <w:rFonts w:hint="eastAsia" w:cs="Times New Roman"/>
                <w:lang w:eastAsia="zh-CN"/>
              </w:rPr>
              <w:t>；</w:t>
            </w:r>
            <w:r>
              <w:rPr>
                <w:rFonts w:cs="Times New Roman"/>
              </w:rPr>
              <w:t>约</w:t>
            </w:r>
            <w:r>
              <w:rPr>
                <w:rFonts w:eastAsia="TimesNewRomanPSMT" w:cs="Times New Roman"/>
              </w:rPr>
              <w:t>2</w:t>
            </w:r>
            <w:r>
              <w:rPr>
                <w:rFonts w:hint="eastAsia" w:eastAsia="TimesNewRomanPSMT" w:cs="Times New Roman"/>
                <w:lang w:val="en-US" w:eastAsia="zh-CN"/>
              </w:rPr>
              <w:t>80</w:t>
            </w:r>
            <w:r>
              <w:rPr>
                <w:rFonts w:eastAsia="TimesNewRomanPSMT" w:cs="Times New Roman"/>
              </w:rPr>
              <w:t>m</w:t>
            </w:r>
            <w:r>
              <w:rPr>
                <w:rFonts w:cs="Times New Roman"/>
              </w:rPr>
              <w:t>处为</w:t>
            </w:r>
            <w:r>
              <w:rPr>
                <w:rFonts w:hint="eastAsia" w:cs="Times New Roman"/>
                <w:lang w:eastAsia="zh-CN"/>
              </w:rPr>
              <w:t>平昌县轩达涂料厂</w:t>
            </w:r>
            <w:r>
              <w:rPr>
                <w:rFonts w:cs="Times New Roman"/>
              </w:rPr>
              <w:t>（加工机制炭）</w:t>
            </w:r>
            <w:r>
              <w:rPr>
                <w:rFonts w:hint="eastAsia" w:cs="Times New Roman"/>
                <w:lang w:eastAsia="zh-CN"/>
              </w:rPr>
              <w:t>；</w:t>
            </w:r>
            <w:r>
              <w:rPr>
                <w:rFonts w:cs="Times New Roman"/>
              </w:rPr>
              <w:t>约</w:t>
            </w:r>
            <w:r>
              <w:rPr>
                <w:rFonts w:hint="eastAsia" w:eastAsia="TimesNewRomanPSMT" w:cs="Times New Roman"/>
                <w:lang w:val="en-US" w:eastAsia="zh-CN"/>
              </w:rPr>
              <w:t>310</w:t>
            </w:r>
            <w:r>
              <w:rPr>
                <w:rFonts w:eastAsia="TimesNewRomanPSMT" w:cs="Times New Roman"/>
              </w:rPr>
              <w:t>m</w:t>
            </w:r>
            <w:r>
              <w:rPr>
                <w:rFonts w:hint="eastAsia" w:eastAsia="TimesNewRomanPSMT" w:cs="Times New Roman"/>
                <w:lang w:val="en-US" w:eastAsia="zh-CN"/>
              </w:rPr>
              <w:t>-540</w:t>
            </w:r>
            <w:r>
              <w:rPr>
                <w:rFonts w:cs="Times New Roman"/>
              </w:rPr>
              <w:t>处为平昌县星光实验学校</w:t>
            </w:r>
            <w:r>
              <w:rPr>
                <w:rFonts w:hint="eastAsia" w:cs="Times New Roman"/>
                <w:lang w:eastAsia="zh-CN"/>
              </w:rPr>
              <w:t>；</w:t>
            </w:r>
            <w:r>
              <w:rPr>
                <w:rFonts w:cs="Times New Roman"/>
              </w:rPr>
              <w:t>约</w:t>
            </w:r>
            <w:r>
              <w:rPr>
                <w:rFonts w:eastAsia="TimesNewRomanPSMT" w:cs="Times New Roman"/>
              </w:rPr>
              <w:t>4</w:t>
            </w:r>
            <w:r>
              <w:rPr>
                <w:rFonts w:hint="eastAsia" w:eastAsia="TimesNewRomanPSMT" w:cs="Times New Roman"/>
                <w:lang w:val="en-US" w:eastAsia="zh-CN"/>
              </w:rPr>
              <w:t>7</w:t>
            </w:r>
            <w:r>
              <w:rPr>
                <w:rFonts w:eastAsia="TimesNewRomanPSMT" w:cs="Times New Roman"/>
              </w:rPr>
              <w:t>0m~</w:t>
            </w:r>
            <w:r>
              <w:rPr>
                <w:rFonts w:hint="eastAsia" w:eastAsia="TimesNewRomanPSMT" w:cs="Times New Roman"/>
                <w:lang w:val="en-US" w:eastAsia="zh-CN"/>
              </w:rPr>
              <w:t>49</w:t>
            </w:r>
            <w:r>
              <w:rPr>
                <w:rFonts w:eastAsia="TimesNewRomanPSMT" w:cs="Times New Roman"/>
              </w:rPr>
              <w:t>0m</w:t>
            </w:r>
            <w:r>
              <w:rPr>
                <w:rFonts w:cs="Times New Roman"/>
              </w:rPr>
              <w:t>处约有</w:t>
            </w:r>
            <w:r>
              <w:rPr>
                <w:rFonts w:hint="eastAsia" w:eastAsia="TimesNewRomanPSMT" w:cs="Times New Roman"/>
                <w:lang w:val="en-US" w:eastAsia="zh-CN"/>
              </w:rPr>
              <w:t>3</w:t>
            </w:r>
            <w:r>
              <w:rPr>
                <w:rFonts w:cs="Times New Roman"/>
              </w:rPr>
              <w:t>户居民。</w:t>
            </w:r>
            <w:r>
              <w:rPr>
                <w:rFonts w:hint="eastAsia" w:cs="Times New Roman"/>
              </w:rPr>
              <w:t>西侧约</w:t>
            </w:r>
            <w:r>
              <w:rPr>
                <w:rFonts w:cs="Times New Roman"/>
              </w:rPr>
              <w:t>5</w:t>
            </w:r>
            <w:r>
              <w:rPr>
                <w:rFonts w:hint="eastAsia" w:cs="Times New Roman"/>
                <w:lang w:val="en-US" w:eastAsia="zh-CN"/>
              </w:rPr>
              <w:t>70</w:t>
            </w:r>
            <w:r>
              <w:rPr>
                <w:rFonts w:hint="eastAsia" w:cs="Times New Roman"/>
              </w:rPr>
              <w:t>m处为巴河，自北向南流经该区域。</w:t>
            </w:r>
          </w:p>
          <w:p w14:paraId="0F868B72">
            <w:pPr>
              <w:pStyle w:val="11"/>
              <w:keepNext/>
              <w:rPr>
                <w:rFonts w:cs="Times New Roman"/>
              </w:rPr>
            </w:pPr>
            <w:r>
              <w:rPr>
                <w:rFonts w:cs="Times New Roman"/>
              </w:rPr>
              <w:t>表</w:t>
            </w:r>
            <w:r>
              <w:rPr>
                <w:rFonts w:hint="eastAsia" w:cs="Times New Roman"/>
                <w:lang w:val="en-US" w:eastAsia="zh-CN"/>
              </w:rPr>
              <w:t xml:space="preserve">1-18 </w:t>
            </w:r>
            <w:r>
              <w:rPr>
                <w:rFonts w:cs="Times New Roman"/>
              </w:rPr>
              <w:t>本项目外环境概括表</w:t>
            </w:r>
          </w:p>
          <w:tbl>
            <w:tblPr>
              <w:tblStyle w:val="2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564"/>
              <w:gridCol w:w="3536"/>
              <w:gridCol w:w="886"/>
              <w:gridCol w:w="1517"/>
              <w:gridCol w:w="2303"/>
            </w:tblGrid>
            <w:tr w14:paraId="48CA3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320" w:type="pct"/>
                  <w:vAlign w:val="center"/>
                </w:tcPr>
                <w:p w14:paraId="55512AF9">
                  <w:pPr>
                    <w:pStyle w:val="45"/>
                    <w:jc w:val="center"/>
                    <w:rPr>
                      <w:rFonts w:cs="Times New Roman"/>
                      <w:sz w:val="21"/>
                      <w:szCs w:val="21"/>
                    </w:rPr>
                  </w:pPr>
                  <w:r>
                    <w:rPr>
                      <w:rFonts w:cs="Times New Roman"/>
                      <w:sz w:val="21"/>
                      <w:szCs w:val="21"/>
                    </w:rPr>
                    <w:t>序号</w:t>
                  </w:r>
                </w:p>
              </w:tc>
              <w:tc>
                <w:tcPr>
                  <w:tcW w:w="2007" w:type="pct"/>
                  <w:vAlign w:val="center"/>
                </w:tcPr>
                <w:p w14:paraId="25EA63D5">
                  <w:pPr>
                    <w:pStyle w:val="45"/>
                    <w:jc w:val="center"/>
                    <w:rPr>
                      <w:rFonts w:cs="Times New Roman"/>
                      <w:sz w:val="21"/>
                      <w:szCs w:val="21"/>
                    </w:rPr>
                  </w:pPr>
                  <w:r>
                    <w:rPr>
                      <w:rFonts w:cs="Times New Roman"/>
                      <w:sz w:val="21"/>
                      <w:szCs w:val="21"/>
                    </w:rPr>
                    <w:t>名称</w:t>
                  </w:r>
                </w:p>
              </w:tc>
              <w:tc>
                <w:tcPr>
                  <w:tcW w:w="503" w:type="pct"/>
                  <w:vAlign w:val="center"/>
                </w:tcPr>
                <w:p w14:paraId="2C049FE6">
                  <w:pPr>
                    <w:pStyle w:val="45"/>
                    <w:jc w:val="center"/>
                    <w:rPr>
                      <w:rFonts w:cs="Times New Roman"/>
                      <w:sz w:val="21"/>
                      <w:szCs w:val="21"/>
                    </w:rPr>
                  </w:pPr>
                  <w:r>
                    <w:rPr>
                      <w:rFonts w:cs="Times New Roman"/>
                      <w:sz w:val="21"/>
                      <w:szCs w:val="21"/>
                    </w:rPr>
                    <w:t>方位</w:t>
                  </w:r>
                </w:p>
              </w:tc>
              <w:tc>
                <w:tcPr>
                  <w:tcW w:w="861" w:type="pct"/>
                  <w:vAlign w:val="center"/>
                </w:tcPr>
                <w:p w14:paraId="4876F2E7">
                  <w:pPr>
                    <w:pStyle w:val="45"/>
                    <w:jc w:val="center"/>
                    <w:rPr>
                      <w:rFonts w:cs="Times New Roman"/>
                      <w:sz w:val="21"/>
                      <w:szCs w:val="21"/>
                    </w:rPr>
                  </w:pPr>
                  <w:r>
                    <w:rPr>
                      <w:rFonts w:cs="Times New Roman"/>
                      <w:sz w:val="21"/>
                      <w:szCs w:val="21"/>
                    </w:rPr>
                    <w:t>距离/m</w:t>
                  </w:r>
                </w:p>
              </w:tc>
              <w:tc>
                <w:tcPr>
                  <w:tcW w:w="1307" w:type="pct"/>
                  <w:vAlign w:val="center"/>
                </w:tcPr>
                <w:p w14:paraId="1651522D">
                  <w:pPr>
                    <w:pStyle w:val="45"/>
                    <w:jc w:val="center"/>
                    <w:rPr>
                      <w:rFonts w:cs="Times New Roman"/>
                      <w:sz w:val="21"/>
                      <w:szCs w:val="21"/>
                    </w:rPr>
                  </w:pPr>
                  <w:r>
                    <w:rPr>
                      <w:rFonts w:cs="Times New Roman"/>
                      <w:sz w:val="21"/>
                      <w:szCs w:val="21"/>
                    </w:rPr>
                    <w:t>性质</w:t>
                  </w:r>
                </w:p>
              </w:tc>
            </w:tr>
            <w:tr w14:paraId="240B3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07" w:hRule="atLeast"/>
                <w:jc w:val="center"/>
              </w:trPr>
              <w:tc>
                <w:tcPr>
                  <w:tcW w:w="320" w:type="pct"/>
                  <w:vAlign w:val="center"/>
                </w:tcPr>
                <w:p w14:paraId="0B4E20D6">
                  <w:pPr>
                    <w:pStyle w:val="12"/>
                    <w:jc w:val="center"/>
                    <w:rPr>
                      <w:rFonts w:hint="eastAsia" w:eastAsia="宋体" w:cs="Times New Roman"/>
                      <w:sz w:val="21"/>
                      <w:szCs w:val="21"/>
                      <w:lang w:val="en-US" w:eastAsia="zh-CN"/>
                    </w:rPr>
                  </w:pPr>
                  <w:r>
                    <w:rPr>
                      <w:rFonts w:hint="eastAsia" w:cs="Times New Roman"/>
                      <w:sz w:val="21"/>
                      <w:szCs w:val="21"/>
                      <w:lang w:val="en-US" w:eastAsia="zh-CN"/>
                    </w:rPr>
                    <w:t>1</w:t>
                  </w:r>
                </w:p>
              </w:tc>
              <w:tc>
                <w:tcPr>
                  <w:tcW w:w="2007" w:type="pct"/>
                  <w:vAlign w:val="center"/>
                </w:tcPr>
                <w:p w14:paraId="53472D9D">
                  <w:pPr>
                    <w:pStyle w:val="12"/>
                    <w:jc w:val="center"/>
                    <w:rPr>
                      <w:rFonts w:hint="eastAsia"/>
                      <w:sz w:val="21"/>
                      <w:szCs w:val="21"/>
                      <w:lang w:val="en-US" w:eastAsia="zh-CN"/>
                    </w:rPr>
                  </w:pPr>
                  <w:r>
                    <w:rPr>
                      <w:rFonts w:hint="eastAsia" w:ascii="宋体" w:hAnsi="宋体" w:eastAsia="宋体" w:cs="宋体"/>
                      <w:color w:val="000000"/>
                      <w:kern w:val="0"/>
                      <w:sz w:val="21"/>
                      <w:szCs w:val="21"/>
                      <w:lang w:val="en-US" w:eastAsia="zh-CN" w:bidi="ar"/>
                    </w:rPr>
                    <w:t>四川三科共兴再生资源有限公司</w:t>
                  </w:r>
                </w:p>
              </w:tc>
              <w:tc>
                <w:tcPr>
                  <w:tcW w:w="503" w:type="pct"/>
                  <w:vAlign w:val="center"/>
                </w:tcPr>
                <w:p w14:paraId="6E51C096">
                  <w:pPr>
                    <w:pStyle w:val="12"/>
                    <w:jc w:val="center"/>
                    <w:rPr>
                      <w:rFonts w:hint="eastAsia" w:eastAsia="宋体" w:cs="Times New Roman"/>
                      <w:sz w:val="21"/>
                      <w:szCs w:val="21"/>
                      <w:lang w:val="en-US" w:eastAsia="zh-CN"/>
                    </w:rPr>
                  </w:pPr>
                  <w:r>
                    <w:rPr>
                      <w:rFonts w:hint="eastAsia" w:cs="Times New Roman"/>
                      <w:sz w:val="21"/>
                      <w:szCs w:val="21"/>
                      <w:lang w:val="en-US" w:eastAsia="zh-CN"/>
                    </w:rPr>
                    <w:t>东北侧</w:t>
                  </w:r>
                </w:p>
              </w:tc>
              <w:tc>
                <w:tcPr>
                  <w:tcW w:w="861" w:type="pct"/>
                  <w:vAlign w:val="center"/>
                </w:tcPr>
                <w:p w14:paraId="223F1C29">
                  <w:pPr>
                    <w:pStyle w:val="12"/>
                    <w:jc w:val="center"/>
                    <w:rPr>
                      <w:rFonts w:hint="default" w:eastAsia="宋体" w:cs="Times New Roman"/>
                      <w:sz w:val="21"/>
                      <w:szCs w:val="21"/>
                      <w:lang w:val="en-US" w:eastAsia="zh-CN"/>
                    </w:rPr>
                  </w:pPr>
                  <w:r>
                    <w:rPr>
                      <w:rFonts w:hint="eastAsia" w:cs="Times New Roman"/>
                      <w:sz w:val="21"/>
                      <w:szCs w:val="21"/>
                      <w:lang w:val="en-US" w:eastAsia="zh-CN"/>
                    </w:rPr>
                    <w:t>15</w:t>
                  </w:r>
                </w:p>
              </w:tc>
              <w:tc>
                <w:tcPr>
                  <w:tcW w:w="1307" w:type="pct"/>
                  <w:vAlign w:val="center"/>
                </w:tcPr>
                <w:p w14:paraId="64919C62">
                  <w:pPr>
                    <w:pStyle w:val="12"/>
                    <w:jc w:val="center"/>
                    <w:rPr>
                      <w:rFonts w:hint="eastAsia" w:cs="Times New Roman"/>
                      <w:sz w:val="21"/>
                      <w:szCs w:val="21"/>
                    </w:rPr>
                  </w:pPr>
                  <w:r>
                    <w:rPr>
                      <w:rFonts w:hint="eastAsia" w:cs="Times New Roman"/>
                      <w:sz w:val="21"/>
                      <w:szCs w:val="21"/>
                    </w:rPr>
                    <w:t>企业</w:t>
                  </w:r>
                </w:p>
              </w:tc>
            </w:tr>
            <w:tr w14:paraId="0A07E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07" w:hRule="atLeast"/>
                <w:jc w:val="center"/>
              </w:trPr>
              <w:tc>
                <w:tcPr>
                  <w:tcW w:w="320" w:type="pct"/>
                  <w:vAlign w:val="center"/>
                </w:tcPr>
                <w:p w14:paraId="3E6F48D1">
                  <w:pPr>
                    <w:pStyle w:val="12"/>
                    <w:jc w:val="center"/>
                    <w:rPr>
                      <w:rFonts w:hint="eastAsia" w:eastAsia="宋体" w:cs="Times New Roman"/>
                      <w:sz w:val="21"/>
                      <w:szCs w:val="21"/>
                      <w:lang w:val="en-US" w:eastAsia="zh-CN"/>
                    </w:rPr>
                  </w:pPr>
                  <w:r>
                    <w:rPr>
                      <w:rFonts w:hint="eastAsia" w:cs="Times New Roman"/>
                      <w:sz w:val="21"/>
                      <w:szCs w:val="21"/>
                      <w:lang w:val="en-US" w:eastAsia="zh-CN"/>
                    </w:rPr>
                    <w:t>2</w:t>
                  </w:r>
                </w:p>
              </w:tc>
              <w:tc>
                <w:tcPr>
                  <w:tcW w:w="2007" w:type="pct"/>
                  <w:vAlign w:val="center"/>
                </w:tcPr>
                <w:p w14:paraId="0C4948C2">
                  <w:pPr>
                    <w:pStyle w:val="12"/>
                    <w:jc w:val="center"/>
                    <w:rPr>
                      <w:rFonts w:hint="default"/>
                      <w:sz w:val="21"/>
                      <w:szCs w:val="21"/>
                      <w:lang w:val="en-US" w:eastAsia="zh-CN"/>
                    </w:rPr>
                  </w:pPr>
                  <w:r>
                    <w:rPr>
                      <w:rFonts w:hint="eastAsia"/>
                      <w:sz w:val="21"/>
                      <w:szCs w:val="21"/>
                      <w:lang w:val="en-US" w:eastAsia="zh-CN"/>
                    </w:rPr>
                    <w:t>中石油钻井泥浆配置站原料库房</w:t>
                  </w:r>
                </w:p>
              </w:tc>
              <w:tc>
                <w:tcPr>
                  <w:tcW w:w="503" w:type="pct"/>
                  <w:vAlign w:val="center"/>
                </w:tcPr>
                <w:p w14:paraId="10BB9CC8">
                  <w:pPr>
                    <w:pStyle w:val="12"/>
                    <w:jc w:val="center"/>
                    <w:rPr>
                      <w:rFonts w:hint="default" w:eastAsia="宋体" w:cs="Times New Roman"/>
                      <w:sz w:val="21"/>
                      <w:szCs w:val="21"/>
                      <w:lang w:val="en-US" w:eastAsia="zh-CN"/>
                    </w:rPr>
                  </w:pPr>
                  <w:r>
                    <w:rPr>
                      <w:rFonts w:hint="eastAsia" w:cs="Times New Roman"/>
                      <w:sz w:val="21"/>
                      <w:szCs w:val="21"/>
                      <w:lang w:val="en-US" w:eastAsia="zh-CN"/>
                    </w:rPr>
                    <w:t>北侧</w:t>
                  </w:r>
                </w:p>
              </w:tc>
              <w:tc>
                <w:tcPr>
                  <w:tcW w:w="861" w:type="pct"/>
                  <w:vAlign w:val="center"/>
                </w:tcPr>
                <w:p w14:paraId="370247AC">
                  <w:pPr>
                    <w:pStyle w:val="12"/>
                    <w:jc w:val="center"/>
                    <w:rPr>
                      <w:rFonts w:hint="default" w:eastAsia="宋体" w:cs="Times New Roman"/>
                      <w:sz w:val="21"/>
                      <w:szCs w:val="21"/>
                      <w:lang w:val="en-US" w:eastAsia="zh-CN"/>
                    </w:rPr>
                  </w:pPr>
                  <w:r>
                    <w:rPr>
                      <w:rFonts w:hint="eastAsia" w:cs="Times New Roman"/>
                      <w:sz w:val="21"/>
                      <w:szCs w:val="21"/>
                      <w:lang w:val="en-US" w:eastAsia="zh-CN"/>
                    </w:rPr>
                    <w:t>24</w:t>
                  </w:r>
                </w:p>
              </w:tc>
              <w:tc>
                <w:tcPr>
                  <w:tcW w:w="1307" w:type="pct"/>
                  <w:vAlign w:val="center"/>
                </w:tcPr>
                <w:p w14:paraId="196CF3BD">
                  <w:pPr>
                    <w:pStyle w:val="12"/>
                    <w:jc w:val="center"/>
                    <w:rPr>
                      <w:rFonts w:hint="eastAsia" w:cs="Times New Roman"/>
                      <w:sz w:val="21"/>
                      <w:szCs w:val="21"/>
                    </w:rPr>
                  </w:pPr>
                  <w:r>
                    <w:rPr>
                      <w:rFonts w:hint="eastAsia" w:cs="Times New Roman"/>
                      <w:sz w:val="21"/>
                      <w:szCs w:val="21"/>
                    </w:rPr>
                    <w:t>企业</w:t>
                  </w:r>
                </w:p>
              </w:tc>
            </w:tr>
            <w:tr w14:paraId="044D8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07" w:hRule="atLeast"/>
                <w:jc w:val="center"/>
              </w:trPr>
              <w:tc>
                <w:tcPr>
                  <w:tcW w:w="320" w:type="pct"/>
                  <w:shd w:val="clear" w:color="auto" w:fill="auto"/>
                  <w:vAlign w:val="center"/>
                </w:tcPr>
                <w:p w14:paraId="7CDDE430">
                  <w:pPr>
                    <w:pStyle w:val="12"/>
                    <w:ind w:firstLine="0" w:firstLineChars="0"/>
                    <w:jc w:val="center"/>
                    <w:rPr>
                      <w:rFonts w:hint="eastAsia" w:ascii="Times New Roman" w:hAnsi="Times New Roman" w:eastAsia="宋体" w:cs="Times New Roman"/>
                      <w:b w:val="0"/>
                      <w:bCs/>
                      <w:kern w:val="0"/>
                      <w:sz w:val="21"/>
                      <w:szCs w:val="21"/>
                      <w:lang w:val="en-US" w:eastAsia="zh-CN" w:bidi="ar-SA"/>
                    </w:rPr>
                  </w:pPr>
                  <w:r>
                    <w:rPr>
                      <w:rFonts w:hint="eastAsia" w:cs="Times New Roman"/>
                      <w:sz w:val="21"/>
                      <w:szCs w:val="21"/>
                      <w:lang w:val="en-US" w:eastAsia="zh-CN"/>
                    </w:rPr>
                    <w:t>3</w:t>
                  </w:r>
                </w:p>
              </w:tc>
              <w:tc>
                <w:tcPr>
                  <w:tcW w:w="2007" w:type="pct"/>
                  <w:vAlign w:val="center"/>
                </w:tcPr>
                <w:p w14:paraId="17B04767">
                  <w:pPr>
                    <w:pStyle w:val="12"/>
                    <w:jc w:val="center"/>
                    <w:rPr>
                      <w:rFonts w:hint="eastAsia"/>
                      <w:sz w:val="21"/>
                      <w:szCs w:val="21"/>
                      <w:lang w:val="en-US" w:eastAsia="zh-CN"/>
                    </w:rPr>
                  </w:pPr>
                  <w:r>
                    <w:rPr>
                      <w:rFonts w:hint="eastAsia"/>
                      <w:sz w:val="21"/>
                      <w:szCs w:val="21"/>
                      <w:lang w:val="en-US" w:eastAsia="zh-CN"/>
                    </w:rPr>
                    <w:t>中石油钻井泥浆配置站</w:t>
                  </w:r>
                </w:p>
              </w:tc>
              <w:tc>
                <w:tcPr>
                  <w:tcW w:w="503" w:type="pct"/>
                  <w:vAlign w:val="center"/>
                </w:tcPr>
                <w:p w14:paraId="1B4DA4FE">
                  <w:pPr>
                    <w:pStyle w:val="12"/>
                    <w:jc w:val="center"/>
                    <w:rPr>
                      <w:rFonts w:hint="default" w:cs="Times New Roman"/>
                      <w:sz w:val="21"/>
                      <w:szCs w:val="21"/>
                      <w:lang w:val="en-US" w:eastAsia="zh-CN"/>
                    </w:rPr>
                  </w:pPr>
                  <w:r>
                    <w:rPr>
                      <w:rFonts w:hint="eastAsia" w:cs="Times New Roman"/>
                      <w:sz w:val="21"/>
                      <w:szCs w:val="21"/>
                      <w:lang w:val="en-US" w:eastAsia="zh-CN"/>
                    </w:rPr>
                    <w:t>北侧</w:t>
                  </w:r>
                </w:p>
              </w:tc>
              <w:tc>
                <w:tcPr>
                  <w:tcW w:w="861" w:type="pct"/>
                  <w:vAlign w:val="center"/>
                </w:tcPr>
                <w:p w14:paraId="44B5FDDC">
                  <w:pPr>
                    <w:pStyle w:val="12"/>
                    <w:jc w:val="center"/>
                    <w:rPr>
                      <w:rFonts w:hint="default" w:cs="Times New Roman"/>
                      <w:sz w:val="21"/>
                      <w:szCs w:val="21"/>
                      <w:lang w:val="en-US" w:eastAsia="zh-CN"/>
                    </w:rPr>
                  </w:pPr>
                  <w:r>
                    <w:rPr>
                      <w:rFonts w:hint="eastAsia" w:cs="Times New Roman"/>
                      <w:sz w:val="21"/>
                      <w:szCs w:val="21"/>
                      <w:lang w:val="en-US" w:eastAsia="zh-CN"/>
                    </w:rPr>
                    <w:t>10</w:t>
                  </w:r>
                </w:p>
              </w:tc>
              <w:tc>
                <w:tcPr>
                  <w:tcW w:w="1307" w:type="pct"/>
                  <w:vAlign w:val="center"/>
                </w:tcPr>
                <w:p w14:paraId="27C28586">
                  <w:pPr>
                    <w:pStyle w:val="12"/>
                    <w:jc w:val="center"/>
                    <w:rPr>
                      <w:rFonts w:hint="eastAsia" w:eastAsia="宋体" w:cs="Times New Roman"/>
                      <w:sz w:val="21"/>
                      <w:szCs w:val="21"/>
                      <w:lang w:val="en-US" w:eastAsia="zh-CN"/>
                    </w:rPr>
                  </w:pPr>
                  <w:r>
                    <w:rPr>
                      <w:rFonts w:hint="eastAsia" w:cs="Times New Roman"/>
                      <w:sz w:val="21"/>
                      <w:szCs w:val="21"/>
                      <w:lang w:val="en-US" w:eastAsia="zh-CN"/>
                    </w:rPr>
                    <w:t>企业</w:t>
                  </w:r>
                </w:p>
              </w:tc>
            </w:tr>
            <w:tr w14:paraId="42115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07" w:hRule="atLeast"/>
                <w:jc w:val="center"/>
              </w:trPr>
              <w:tc>
                <w:tcPr>
                  <w:tcW w:w="320" w:type="pct"/>
                  <w:shd w:val="clear" w:color="auto" w:fill="auto"/>
                  <w:vAlign w:val="center"/>
                </w:tcPr>
                <w:p w14:paraId="116E7EF0">
                  <w:pPr>
                    <w:pStyle w:val="12"/>
                    <w:ind w:firstLine="0" w:firstLineChars="0"/>
                    <w:jc w:val="center"/>
                    <w:rPr>
                      <w:rFonts w:hint="eastAsia" w:ascii="Times New Roman" w:hAnsi="Times New Roman" w:eastAsia="宋体" w:cs="Times New Roman"/>
                      <w:b w:val="0"/>
                      <w:bCs/>
                      <w:kern w:val="0"/>
                      <w:sz w:val="21"/>
                      <w:szCs w:val="21"/>
                      <w:lang w:val="en-US" w:eastAsia="zh-CN" w:bidi="ar-SA"/>
                    </w:rPr>
                  </w:pPr>
                  <w:r>
                    <w:rPr>
                      <w:rFonts w:hint="eastAsia" w:cs="Times New Roman"/>
                      <w:sz w:val="21"/>
                      <w:szCs w:val="21"/>
                      <w:lang w:val="en-US" w:eastAsia="zh-CN"/>
                    </w:rPr>
                    <w:t>4</w:t>
                  </w:r>
                </w:p>
              </w:tc>
              <w:tc>
                <w:tcPr>
                  <w:tcW w:w="2007" w:type="pct"/>
                  <w:vAlign w:val="center"/>
                </w:tcPr>
                <w:p w14:paraId="57088A36">
                  <w:pPr>
                    <w:pStyle w:val="12"/>
                    <w:jc w:val="center"/>
                    <w:rPr>
                      <w:rFonts w:hint="default" w:eastAsia="宋体" w:cs="Times New Roman"/>
                      <w:sz w:val="21"/>
                      <w:szCs w:val="21"/>
                      <w:lang w:val="en-US" w:eastAsia="zh-CN"/>
                    </w:rPr>
                  </w:pPr>
                  <w:r>
                    <w:rPr>
                      <w:rFonts w:hint="eastAsia"/>
                      <w:sz w:val="21"/>
                      <w:szCs w:val="21"/>
                      <w:lang w:val="en-US" w:eastAsia="zh-CN"/>
                    </w:rPr>
                    <w:t>大众产业园二期</w:t>
                  </w:r>
                </w:p>
              </w:tc>
              <w:tc>
                <w:tcPr>
                  <w:tcW w:w="503" w:type="pct"/>
                  <w:vAlign w:val="center"/>
                </w:tcPr>
                <w:p w14:paraId="7DAB2F53">
                  <w:pPr>
                    <w:pStyle w:val="12"/>
                    <w:jc w:val="center"/>
                    <w:rPr>
                      <w:rFonts w:hint="eastAsia" w:eastAsia="宋体" w:cs="Times New Roman"/>
                      <w:sz w:val="21"/>
                      <w:szCs w:val="21"/>
                      <w:lang w:eastAsia="zh-CN"/>
                    </w:rPr>
                  </w:pPr>
                  <w:r>
                    <w:rPr>
                      <w:rFonts w:hint="eastAsia" w:cs="Times New Roman"/>
                      <w:sz w:val="21"/>
                      <w:szCs w:val="21"/>
                      <w:lang w:val="en-US" w:eastAsia="zh-CN"/>
                    </w:rPr>
                    <w:t>北侧</w:t>
                  </w:r>
                </w:p>
              </w:tc>
              <w:tc>
                <w:tcPr>
                  <w:tcW w:w="861" w:type="pct"/>
                  <w:vAlign w:val="center"/>
                </w:tcPr>
                <w:p w14:paraId="2B439111">
                  <w:pPr>
                    <w:pStyle w:val="12"/>
                    <w:jc w:val="center"/>
                    <w:rPr>
                      <w:rFonts w:hint="eastAsia" w:eastAsia="宋体" w:cs="Times New Roman"/>
                      <w:sz w:val="21"/>
                      <w:szCs w:val="21"/>
                      <w:lang w:eastAsia="zh-CN"/>
                    </w:rPr>
                  </w:pPr>
                  <w:r>
                    <w:rPr>
                      <w:rFonts w:hint="eastAsia" w:cs="Times New Roman"/>
                      <w:sz w:val="21"/>
                      <w:szCs w:val="21"/>
                    </w:rPr>
                    <w:t>1</w:t>
                  </w:r>
                  <w:r>
                    <w:rPr>
                      <w:rFonts w:cs="Times New Roman"/>
                      <w:sz w:val="21"/>
                      <w:szCs w:val="21"/>
                    </w:rPr>
                    <w:t>5</w:t>
                  </w:r>
                  <w:r>
                    <w:rPr>
                      <w:rFonts w:hint="eastAsia" w:cs="Times New Roman"/>
                      <w:sz w:val="21"/>
                      <w:szCs w:val="21"/>
                      <w:lang w:val="en-US" w:eastAsia="zh-CN"/>
                    </w:rPr>
                    <w:t>5</w:t>
                  </w:r>
                </w:p>
              </w:tc>
              <w:tc>
                <w:tcPr>
                  <w:tcW w:w="1307" w:type="pct"/>
                  <w:vAlign w:val="center"/>
                </w:tcPr>
                <w:p w14:paraId="5A211436">
                  <w:pPr>
                    <w:pStyle w:val="12"/>
                    <w:jc w:val="center"/>
                    <w:rPr>
                      <w:rFonts w:cs="Times New Roman"/>
                      <w:sz w:val="21"/>
                      <w:szCs w:val="21"/>
                    </w:rPr>
                  </w:pPr>
                  <w:r>
                    <w:rPr>
                      <w:rFonts w:hint="eastAsia" w:cs="Times New Roman"/>
                      <w:sz w:val="21"/>
                      <w:szCs w:val="21"/>
                    </w:rPr>
                    <w:t>企业</w:t>
                  </w:r>
                </w:p>
              </w:tc>
            </w:tr>
            <w:tr w14:paraId="101EE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320" w:type="pct"/>
                  <w:shd w:val="clear" w:color="auto" w:fill="auto"/>
                  <w:vAlign w:val="center"/>
                </w:tcPr>
                <w:p w14:paraId="74AF8F63">
                  <w:pPr>
                    <w:pStyle w:val="12"/>
                    <w:ind w:firstLine="0" w:firstLineChars="0"/>
                    <w:jc w:val="center"/>
                    <w:rPr>
                      <w:rFonts w:hint="eastAsia" w:ascii="Times New Roman" w:hAnsi="Times New Roman" w:eastAsia="宋体" w:cs="Times New Roman"/>
                      <w:b w:val="0"/>
                      <w:bCs/>
                      <w:kern w:val="0"/>
                      <w:sz w:val="21"/>
                      <w:szCs w:val="21"/>
                      <w:lang w:val="en-US" w:eastAsia="zh-CN" w:bidi="ar-SA"/>
                    </w:rPr>
                  </w:pPr>
                  <w:r>
                    <w:rPr>
                      <w:rFonts w:hint="eastAsia" w:cs="Times New Roman"/>
                      <w:sz w:val="21"/>
                      <w:szCs w:val="21"/>
                      <w:lang w:val="en-US" w:eastAsia="zh-CN"/>
                    </w:rPr>
                    <w:t>5</w:t>
                  </w:r>
                </w:p>
              </w:tc>
              <w:tc>
                <w:tcPr>
                  <w:tcW w:w="2007" w:type="pct"/>
                  <w:vAlign w:val="center"/>
                </w:tcPr>
                <w:p w14:paraId="0E1CB0BE">
                  <w:pPr>
                    <w:pStyle w:val="12"/>
                    <w:jc w:val="center"/>
                    <w:rPr>
                      <w:rFonts w:hint="default" w:eastAsia="宋体" w:cs="Times New Roman"/>
                      <w:sz w:val="21"/>
                      <w:szCs w:val="21"/>
                      <w:lang w:val="en-US" w:eastAsia="zh-CN"/>
                    </w:rPr>
                  </w:pPr>
                  <w:r>
                    <w:rPr>
                      <w:rFonts w:hint="eastAsia" w:cs="Times New Roman"/>
                      <w:sz w:val="21"/>
                      <w:szCs w:val="21"/>
                      <w:lang w:val="en-US" w:eastAsia="zh-CN"/>
                    </w:rPr>
                    <w:t>中铁十一局集团有限公司项目部</w:t>
                  </w:r>
                </w:p>
              </w:tc>
              <w:tc>
                <w:tcPr>
                  <w:tcW w:w="503" w:type="pct"/>
                  <w:vAlign w:val="center"/>
                </w:tcPr>
                <w:p w14:paraId="7DB53286">
                  <w:pPr>
                    <w:pStyle w:val="12"/>
                    <w:jc w:val="center"/>
                    <w:rPr>
                      <w:rFonts w:hint="default" w:eastAsia="宋体" w:cs="Times New Roman"/>
                      <w:sz w:val="21"/>
                      <w:szCs w:val="21"/>
                      <w:lang w:val="en-US" w:eastAsia="zh-CN"/>
                    </w:rPr>
                  </w:pPr>
                  <w:r>
                    <w:rPr>
                      <w:rFonts w:hint="eastAsia" w:cs="Times New Roman"/>
                      <w:sz w:val="21"/>
                      <w:szCs w:val="21"/>
                      <w:lang w:val="en-US" w:eastAsia="zh-CN"/>
                    </w:rPr>
                    <w:t>东北侧</w:t>
                  </w:r>
                </w:p>
              </w:tc>
              <w:tc>
                <w:tcPr>
                  <w:tcW w:w="861" w:type="pct"/>
                  <w:vAlign w:val="center"/>
                </w:tcPr>
                <w:p w14:paraId="2B604627">
                  <w:pPr>
                    <w:pStyle w:val="12"/>
                    <w:jc w:val="center"/>
                    <w:rPr>
                      <w:rFonts w:hint="default" w:eastAsia="宋体" w:cs="Times New Roman"/>
                      <w:sz w:val="21"/>
                      <w:szCs w:val="21"/>
                      <w:lang w:val="en-US" w:eastAsia="zh-CN"/>
                    </w:rPr>
                  </w:pPr>
                  <w:r>
                    <w:rPr>
                      <w:rFonts w:hint="eastAsia" w:cs="Times New Roman"/>
                      <w:sz w:val="21"/>
                      <w:szCs w:val="21"/>
                      <w:lang w:val="en-US" w:eastAsia="zh-CN"/>
                    </w:rPr>
                    <w:t>60</w:t>
                  </w:r>
                </w:p>
              </w:tc>
              <w:tc>
                <w:tcPr>
                  <w:tcW w:w="1307" w:type="pct"/>
                  <w:vAlign w:val="center"/>
                </w:tcPr>
                <w:p w14:paraId="2770093B">
                  <w:pPr>
                    <w:pStyle w:val="12"/>
                    <w:jc w:val="center"/>
                    <w:rPr>
                      <w:rFonts w:cs="Times New Roman"/>
                      <w:sz w:val="21"/>
                      <w:szCs w:val="21"/>
                    </w:rPr>
                  </w:pPr>
                  <w:r>
                    <w:rPr>
                      <w:rFonts w:hint="eastAsia" w:cs="Times New Roman"/>
                      <w:sz w:val="21"/>
                      <w:szCs w:val="21"/>
                    </w:rPr>
                    <w:t>企业</w:t>
                  </w:r>
                </w:p>
              </w:tc>
            </w:tr>
            <w:tr w14:paraId="4C390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320" w:type="pct"/>
                  <w:shd w:val="clear" w:color="auto" w:fill="auto"/>
                  <w:vAlign w:val="center"/>
                </w:tcPr>
                <w:p w14:paraId="2D390D44">
                  <w:pPr>
                    <w:pStyle w:val="12"/>
                    <w:ind w:firstLine="0" w:firstLineChars="0"/>
                    <w:jc w:val="center"/>
                    <w:rPr>
                      <w:rFonts w:hint="eastAsia" w:ascii="Times New Roman" w:hAnsi="Times New Roman" w:eastAsia="宋体" w:cs="Times New Roman"/>
                      <w:b w:val="0"/>
                      <w:bCs/>
                      <w:kern w:val="0"/>
                      <w:sz w:val="21"/>
                      <w:szCs w:val="21"/>
                      <w:lang w:val="en-US" w:eastAsia="zh-CN" w:bidi="ar-SA"/>
                    </w:rPr>
                  </w:pPr>
                  <w:r>
                    <w:rPr>
                      <w:rFonts w:hint="eastAsia" w:cs="Times New Roman"/>
                      <w:sz w:val="21"/>
                      <w:szCs w:val="21"/>
                      <w:lang w:val="en-US" w:eastAsia="zh-CN"/>
                    </w:rPr>
                    <w:t>6</w:t>
                  </w:r>
                </w:p>
              </w:tc>
              <w:tc>
                <w:tcPr>
                  <w:tcW w:w="2007" w:type="pct"/>
                  <w:vAlign w:val="center"/>
                </w:tcPr>
                <w:p w14:paraId="00BEBDED">
                  <w:pPr>
                    <w:pStyle w:val="12"/>
                    <w:jc w:val="center"/>
                    <w:rPr>
                      <w:rFonts w:cs="Times New Roman"/>
                      <w:sz w:val="21"/>
                      <w:szCs w:val="21"/>
                    </w:rPr>
                  </w:pPr>
                  <w:r>
                    <w:rPr>
                      <w:rFonts w:cs="Times New Roman"/>
                      <w:sz w:val="21"/>
                      <w:szCs w:val="21"/>
                    </w:rPr>
                    <w:t>平昌县茂鑫金属制品有限公司</w:t>
                  </w:r>
                </w:p>
              </w:tc>
              <w:tc>
                <w:tcPr>
                  <w:tcW w:w="503" w:type="pct"/>
                  <w:vAlign w:val="center"/>
                </w:tcPr>
                <w:p w14:paraId="3088E6DE">
                  <w:pPr>
                    <w:pStyle w:val="12"/>
                    <w:jc w:val="center"/>
                    <w:rPr>
                      <w:rFonts w:hint="eastAsia" w:eastAsia="宋体" w:cs="Times New Roman"/>
                      <w:sz w:val="21"/>
                      <w:szCs w:val="21"/>
                      <w:lang w:eastAsia="zh-CN"/>
                    </w:rPr>
                  </w:pPr>
                  <w:r>
                    <w:rPr>
                      <w:rFonts w:hint="eastAsia" w:cs="Times New Roman"/>
                      <w:sz w:val="21"/>
                      <w:szCs w:val="21"/>
                      <w:lang w:val="en-US" w:eastAsia="zh-CN"/>
                    </w:rPr>
                    <w:t>西北侧</w:t>
                  </w:r>
                </w:p>
              </w:tc>
              <w:tc>
                <w:tcPr>
                  <w:tcW w:w="861" w:type="pct"/>
                  <w:vAlign w:val="center"/>
                </w:tcPr>
                <w:p w14:paraId="0F0DAE37">
                  <w:pPr>
                    <w:pStyle w:val="12"/>
                    <w:jc w:val="center"/>
                    <w:rPr>
                      <w:rFonts w:hint="default" w:eastAsia="宋体" w:cs="Times New Roman"/>
                      <w:sz w:val="21"/>
                      <w:szCs w:val="21"/>
                      <w:lang w:val="en-US" w:eastAsia="zh-CN"/>
                    </w:rPr>
                  </w:pPr>
                  <w:r>
                    <w:rPr>
                      <w:rFonts w:hint="eastAsia" w:cs="Times New Roman"/>
                      <w:sz w:val="21"/>
                      <w:szCs w:val="21"/>
                      <w:lang w:val="en-US" w:eastAsia="zh-CN"/>
                    </w:rPr>
                    <w:t>330</w:t>
                  </w:r>
                </w:p>
              </w:tc>
              <w:tc>
                <w:tcPr>
                  <w:tcW w:w="1307" w:type="pct"/>
                  <w:vAlign w:val="center"/>
                </w:tcPr>
                <w:p w14:paraId="1AE1319D">
                  <w:pPr>
                    <w:pStyle w:val="12"/>
                    <w:jc w:val="center"/>
                    <w:rPr>
                      <w:rFonts w:hint="eastAsia" w:cs="Times New Roman"/>
                      <w:sz w:val="21"/>
                      <w:szCs w:val="21"/>
                    </w:rPr>
                  </w:pPr>
                  <w:r>
                    <w:rPr>
                      <w:rFonts w:hint="eastAsia" w:cs="Times New Roman"/>
                      <w:sz w:val="21"/>
                      <w:szCs w:val="21"/>
                    </w:rPr>
                    <w:t>企业</w:t>
                  </w:r>
                </w:p>
              </w:tc>
            </w:tr>
            <w:tr w14:paraId="7F31F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320" w:type="pct"/>
                  <w:shd w:val="clear" w:color="auto" w:fill="auto"/>
                  <w:vAlign w:val="center"/>
                </w:tcPr>
                <w:p w14:paraId="424DF4EC">
                  <w:pPr>
                    <w:pStyle w:val="12"/>
                    <w:ind w:firstLine="0" w:firstLineChars="0"/>
                    <w:jc w:val="center"/>
                    <w:rPr>
                      <w:rFonts w:hint="eastAsia" w:ascii="Times New Roman" w:hAnsi="Times New Roman" w:eastAsia="宋体" w:cs="Times New Roman"/>
                      <w:b w:val="0"/>
                      <w:bCs/>
                      <w:kern w:val="0"/>
                      <w:sz w:val="21"/>
                      <w:szCs w:val="21"/>
                      <w:lang w:val="en-US" w:eastAsia="zh-CN" w:bidi="ar-SA"/>
                    </w:rPr>
                  </w:pPr>
                  <w:r>
                    <w:rPr>
                      <w:rFonts w:hint="eastAsia" w:cs="Times New Roman"/>
                      <w:sz w:val="21"/>
                      <w:szCs w:val="21"/>
                      <w:lang w:val="en-US" w:eastAsia="zh-CN"/>
                    </w:rPr>
                    <w:t>7</w:t>
                  </w:r>
                </w:p>
              </w:tc>
              <w:tc>
                <w:tcPr>
                  <w:tcW w:w="2007" w:type="pct"/>
                  <w:vAlign w:val="center"/>
                </w:tcPr>
                <w:p w14:paraId="43B9DC66">
                  <w:pPr>
                    <w:pStyle w:val="12"/>
                    <w:jc w:val="center"/>
                    <w:rPr>
                      <w:rFonts w:hint="eastAsia" w:eastAsia="宋体" w:cs="Times New Roman"/>
                      <w:sz w:val="21"/>
                      <w:szCs w:val="21"/>
                      <w:lang w:eastAsia="zh-CN"/>
                    </w:rPr>
                  </w:pPr>
                  <w:r>
                    <w:rPr>
                      <w:rFonts w:hint="eastAsia" w:cs="Times New Roman"/>
                      <w:sz w:val="21"/>
                      <w:szCs w:val="21"/>
                      <w:lang w:eastAsia="zh-CN"/>
                    </w:rPr>
                    <w:t>平昌县助力车轮制造有限公司</w:t>
                  </w:r>
                </w:p>
              </w:tc>
              <w:tc>
                <w:tcPr>
                  <w:tcW w:w="503" w:type="pct"/>
                  <w:vAlign w:val="center"/>
                </w:tcPr>
                <w:p w14:paraId="4C4906A7">
                  <w:pPr>
                    <w:pStyle w:val="12"/>
                    <w:jc w:val="center"/>
                    <w:rPr>
                      <w:rFonts w:hint="eastAsia" w:eastAsia="宋体" w:cs="Times New Roman"/>
                      <w:sz w:val="21"/>
                      <w:szCs w:val="21"/>
                      <w:lang w:val="en-US" w:eastAsia="zh-CN"/>
                    </w:rPr>
                  </w:pPr>
                  <w:r>
                    <w:rPr>
                      <w:rFonts w:hint="eastAsia" w:cs="Times New Roman"/>
                      <w:sz w:val="21"/>
                      <w:szCs w:val="21"/>
                      <w:lang w:val="en-US" w:eastAsia="zh-CN"/>
                    </w:rPr>
                    <w:t>北侧</w:t>
                  </w:r>
                </w:p>
              </w:tc>
              <w:tc>
                <w:tcPr>
                  <w:tcW w:w="861" w:type="pct"/>
                  <w:vAlign w:val="center"/>
                </w:tcPr>
                <w:p w14:paraId="28910717">
                  <w:pPr>
                    <w:pStyle w:val="12"/>
                    <w:jc w:val="center"/>
                    <w:rPr>
                      <w:rFonts w:hint="default" w:eastAsia="宋体" w:cs="Times New Roman"/>
                      <w:sz w:val="21"/>
                      <w:szCs w:val="21"/>
                      <w:lang w:val="en-US" w:eastAsia="zh-CN"/>
                    </w:rPr>
                  </w:pPr>
                  <w:r>
                    <w:rPr>
                      <w:rFonts w:hint="eastAsia" w:cs="Times New Roman"/>
                      <w:sz w:val="21"/>
                      <w:szCs w:val="21"/>
                    </w:rPr>
                    <w:t>2</w:t>
                  </w:r>
                  <w:r>
                    <w:rPr>
                      <w:rFonts w:hint="eastAsia" w:cs="Times New Roman"/>
                      <w:sz w:val="21"/>
                      <w:szCs w:val="21"/>
                      <w:lang w:val="en-US" w:eastAsia="zh-CN"/>
                    </w:rPr>
                    <w:t>75</w:t>
                  </w:r>
                </w:p>
              </w:tc>
              <w:tc>
                <w:tcPr>
                  <w:tcW w:w="1307" w:type="pct"/>
                  <w:vAlign w:val="center"/>
                </w:tcPr>
                <w:p w14:paraId="5EC9CFB3">
                  <w:pPr>
                    <w:pStyle w:val="12"/>
                    <w:jc w:val="center"/>
                    <w:rPr>
                      <w:rFonts w:cs="Times New Roman"/>
                      <w:sz w:val="21"/>
                      <w:szCs w:val="21"/>
                    </w:rPr>
                  </w:pPr>
                  <w:r>
                    <w:rPr>
                      <w:rFonts w:hint="eastAsia" w:cs="Times New Roman"/>
                      <w:sz w:val="21"/>
                      <w:szCs w:val="21"/>
                    </w:rPr>
                    <w:t>企业</w:t>
                  </w:r>
                </w:p>
              </w:tc>
            </w:tr>
            <w:tr w14:paraId="39688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320" w:type="pct"/>
                  <w:shd w:val="clear" w:color="auto" w:fill="auto"/>
                  <w:vAlign w:val="center"/>
                </w:tcPr>
                <w:p w14:paraId="3AFB1011">
                  <w:pPr>
                    <w:pStyle w:val="12"/>
                    <w:ind w:firstLine="0" w:firstLineChars="0"/>
                    <w:jc w:val="center"/>
                    <w:rPr>
                      <w:rFonts w:hint="eastAsia" w:ascii="Times New Roman" w:hAnsi="Times New Roman" w:eastAsia="宋体" w:cs="Times New Roman"/>
                      <w:b w:val="0"/>
                      <w:bCs/>
                      <w:kern w:val="0"/>
                      <w:sz w:val="21"/>
                      <w:szCs w:val="21"/>
                      <w:lang w:val="en-US" w:eastAsia="zh-CN" w:bidi="ar-SA"/>
                    </w:rPr>
                  </w:pPr>
                  <w:r>
                    <w:rPr>
                      <w:rFonts w:hint="eastAsia" w:cs="Times New Roman"/>
                      <w:sz w:val="21"/>
                      <w:szCs w:val="21"/>
                      <w:lang w:val="en-US" w:eastAsia="zh-CN"/>
                    </w:rPr>
                    <w:t>8</w:t>
                  </w:r>
                </w:p>
              </w:tc>
              <w:tc>
                <w:tcPr>
                  <w:tcW w:w="2007" w:type="pct"/>
                  <w:vAlign w:val="center"/>
                </w:tcPr>
                <w:p w14:paraId="4CA42B60">
                  <w:pPr>
                    <w:pStyle w:val="12"/>
                    <w:jc w:val="center"/>
                    <w:rPr>
                      <w:rFonts w:hint="eastAsia" w:eastAsia="宋体" w:cs="Times New Roman"/>
                      <w:sz w:val="21"/>
                      <w:szCs w:val="21"/>
                      <w:lang w:eastAsia="zh-CN"/>
                    </w:rPr>
                  </w:pPr>
                  <w:r>
                    <w:rPr>
                      <w:rFonts w:hint="eastAsia" w:cs="Times New Roman"/>
                      <w:sz w:val="21"/>
                      <w:szCs w:val="21"/>
                      <w:lang w:eastAsia="zh-CN"/>
                    </w:rPr>
                    <w:t>光富报废汽车回收有限责任公司</w:t>
                  </w:r>
                </w:p>
              </w:tc>
              <w:tc>
                <w:tcPr>
                  <w:tcW w:w="503" w:type="pct"/>
                  <w:vAlign w:val="center"/>
                </w:tcPr>
                <w:p w14:paraId="5120DB7D">
                  <w:pPr>
                    <w:pStyle w:val="12"/>
                    <w:jc w:val="center"/>
                    <w:rPr>
                      <w:rFonts w:hint="default" w:eastAsia="宋体" w:cs="Times New Roman"/>
                      <w:sz w:val="21"/>
                      <w:szCs w:val="21"/>
                      <w:lang w:val="en-US" w:eastAsia="zh-CN"/>
                    </w:rPr>
                  </w:pPr>
                  <w:r>
                    <w:rPr>
                      <w:rFonts w:hint="eastAsia" w:cs="Times New Roman"/>
                      <w:sz w:val="21"/>
                      <w:szCs w:val="21"/>
                      <w:lang w:val="en-US" w:eastAsia="zh-CN"/>
                    </w:rPr>
                    <w:t>东北侧</w:t>
                  </w:r>
                </w:p>
              </w:tc>
              <w:tc>
                <w:tcPr>
                  <w:tcW w:w="861" w:type="pct"/>
                  <w:vAlign w:val="center"/>
                </w:tcPr>
                <w:p w14:paraId="74912D8A">
                  <w:pPr>
                    <w:pStyle w:val="12"/>
                    <w:jc w:val="center"/>
                    <w:rPr>
                      <w:rFonts w:hint="default" w:eastAsia="宋体" w:cs="Times New Roman"/>
                      <w:sz w:val="21"/>
                      <w:szCs w:val="21"/>
                      <w:lang w:val="en-US" w:eastAsia="zh-CN"/>
                    </w:rPr>
                  </w:pPr>
                  <w:r>
                    <w:rPr>
                      <w:rFonts w:hint="eastAsia" w:cs="Times New Roman"/>
                      <w:sz w:val="21"/>
                      <w:szCs w:val="21"/>
                      <w:lang w:val="en-US" w:eastAsia="zh-CN"/>
                    </w:rPr>
                    <w:t>285</w:t>
                  </w:r>
                </w:p>
              </w:tc>
              <w:tc>
                <w:tcPr>
                  <w:tcW w:w="1307" w:type="pct"/>
                  <w:vAlign w:val="center"/>
                </w:tcPr>
                <w:p w14:paraId="008CECE4">
                  <w:pPr>
                    <w:pStyle w:val="12"/>
                    <w:jc w:val="center"/>
                    <w:rPr>
                      <w:rFonts w:cs="Times New Roman"/>
                      <w:sz w:val="21"/>
                      <w:szCs w:val="21"/>
                    </w:rPr>
                  </w:pPr>
                  <w:r>
                    <w:rPr>
                      <w:rFonts w:hint="eastAsia" w:cs="Times New Roman"/>
                      <w:sz w:val="21"/>
                      <w:szCs w:val="21"/>
                    </w:rPr>
                    <w:t>企业</w:t>
                  </w:r>
                </w:p>
              </w:tc>
            </w:tr>
            <w:tr w14:paraId="09821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320" w:type="pct"/>
                  <w:shd w:val="clear" w:color="auto" w:fill="auto"/>
                  <w:vAlign w:val="center"/>
                </w:tcPr>
                <w:p w14:paraId="5B137C0E">
                  <w:pPr>
                    <w:pStyle w:val="12"/>
                    <w:ind w:firstLine="0" w:firstLineChars="0"/>
                    <w:jc w:val="center"/>
                    <w:rPr>
                      <w:rFonts w:hint="default" w:ascii="Times New Roman" w:hAnsi="Times New Roman" w:eastAsia="宋体" w:cs="Times New Roman"/>
                      <w:b w:val="0"/>
                      <w:bCs/>
                      <w:kern w:val="0"/>
                      <w:sz w:val="21"/>
                      <w:szCs w:val="21"/>
                      <w:lang w:val="en-US" w:eastAsia="zh-CN" w:bidi="ar-SA"/>
                    </w:rPr>
                  </w:pPr>
                  <w:r>
                    <w:rPr>
                      <w:rFonts w:hint="eastAsia" w:cs="Times New Roman"/>
                      <w:sz w:val="21"/>
                      <w:szCs w:val="21"/>
                      <w:lang w:val="en-US" w:eastAsia="zh-CN"/>
                    </w:rPr>
                    <w:t>9</w:t>
                  </w:r>
                </w:p>
              </w:tc>
              <w:tc>
                <w:tcPr>
                  <w:tcW w:w="2007" w:type="pct"/>
                  <w:vAlign w:val="center"/>
                </w:tcPr>
                <w:p w14:paraId="253FE202">
                  <w:pPr>
                    <w:pStyle w:val="12"/>
                    <w:jc w:val="center"/>
                    <w:rPr>
                      <w:rFonts w:hint="default" w:eastAsia="宋体" w:cs="Times New Roman"/>
                      <w:sz w:val="21"/>
                      <w:szCs w:val="21"/>
                      <w:lang w:val="en-US" w:eastAsia="zh-CN"/>
                    </w:rPr>
                  </w:pPr>
                  <w:r>
                    <w:rPr>
                      <w:rFonts w:hint="eastAsia" w:cs="Times New Roman"/>
                      <w:sz w:val="21"/>
                      <w:szCs w:val="21"/>
                      <w:lang w:val="en-US" w:eastAsia="zh-CN"/>
                    </w:rPr>
                    <w:t>居民点1#</w:t>
                  </w:r>
                </w:p>
              </w:tc>
              <w:tc>
                <w:tcPr>
                  <w:tcW w:w="503" w:type="pct"/>
                  <w:vAlign w:val="center"/>
                </w:tcPr>
                <w:p w14:paraId="6A40B7E8">
                  <w:pPr>
                    <w:pStyle w:val="12"/>
                    <w:jc w:val="center"/>
                    <w:rPr>
                      <w:rFonts w:hint="default" w:eastAsia="宋体" w:cs="Times New Roman"/>
                      <w:sz w:val="21"/>
                      <w:szCs w:val="21"/>
                      <w:lang w:val="en-US" w:eastAsia="zh-CN"/>
                    </w:rPr>
                  </w:pPr>
                  <w:r>
                    <w:rPr>
                      <w:rFonts w:hint="eastAsia" w:cs="Times New Roman"/>
                      <w:sz w:val="21"/>
                      <w:szCs w:val="21"/>
                      <w:lang w:val="en-US" w:eastAsia="zh-CN"/>
                    </w:rPr>
                    <w:t>西北侧</w:t>
                  </w:r>
                </w:p>
              </w:tc>
              <w:tc>
                <w:tcPr>
                  <w:tcW w:w="861" w:type="pct"/>
                  <w:vAlign w:val="center"/>
                </w:tcPr>
                <w:p w14:paraId="7A09F875">
                  <w:pPr>
                    <w:pStyle w:val="12"/>
                    <w:jc w:val="center"/>
                    <w:rPr>
                      <w:rFonts w:hint="default" w:eastAsia="宋体" w:cs="Times New Roman"/>
                      <w:sz w:val="21"/>
                      <w:szCs w:val="21"/>
                      <w:lang w:val="en-US" w:eastAsia="zh-CN"/>
                    </w:rPr>
                  </w:pPr>
                  <w:r>
                    <w:rPr>
                      <w:rFonts w:hint="eastAsia" w:cs="Times New Roman"/>
                      <w:sz w:val="21"/>
                      <w:szCs w:val="21"/>
                      <w:lang w:val="en-US" w:eastAsia="zh-CN"/>
                    </w:rPr>
                    <w:t>400-490</w:t>
                  </w:r>
                </w:p>
              </w:tc>
              <w:tc>
                <w:tcPr>
                  <w:tcW w:w="1307" w:type="pct"/>
                  <w:vAlign w:val="center"/>
                </w:tcPr>
                <w:p w14:paraId="4E768327">
                  <w:pPr>
                    <w:pStyle w:val="12"/>
                    <w:jc w:val="center"/>
                    <w:rPr>
                      <w:rFonts w:hint="eastAsia" w:eastAsia="宋体" w:cs="Times New Roman"/>
                      <w:sz w:val="21"/>
                      <w:szCs w:val="21"/>
                      <w:lang w:val="en-US" w:eastAsia="zh-CN"/>
                    </w:rPr>
                  </w:pPr>
                  <w:r>
                    <w:rPr>
                      <w:rFonts w:hint="eastAsia" w:cs="Times New Roman"/>
                      <w:sz w:val="21"/>
                      <w:szCs w:val="21"/>
                      <w:lang w:val="en-US" w:eastAsia="zh-CN"/>
                    </w:rPr>
                    <w:t>居民</w:t>
                  </w:r>
                </w:p>
              </w:tc>
            </w:tr>
            <w:tr w14:paraId="3C512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320" w:type="pct"/>
                  <w:shd w:val="clear" w:color="auto" w:fill="auto"/>
                  <w:vAlign w:val="center"/>
                </w:tcPr>
                <w:p w14:paraId="7B1189BB">
                  <w:pPr>
                    <w:pStyle w:val="12"/>
                    <w:ind w:firstLine="0" w:firstLineChars="0"/>
                    <w:jc w:val="center"/>
                    <w:rPr>
                      <w:rFonts w:hint="default" w:ascii="Times New Roman" w:hAnsi="Times New Roman" w:eastAsia="宋体" w:cs="Times New Roman"/>
                      <w:b w:val="0"/>
                      <w:bCs/>
                      <w:kern w:val="0"/>
                      <w:sz w:val="21"/>
                      <w:szCs w:val="21"/>
                      <w:lang w:val="en-US" w:eastAsia="zh-CN" w:bidi="ar-SA"/>
                    </w:rPr>
                  </w:pPr>
                  <w:r>
                    <w:rPr>
                      <w:rFonts w:hint="eastAsia" w:cs="Times New Roman"/>
                      <w:sz w:val="21"/>
                      <w:szCs w:val="21"/>
                      <w:lang w:val="en-US" w:eastAsia="zh-CN"/>
                    </w:rPr>
                    <w:t>10</w:t>
                  </w:r>
                </w:p>
              </w:tc>
              <w:tc>
                <w:tcPr>
                  <w:tcW w:w="2007" w:type="pct"/>
                  <w:vAlign w:val="center"/>
                </w:tcPr>
                <w:p w14:paraId="6ADDD7F2">
                  <w:pPr>
                    <w:pStyle w:val="12"/>
                    <w:ind w:firstLine="0" w:firstLineChars="0"/>
                    <w:jc w:val="center"/>
                    <w:rPr>
                      <w:rFonts w:cs="Times New Roman"/>
                      <w:sz w:val="21"/>
                      <w:szCs w:val="21"/>
                    </w:rPr>
                  </w:pPr>
                  <w:r>
                    <w:rPr>
                      <w:rFonts w:hint="eastAsia" w:cs="Times New Roman"/>
                      <w:sz w:val="21"/>
                      <w:szCs w:val="21"/>
                    </w:rPr>
                    <w:t>居民点2</w:t>
                  </w:r>
                  <w:r>
                    <w:rPr>
                      <w:rFonts w:cs="Times New Roman"/>
                      <w:sz w:val="21"/>
                      <w:szCs w:val="21"/>
                    </w:rPr>
                    <w:t>#</w:t>
                  </w:r>
                </w:p>
              </w:tc>
              <w:tc>
                <w:tcPr>
                  <w:tcW w:w="503" w:type="pct"/>
                  <w:vAlign w:val="center"/>
                </w:tcPr>
                <w:p w14:paraId="5BB2596C">
                  <w:pPr>
                    <w:pStyle w:val="12"/>
                    <w:ind w:firstLine="0" w:firstLineChars="0"/>
                    <w:jc w:val="center"/>
                    <w:rPr>
                      <w:rFonts w:hint="eastAsia" w:eastAsia="宋体" w:cs="Times New Roman"/>
                      <w:sz w:val="21"/>
                      <w:szCs w:val="21"/>
                      <w:lang w:eastAsia="zh-CN"/>
                    </w:rPr>
                  </w:pPr>
                  <w:r>
                    <w:rPr>
                      <w:rFonts w:hint="eastAsia" w:cs="Times New Roman"/>
                      <w:sz w:val="21"/>
                      <w:szCs w:val="21"/>
                      <w:lang w:val="en-US" w:eastAsia="zh-CN"/>
                    </w:rPr>
                    <w:t>东北侧</w:t>
                  </w:r>
                </w:p>
              </w:tc>
              <w:tc>
                <w:tcPr>
                  <w:tcW w:w="861" w:type="pct"/>
                  <w:vAlign w:val="center"/>
                </w:tcPr>
                <w:p w14:paraId="641D5D79">
                  <w:pPr>
                    <w:pStyle w:val="12"/>
                    <w:ind w:firstLine="0" w:firstLineChars="0"/>
                    <w:jc w:val="center"/>
                    <w:rPr>
                      <w:rFonts w:cs="Times New Roman"/>
                      <w:sz w:val="21"/>
                      <w:szCs w:val="21"/>
                    </w:rPr>
                  </w:pPr>
                  <w:r>
                    <w:rPr>
                      <w:rFonts w:hint="eastAsia" w:cs="Times New Roman"/>
                      <w:sz w:val="21"/>
                      <w:szCs w:val="21"/>
                      <w:lang w:val="en-US" w:eastAsia="zh-CN"/>
                    </w:rPr>
                    <w:t>460</w:t>
                  </w:r>
                  <w:r>
                    <w:rPr>
                      <w:rFonts w:cs="Times New Roman"/>
                      <w:sz w:val="21"/>
                      <w:szCs w:val="21"/>
                    </w:rPr>
                    <w:t>-</w:t>
                  </w:r>
                  <w:r>
                    <w:rPr>
                      <w:rFonts w:hint="eastAsia" w:cs="Times New Roman"/>
                      <w:sz w:val="21"/>
                      <w:szCs w:val="21"/>
                      <w:lang w:val="en-US" w:eastAsia="zh-CN"/>
                    </w:rPr>
                    <w:t>63</w:t>
                  </w:r>
                  <w:r>
                    <w:rPr>
                      <w:rFonts w:cs="Times New Roman"/>
                      <w:sz w:val="21"/>
                      <w:szCs w:val="21"/>
                    </w:rPr>
                    <w:t>0</w:t>
                  </w:r>
                </w:p>
              </w:tc>
              <w:tc>
                <w:tcPr>
                  <w:tcW w:w="1307" w:type="pct"/>
                  <w:vAlign w:val="center"/>
                </w:tcPr>
                <w:p w14:paraId="5597D19C">
                  <w:pPr>
                    <w:pStyle w:val="12"/>
                    <w:ind w:firstLine="0" w:firstLineChars="0"/>
                    <w:jc w:val="center"/>
                    <w:rPr>
                      <w:rFonts w:cs="Times New Roman"/>
                      <w:sz w:val="21"/>
                      <w:szCs w:val="21"/>
                    </w:rPr>
                  </w:pPr>
                  <w:r>
                    <w:rPr>
                      <w:rFonts w:hint="eastAsia" w:cs="Times New Roman"/>
                      <w:sz w:val="21"/>
                      <w:szCs w:val="21"/>
                    </w:rPr>
                    <w:t>居民</w:t>
                  </w:r>
                </w:p>
              </w:tc>
            </w:tr>
            <w:tr w14:paraId="6A96C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320" w:type="pct"/>
                  <w:shd w:val="clear" w:color="auto" w:fill="auto"/>
                  <w:vAlign w:val="center"/>
                </w:tcPr>
                <w:p w14:paraId="0F85685A">
                  <w:pPr>
                    <w:pStyle w:val="12"/>
                    <w:ind w:firstLine="0" w:firstLineChars="0"/>
                    <w:jc w:val="center"/>
                    <w:rPr>
                      <w:rFonts w:hint="default" w:ascii="Times New Roman" w:hAnsi="Times New Roman" w:eastAsia="宋体" w:cs="Times New Roman"/>
                      <w:b w:val="0"/>
                      <w:bCs/>
                      <w:kern w:val="0"/>
                      <w:sz w:val="21"/>
                      <w:szCs w:val="21"/>
                      <w:lang w:val="en-US" w:eastAsia="zh-CN" w:bidi="ar-SA"/>
                    </w:rPr>
                  </w:pPr>
                  <w:r>
                    <w:rPr>
                      <w:rFonts w:hint="eastAsia" w:cs="Times New Roman"/>
                      <w:sz w:val="21"/>
                      <w:szCs w:val="21"/>
                      <w:lang w:val="en-US" w:eastAsia="zh-CN"/>
                    </w:rPr>
                    <w:t>11</w:t>
                  </w:r>
                </w:p>
              </w:tc>
              <w:tc>
                <w:tcPr>
                  <w:tcW w:w="2007" w:type="pct"/>
                  <w:vAlign w:val="center"/>
                </w:tcPr>
                <w:p w14:paraId="0C010643">
                  <w:pPr>
                    <w:pStyle w:val="12"/>
                    <w:ind w:firstLine="0" w:firstLineChars="0"/>
                    <w:jc w:val="center"/>
                    <w:rPr>
                      <w:rFonts w:cs="Times New Roman"/>
                      <w:sz w:val="21"/>
                      <w:szCs w:val="21"/>
                    </w:rPr>
                  </w:pPr>
                  <w:r>
                    <w:rPr>
                      <w:rFonts w:hint="eastAsia" w:cs="Times New Roman"/>
                      <w:sz w:val="21"/>
                      <w:szCs w:val="21"/>
                    </w:rPr>
                    <w:t>居民点3</w:t>
                  </w:r>
                  <w:r>
                    <w:rPr>
                      <w:rFonts w:cs="Times New Roman"/>
                      <w:sz w:val="21"/>
                      <w:szCs w:val="21"/>
                    </w:rPr>
                    <w:t>#</w:t>
                  </w:r>
                </w:p>
              </w:tc>
              <w:tc>
                <w:tcPr>
                  <w:tcW w:w="503" w:type="pct"/>
                  <w:vAlign w:val="center"/>
                </w:tcPr>
                <w:p w14:paraId="1E59E958">
                  <w:pPr>
                    <w:pStyle w:val="12"/>
                    <w:ind w:firstLine="0" w:firstLineChars="0"/>
                    <w:jc w:val="center"/>
                    <w:rPr>
                      <w:rFonts w:hint="eastAsia" w:eastAsia="宋体" w:cs="Times New Roman"/>
                      <w:sz w:val="21"/>
                      <w:szCs w:val="21"/>
                      <w:lang w:eastAsia="zh-CN"/>
                    </w:rPr>
                  </w:pPr>
                  <w:r>
                    <w:rPr>
                      <w:rFonts w:hint="eastAsia" w:cs="Times New Roman"/>
                      <w:sz w:val="21"/>
                      <w:szCs w:val="21"/>
                      <w:lang w:val="en-US" w:eastAsia="zh-CN"/>
                    </w:rPr>
                    <w:t>东南侧</w:t>
                  </w:r>
                </w:p>
              </w:tc>
              <w:tc>
                <w:tcPr>
                  <w:tcW w:w="861" w:type="pct"/>
                  <w:vAlign w:val="center"/>
                </w:tcPr>
                <w:p w14:paraId="7A59A6DD">
                  <w:pPr>
                    <w:pStyle w:val="12"/>
                    <w:ind w:firstLine="0" w:firstLineChars="0"/>
                    <w:jc w:val="center"/>
                    <w:rPr>
                      <w:rFonts w:hint="default" w:eastAsia="宋体" w:cs="Times New Roman"/>
                      <w:sz w:val="21"/>
                      <w:szCs w:val="21"/>
                      <w:lang w:val="en-US" w:eastAsia="zh-CN"/>
                    </w:rPr>
                  </w:pPr>
                  <w:r>
                    <w:rPr>
                      <w:rFonts w:hint="eastAsia" w:cs="Times New Roman"/>
                      <w:sz w:val="21"/>
                      <w:szCs w:val="21"/>
                    </w:rPr>
                    <w:t>4</w:t>
                  </w:r>
                  <w:r>
                    <w:rPr>
                      <w:rFonts w:hint="eastAsia" w:cs="Times New Roman"/>
                      <w:sz w:val="21"/>
                      <w:szCs w:val="21"/>
                      <w:lang w:val="en-US" w:eastAsia="zh-CN"/>
                    </w:rPr>
                    <w:t>30</w:t>
                  </w:r>
                  <w:r>
                    <w:rPr>
                      <w:rFonts w:cs="Times New Roman"/>
                      <w:sz w:val="21"/>
                      <w:szCs w:val="21"/>
                    </w:rPr>
                    <w:t>-</w:t>
                  </w:r>
                  <w:r>
                    <w:rPr>
                      <w:rFonts w:hint="eastAsia" w:cs="Times New Roman"/>
                      <w:sz w:val="21"/>
                      <w:szCs w:val="21"/>
                      <w:lang w:val="en-US" w:eastAsia="zh-CN"/>
                    </w:rPr>
                    <w:t>610</w:t>
                  </w:r>
                </w:p>
              </w:tc>
              <w:tc>
                <w:tcPr>
                  <w:tcW w:w="1307" w:type="pct"/>
                  <w:vAlign w:val="center"/>
                </w:tcPr>
                <w:p w14:paraId="5C635A94">
                  <w:pPr>
                    <w:pStyle w:val="12"/>
                    <w:ind w:firstLine="0" w:firstLineChars="0"/>
                    <w:jc w:val="center"/>
                    <w:rPr>
                      <w:rFonts w:cs="Times New Roman"/>
                      <w:sz w:val="21"/>
                      <w:szCs w:val="21"/>
                    </w:rPr>
                  </w:pPr>
                  <w:r>
                    <w:rPr>
                      <w:rFonts w:hint="eastAsia" w:cs="Times New Roman"/>
                      <w:sz w:val="21"/>
                      <w:szCs w:val="21"/>
                    </w:rPr>
                    <w:t>居民</w:t>
                  </w:r>
                </w:p>
              </w:tc>
            </w:tr>
            <w:tr w14:paraId="4C703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320" w:type="pct"/>
                  <w:shd w:val="clear" w:color="auto" w:fill="auto"/>
                  <w:vAlign w:val="center"/>
                </w:tcPr>
                <w:p w14:paraId="35832827">
                  <w:pPr>
                    <w:pStyle w:val="12"/>
                    <w:ind w:firstLine="0" w:firstLineChars="0"/>
                    <w:jc w:val="center"/>
                    <w:rPr>
                      <w:rFonts w:hint="default" w:ascii="Times New Roman" w:hAnsi="Times New Roman" w:eastAsia="宋体" w:cs="Times New Roman"/>
                      <w:b w:val="0"/>
                      <w:bCs/>
                      <w:kern w:val="0"/>
                      <w:sz w:val="21"/>
                      <w:szCs w:val="21"/>
                      <w:lang w:val="en-US" w:eastAsia="zh-CN" w:bidi="ar-SA"/>
                    </w:rPr>
                  </w:pPr>
                  <w:r>
                    <w:rPr>
                      <w:rFonts w:hint="eastAsia" w:cs="Times New Roman"/>
                      <w:sz w:val="21"/>
                      <w:szCs w:val="21"/>
                      <w:lang w:val="en-US" w:eastAsia="zh-CN"/>
                    </w:rPr>
                    <w:t>12</w:t>
                  </w:r>
                </w:p>
              </w:tc>
              <w:tc>
                <w:tcPr>
                  <w:tcW w:w="2007" w:type="pct"/>
                  <w:vAlign w:val="center"/>
                </w:tcPr>
                <w:p w14:paraId="03A82196">
                  <w:pPr>
                    <w:pStyle w:val="12"/>
                    <w:ind w:firstLine="0" w:firstLineChars="0"/>
                    <w:jc w:val="center"/>
                    <w:rPr>
                      <w:rFonts w:hint="eastAsia" w:cs="Times New Roman"/>
                      <w:sz w:val="21"/>
                      <w:szCs w:val="21"/>
                    </w:rPr>
                  </w:pPr>
                  <w:r>
                    <w:rPr>
                      <w:rFonts w:hint="eastAsia" w:cs="Times New Roman"/>
                      <w:sz w:val="21"/>
                      <w:szCs w:val="21"/>
                      <w:lang w:eastAsia="zh-CN"/>
                    </w:rPr>
                    <w:t>四川惠创智链科技有限公司</w:t>
                  </w:r>
                </w:p>
              </w:tc>
              <w:tc>
                <w:tcPr>
                  <w:tcW w:w="503" w:type="pct"/>
                  <w:vAlign w:val="center"/>
                </w:tcPr>
                <w:p w14:paraId="641D1A8F">
                  <w:pPr>
                    <w:pStyle w:val="12"/>
                    <w:ind w:firstLine="0" w:firstLineChars="0"/>
                    <w:jc w:val="center"/>
                    <w:rPr>
                      <w:rFonts w:hint="default" w:eastAsia="宋体" w:cs="Times New Roman"/>
                      <w:sz w:val="21"/>
                      <w:szCs w:val="21"/>
                      <w:lang w:val="en-US" w:eastAsia="zh-CN"/>
                    </w:rPr>
                  </w:pPr>
                  <w:r>
                    <w:rPr>
                      <w:rFonts w:hint="eastAsia" w:cs="Times New Roman"/>
                      <w:sz w:val="21"/>
                      <w:szCs w:val="21"/>
                      <w:lang w:val="en-US" w:eastAsia="zh-CN"/>
                    </w:rPr>
                    <w:t>南侧</w:t>
                  </w:r>
                </w:p>
              </w:tc>
              <w:tc>
                <w:tcPr>
                  <w:tcW w:w="861" w:type="pct"/>
                  <w:vAlign w:val="center"/>
                </w:tcPr>
                <w:p w14:paraId="4B90BA16">
                  <w:pPr>
                    <w:pStyle w:val="12"/>
                    <w:ind w:firstLine="0" w:firstLineChars="0"/>
                    <w:jc w:val="center"/>
                    <w:rPr>
                      <w:rFonts w:cs="Times New Roman"/>
                      <w:sz w:val="21"/>
                      <w:szCs w:val="21"/>
                    </w:rPr>
                  </w:pPr>
                  <w:r>
                    <w:rPr>
                      <w:rFonts w:hint="eastAsia" w:cs="Times New Roman"/>
                      <w:sz w:val="21"/>
                      <w:szCs w:val="21"/>
                    </w:rPr>
                    <w:t>8</w:t>
                  </w:r>
                  <w:r>
                    <w:rPr>
                      <w:rFonts w:cs="Times New Roman"/>
                      <w:sz w:val="21"/>
                      <w:szCs w:val="21"/>
                    </w:rPr>
                    <w:t>5</w:t>
                  </w:r>
                </w:p>
              </w:tc>
              <w:tc>
                <w:tcPr>
                  <w:tcW w:w="1307" w:type="pct"/>
                  <w:vAlign w:val="center"/>
                </w:tcPr>
                <w:p w14:paraId="0A3FCB8A">
                  <w:pPr>
                    <w:pStyle w:val="12"/>
                    <w:ind w:firstLine="0" w:firstLineChars="0"/>
                    <w:jc w:val="center"/>
                    <w:rPr>
                      <w:rFonts w:cs="Times New Roman"/>
                      <w:sz w:val="21"/>
                      <w:szCs w:val="21"/>
                    </w:rPr>
                  </w:pPr>
                  <w:r>
                    <w:rPr>
                      <w:rFonts w:hint="eastAsia" w:cs="Times New Roman"/>
                      <w:sz w:val="21"/>
                      <w:szCs w:val="21"/>
                    </w:rPr>
                    <w:t>企业</w:t>
                  </w:r>
                </w:p>
              </w:tc>
            </w:tr>
            <w:tr w14:paraId="7F7FA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320" w:type="pct"/>
                  <w:shd w:val="clear" w:color="auto" w:fill="auto"/>
                  <w:vAlign w:val="center"/>
                </w:tcPr>
                <w:p w14:paraId="07D5ED5C">
                  <w:pPr>
                    <w:pStyle w:val="12"/>
                    <w:ind w:firstLine="0" w:firstLineChars="0"/>
                    <w:jc w:val="center"/>
                    <w:rPr>
                      <w:rFonts w:hint="default" w:ascii="Times New Roman" w:hAnsi="Times New Roman" w:eastAsia="宋体" w:cs="Times New Roman"/>
                      <w:b w:val="0"/>
                      <w:bCs/>
                      <w:kern w:val="0"/>
                      <w:sz w:val="21"/>
                      <w:szCs w:val="21"/>
                      <w:lang w:val="en-US" w:eastAsia="zh-CN" w:bidi="ar-SA"/>
                    </w:rPr>
                  </w:pPr>
                  <w:r>
                    <w:rPr>
                      <w:rFonts w:cs="Times New Roman"/>
                      <w:sz w:val="21"/>
                      <w:szCs w:val="21"/>
                    </w:rPr>
                    <w:t>1</w:t>
                  </w:r>
                  <w:r>
                    <w:rPr>
                      <w:rFonts w:hint="eastAsia" w:cs="Times New Roman"/>
                      <w:sz w:val="21"/>
                      <w:szCs w:val="21"/>
                      <w:lang w:val="en-US" w:eastAsia="zh-CN"/>
                    </w:rPr>
                    <w:t>3</w:t>
                  </w:r>
                </w:p>
              </w:tc>
              <w:tc>
                <w:tcPr>
                  <w:tcW w:w="2007" w:type="pct"/>
                  <w:vAlign w:val="center"/>
                </w:tcPr>
                <w:p w14:paraId="34FFA017">
                  <w:pPr>
                    <w:pStyle w:val="12"/>
                    <w:ind w:firstLine="0" w:firstLineChars="0"/>
                    <w:jc w:val="center"/>
                    <w:rPr>
                      <w:rFonts w:hint="eastAsia" w:cs="Times New Roman"/>
                      <w:sz w:val="21"/>
                      <w:szCs w:val="21"/>
                    </w:rPr>
                  </w:pPr>
                  <w:r>
                    <w:rPr>
                      <w:rFonts w:cs="Times New Roman"/>
                      <w:sz w:val="21"/>
                      <w:szCs w:val="21"/>
                    </w:rPr>
                    <w:t>平昌县三统机械制造有限公司</w:t>
                  </w:r>
                </w:p>
              </w:tc>
              <w:tc>
                <w:tcPr>
                  <w:tcW w:w="503" w:type="pct"/>
                  <w:vAlign w:val="center"/>
                </w:tcPr>
                <w:p w14:paraId="4DAD58A3">
                  <w:pPr>
                    <w:pStyle w:val="12"/>
                    <w:ind w:firstLine="0" w:firstLineChars="0"/>
                    <w:jc w:val="center"/>
                    <w:rPr>
                      <w:rFonts w:hint="eastAsia" w:eastAsia="宋体" w:cs="Times New Roman"/>
                      <w:sz w:val="21"/>
                      <w:szCs w:val="21"/>
                      <w:lang w:eastAsia="zh-CN"/>
                    </w:rPr>
                  </w:pPr>
                  <w:r>
                    <w:rPr>
                      <w:rFonts w:hint="eastAsia" w:cs="Times New Roman"/>
                      <w:sz w:val="21"/>
                      <w:szCs w:val="21"/>
                      <w:lang w:val="en-US" w:eastAsia="zh-CN"/>
                    </w:rPr>
                    <w:t>南侧</w:t>
                  </w:r>
                </w:p>
              </w:tc>
              <w:tc>
                <w:tcPr>
                  <w:tcW w:w="861" w:type="pct"/>
                  <w:vAlign w:val="center"/>
                </w:tcPr>
                <w:p w14:paraId="0E2E4D98">
                  <w:pPr>
                    <w:pStyle w:val="12"/>
                    <w:ind w:firstLine="0" w:firstLineChars="0"/>
                    <w:jc w:val="center"/>
                    <w:rPr>
                      <w:rFonts w:cs="Times New Roman"/>
                      <w:sz w:val="21"/>
                      <w:szCs w:val="21"/>
                    </w:rPr>
                  </w:pPr>
                  <w:r>
                    <w:rPr>
                      <w:rFonts w:hint="eastAsia" w:cs="Times New Roman"/>
                      <w:sz w:val="21"/>
                      <w:szCs w:val="21"/>
                    </w:rPr>
                    <w:t>4</w:t>
                  </w:r>
                  <w:r>
                    <w:rPr>
                      <w:rFonts w:hint="eastAsia" w:cs="Times New Roman"/>
                      <w:sz w:val="21"/>
                      <w:szCs w:val="21"/>
                      <w:lang w:val="en-US" w:eastAsia="zh-CN"/>
                    </w:rPr>
                    <w:t>7</w:t>
                  </w:r>
                  <w:r>
                    <w:rPr>
                      <w:rFonts w:cs="Times New Roman"/>
                      <w:sz w:val="21"/>
                      <w:szCs w:val="21"/>
                    </w:rPr>
                    <w:t>0</w:t>
                  </w:r>
                </w:p>
              </w:tc>
              <w:tc>
                <w:tcPr>
                  <w:tcW w:w="1307" w:type="pct"/>
                  <w:vAlign w:val="center"/>
                </w:tcPr>
                <w:p w14:paraId="216374AC">
                  <w:pPr>
                    <w:pStyle w:val="12"/>
                    <w:ind w:firstLine="0" w:firstLineChars="0"/>
                    <w:jc w:val="center"/>
                    <w:rPr>
                      <w:rFonts w:cs="Times New Roman"/>
                      <w:sz w:val="21"/>
                      <w:szCs w:val="21"/>
                    </w:rPr>
                  </w:pPr>
                  <w:r>
                    <w:rPr>
                      <w:rFonts w:hint="eastAsia" w:cs="Times New Roman"/>
                      <w:sz w:val="21"/>
                      <w:szCs w:val="21"/>
                    </w:rPr>
                    <w:t>企业</w:t>
                  </w:r>
                </w:p>
              </w:tc>
            </w:tr>
            <w:tr w14:paraId="7FDA0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4" w:hRule="atLeast"/>
                <w:jc w:val="center"/>
              </w:trPr>
              <w:tc>
                <w:tcPr>
                  <w:tcW w:w="320" w:type="pct"/>
                  <w:shd w:val="clear" w:color="auto" w:fill="auto"/>
                  <w:vAlign w:val="center"/>
                </w:tcPr>
                <w:p w14:paraId="5EB62E35">
                  <w:pPr>
                    <w:pStyle w:val="12"/>
                    <w:ind w:firstLine="0" w:firstLineChars="0"/>
                    <w:jc w:val="center"/>
                    <w:rPr>
                      <w:rFonts w:hint="eastAsia" w:ascii="Times New Roman" w:hAnsi="Times New Roman" w:eastAsia="宋体" w:cs="Times New Roman"/>
                      <w:b w:val="0"/>
                      <w:bCs/>
                      <w:kern w:val="0"/>
                      <w:sz w:val="21"/>
                      <w:szCs w:val="21"/>
                      <w:lang w:val="en-US" w:eastAsia="zh-CN" w:bidi="ar-SA"/>
                    </w:rPr>
                  </w:pPr>
                  <w:r>
                    <w:rPr>
                      <w:rFonts w:cs="Times New Roman"/>
                      <w:sz w:val="21"/>
                      <w:szCs w:val="21"/>
                    </w:rPr>
                    <w:t>1</w:t>
                  </w:r>
                  <w:r>
                    <w:rPr>
                      <w:rFonts w:hint="eastAsia" w:cs="Times New Roman"/>
                      <w:sz w:val="21"/>
                      <w:szCs w:val="21"/>
                      <w:lang w:val="en-US" w:eastAsia="zh-CN"/>
                    </w:rPr>
                    <w:t>4</w:t>
                  </w:r>
                </w:p>
              </w:tc>
              <w:tc>
                <w:tcPr>
                  <w:tcW w:w="2007" w:type="pct"/>
                  <w:vAlign w:val="center"/>
                </w:tcPr>
                <w:p w14:paraId="0E17A0DE">
                  <w:pPr>
                    <w:pStyle w:val="12"/>
                    <w:ind w:firstLine="0" w:firstLineChars="0"/>
                    <w:jc w:val="center"/>
                    <w:rPr>
                      <w:rFonts w:cs="Times New Roman"/>
                      <w:sz w:val="21"/>
                      <w:szCs w:val="21"/>
                    </w:rPr>
                  </w:pPr>
                  <w:r>
                    <w:rPr>
                      <w:rFonts w:hint="eastAsia" w:cs="Times New Roman"/>
                      <w:sz w:val="21"/>
                      <w:szCs w:val="21"/>
                    </w:rPr>
                    <w:t>居民点</w:t>
                  </w:r>
                  <w:r>
                    <w:rPr>
                      <w:rFonts w:cs="Times New Roman"/>
                      <w:sz w:val="21"/>
                      <w:szCs w:val="21"/>
                    </w:rPr>
                    <w:t>4#</w:t>
                  </w:r>
                </w:p>
              </w:tc>
              <w:tc>
                <w:tcPr>
                  <w:tcW w:w="503" w:type="pct"/>
                  <w:vAlign w:val="center"/>
                </w:tcPr>
                <w:p w14:paraId="3B83108F">
                  <w:pPr>
                    <w:pStyle w:val="12"/>
                    <w:ind w:firstLine="0" w:firstLineChars="0"/>
                    <w:jc w:val="center"/>
                    <w:rPr>
                      <w:rFonts w:hint="eastAsia" w:eastAsia="宋体" w:cs="Times New Roman"/>
                      <w:sz w:val="21"/>
                      <w:szCs w:val="21"/>
                      <w:lang w:eastAsia="zh-CN"/>
                    </w:rPr>
                  </w:pPr>
                  <w:r>
                    <w:rPr>
                      <w:rFonts w:hint="eastAsia" w:cs="Times New Roman"/>
                      <w:sz w:val="21"/>
                      <w:szCs w:val="21"/>
                      <w:lang w:val="en-US" w:eastAsia="zh-CN"/>
                    </w:rPr>
                    <w:t>西侧</w:t>
                  </w:r>
                </w:p>
              </w:tc>
              <w:tc>
                <w:tcPr>
                  <w:tcW w:w="861" w:type="pct"/>
                  <w:vAlign w:val="center"/>
                </w:tcPr>
                <w:p w14:paraId="2E1F025C">
                  <w:pPr>
                    <w:pStyle w:val="12"/>
                    <w:ind w:firstLine="0" w:firstLineChars="0"/>
                    <w:jc w:val="center"/>
                    <w:rPr>
                      <w:rFonts w:hint="default" w:eastAsia="宋体" w:cs="Times New Roman"/>
                      <w:sz w:val="21"/>
                      <w:szCs w:val="21"/>
                      <w:lang w:val="en-US" w:eastAsia="zh-CN"/>
                    </w:rPr>
                  </w:pPr>
                  <w:r>
                    <w:rPr>
                      <w:rFonts w:hint="eastAsia" w:cs="Times New Roman"/>
                      <w:sz w:val="21"/>
                      <w:szCs w:val="21"/>
                    </w:rPr>
                    <w:t>1</w:t>
                  </w:r>
                  <w:r>
                    <w:rPr>
                      <w:rFonts w:hint="eastAsia" w:cs="Times New Roman"/>
                      <w:sz w:val="21"/>
                      <w:szCs w:val="21"/>
                      <w:lang w:val="en-US" w:eastAsia="zh-CN"/>
                    </w:rPr>
                    <w:t>50</w:t>
                  </w:r>
                  <w:r>
                    <w:rPr>
                      <w:rFonts w:cs="Times New Roman"/>
                      <w:sz w:val="21"/>
                      <w:szCs w:val="21"/>
                    </w:rPr>
                    <w:t>-2</w:t>
                  </w:r>
                  <w:r>
                    <w:rPr>
                      <w:rFonts w:hint="eastAsia" w:cs="Times New Roman"/>
                      <w:sz w:val="21"/>
                      <w:szCs w:val="21"/>
                      <w:lang w:val="en-US" w:eastAsia="zh-CN"/>
                    </w:rPr>
                    <w:t>60</w:t>
                  </w:r>
                </w:p>
              </w:tc>
              <w:tc>
                <w:tcPr>
                  <w:tcW w:w="1307" w:type="pct"/>
                  <w:vAlign w:val="center"/>
                </w:tcPr>
                <w:p w14:paraId="76AA570A">
                  <w:pPr>
                    <w:pStyle w:val="12"/>
                    <w:ind w:firstLine="0" w:firstLineChars="0"/>
                    <w:jc w:val="center"/>
                    <w:rPr>
                      <w:rFonts w:cs="Times New Roman"/>
                      <w:sz w:val="21"/>
                      <w:szCs w:val="21"/>
                    </w:rPr>
                  </w:pPr>
                  <w:r>
                    <w:rPr>
                      <w:rFonts w:hint="eastAsia" w:cs="Times New Roman"/>
                      <w:sz w:val="21"/>
                      <w:szCs w:val="21"/>
                    </w:rPr>
                    <w:t>居民</w:t>
                  </w:r>
                </w:p>
              </w:tc>
            </w:tr>
            <w:tr w14:paraId="14177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4" w:hRule="atLeast"/>
                <w:jc w:val="center"/>
              </w:trPr>
              <w:tc>
                <w:tcPr>
                  <w:tcW w:w="320" w:type="pct"/>
                  <w:shd w:val="clear" w:color="auto" w:fill="auto"/>
                  <w:vAlign w:val="center"/>
                </w:tcPr>
                <w:p w14:paraId="3B284CC6">
                  <w:pPr>
                    <w:pStyle w:val="12"/>
                    <w:ind w:firstLine="0" w:firstLineChars="0"/>
                    <w:jc w:val="center"/>
                    <w:rPr>
                      <w:rFonts w:hint="eastAsia" w:ascii="Times New Roman" w:hAnsi="Times New Roman" w:eastAsia="宋体" w:cs="Times New Roman"/>
                      <w:b w:val="0"/>
                      <w:bCs/>
                      <w:kern w:val="0"/>
                      <w:sz w:val="21"/>
                      <w:szCs w:val="21"/>
                      <w:lang w:val="en-US" w:eastAsia="zh-CN" w:bidi="ar-SA"/>
                    </w:rPr>
                  </w:pPr>
                  <w:r>
                    <w:rPr>
                      <w:rFonts w:hint="eastAsia" w:cs="Times New Roman"/>
                      <w:sz w:val="21"/>
                      <w:szCs w:val="21"/>
                    </w:rPr>
                    <w:t>1</w:t>
                  </w:r>
                  <w:r>
                    <w:rPr>
                      <w:rFonts w:hint="eastAsia" w:cs="Times New Roman"/>
                      <w:sz w:val="21"/>
                      <w:szCs w:val="21"/>
                      <w:lang w:val="en-US" w:eastAsia="zh-CN"/>
                    </w:rPr>
                    <w:t>5</w:t>
                  </w:r>
                </w:p>
              </w:tc>
              <w:tc>
                <w:tcPr>
                  <w:tcW w:w="2007" w:type="pct"/>
                  <w:vAlign w:val="center"/>
                </w:tcPr>
                <w:p w14:paraId="14160AEB">
                  <w:pPr>
                    <w:pStyle w:val="12"/>
                    <w:ind w:firstLine="0" w:firstLineChars="0"/>
                    <w:jc w:val="center"/>
                    <w:rPr>
                      <w:rFonts w:cs="Times New Roman"/>
                      <w:sz w:val="21"/>
                      <w:szCs w:val="21"/>
                    </w:rPr>
                  </w:pPr>
                  <w:r>
                    <w:rPr>
                      <w:rFonts w:cs="Times New Roman"/>
                      <w:sz w:val="21"/>
                      <w:szCs w:val="21"/>
                    </w:rPr>
                    <w:t>平昌家豪制衣有限公司</w:t>
                  </w:r>
                </w:p>
              </w:tc>
              <w:tc>
                <w:tcPr>
                  <w:tcW w:w="503" w:type="pct"/>
                  <w:vAlign w:val="center"/>
                </w:tcPr>
                <w:p w14:paraId="2CADA726">
                  <w:pPr>
                    <w:pStyle w:val="12"/>
                    <w:ind w:firstLine="0" w:firstLineChars="0"/>
                    <w:jc w:val="center"/>
                    <w:rPr>
                      <w:rFonts w:hint="eastAsia" w:eastAsia="宋体" w:cs="Times New Roman"/>
                      <w:sz w:val="21"/>
                      <w:szCs w:val="21"/>
                      <w:lang w:eastAsia="zh-CN"/>
                    </w:rPr>
                  </w:pPr>
                  <w:r>
                    <w:rPr>
                      <w:rFonts w:hint="eastAsia" w:cs="Times New Roman"/>
                      <w:sz w:val="21"/>
                      <w:szCs w:val="21"/>
                      <w:lang w:val="en-US" w:eastAsia="zh-CN"/>
                    </w:rPr>
                    <w:t>西侧</w:t>
                  </w:r>
                </w:p>
              </w:tc>
              <w:tc>
                <w:tcPr>
                  <w:tcW w:w="861" w:type="pct"/>
                  <w:vAlign w:val="center"/>
                </w:tcPr>
                <w:p w14:paraId="1CF2251D">
                  <w:pPr>
                    <w:pStyle w:val="12"/>
                    <w:ind w:firstLine="0" w:firstLineChars="0"/>
                    <w:jc w:val="center"/>
                    <w:rPr>
                      <w:rFonts w:hint="default" w:eastAsia="宋体" w:cs="Times New Roman"/>
                      <w:sz w:val="21"/>
                      <w:szCs w:val="21"/>
                      <w:lang w:val="en-US" w:eastAsia="zh-CN"/>
                    </w:rPr>
                  </w:pPr>
                  <w:r>
                    <w:rPr>
                      <w:rFonts w:hint="eastAsia" w:cs="Times New Roman"/>
                      <w:sz w:val="21"/>
                      <w:szCs w:val="21"/>
                    </w:rPr>
                    <w:t>2</w:t>
                  </w:r>
                  <w:r>
                    <w:rPr>
                      <w:rFonts w:hint="eastAsia" w:cs="Times New Roman"/>
                      <w:sz w:val="21"/>
                      <w:szCs w:val="21"/>
                      <w:lang w:val="en-US" w:eastAsia="zh-CN"/>
                    </w:rPr>
                    <w:t>55</w:t>
                  </w:r>
                </w:p>
              </w:tc>
              <w:tc>
                <w:tcPr>
                  <w:tcW w:w="1307" w:type="pct"/>
                  <w:vAlign w:val="center"/>
                </w:tcPr>
                <w:p w14:paraId="108687E1">
                  <w:pPr>
                    <w:pStyle w:val="12"/>
                    <w:ind w:firstLine="0" w:firstLineChars="0"/>
                    <w:jc w:val="center"/>
                    <w:rPr>
                      <w:rFonts w:cs="Times New Roman"/>
                      <w:sz w:val="21"/>
                      <w:szCs w:val="21"/>
                    </w:rPr>
                  </w:pPr>
                  <w:r>
                    <w:rPr>
                      <w:rFonts w:hint="eastAsia" w:cs="Times New Roman"/>
                      <w:sz w:val="21"/>
                      <w:szCs w:val="21"/>
                    </w:rPr>
                    <w:t>企业</w:t>
                  </w:r>
                </w:p>
              </w:tc>
            </w:tr>
            <w:tr w14:paraId="55C59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4" w:hRule="atLeast"/>
                <w:jc w:val="center"/>
              </w:trPr>
              <w:tc>
                <w:tcPr>
                  <w:tcW w:w="320" w:type="pct"/>
                  <w:shd w:val="clear" w:color="auto" w:fill="auto"/>
                  <w:vAlign w:val="center"/>
                </w:tcPr>
                <w:p w14:paraId="73BD8A87">
                  <w:pPr>
                    <w:pStyle w:val="12"/>
                    <w:ind w:firstLine="0" w:firstLineChars="0"/>
                    <w:jc w:val="center"/>
                    <w:rPr>
                      <w:rFonts w:hint="eastAsia" w:ascii="Times New Roman" w:hAnsi="Times New Roman" w:eastAsia="宋体" w:cs="Times New Roman"/>
                      <w:b w:val="0"/>
                      <w:bCs/>
                      <w:kern w:val="0"/>
                      <w:sz w:val="21"/>
                      <w:szCs w:val="21"/>
                      <w:lang w:val="en-US" w:eastAsia="zh-CN" w:bidi="ar-SA"/>
                    </w:rPr>
                  </w:pPr>
                  <w:r>
                    <w:rPr>
                      <w:rFonts w:hint="eastAsia" w:cs="Times New Roman"/>
                      <w:sz w:val="21"/>
                      <w:szCs w:val="21"/>
                    </w:rPr>
                    <w:t>1</w:t>
                  </w:r>
                  <w:r>
                    <w:rPr>
                      <w:rFonts w:hint="eastAsia" w:cs="Times New Roman"/>
                      <w:sz w:val="21"/>
                      <w:szCs w:val="21"/>
                      <w:lang w:val="en-US" w:eastAsia="zh-CN"/>
                    </w:rPr>
                    <w:t>6</w:t>
                  </w:r>
                </w:p>
              </w:tc>
              <w:tc>
                <w:tcPr>
                  <w:tcW w:w="2007" w:type="pct"/>
                  <w:vAlign w:val="center"/>
                </w:tcPr>
                <w:p w14:paraId="49784D96">
                  <w:pPr>
                    <w:pStyle w:val="12"/>
                    <w:ind w:firstLine="0" w:firstLineChars="0"/>
                    <w:jc w:val="center"/>
                    <w:rPr>
                      <w:rFonts w:cs="Times New Roman"/>
                      <w:sz w:val="21"/>
                      <w:szCs w:val="21"/>
                    </w:rPr>
                  </w:pPr>
                  <w:r>
                    <w:rPr>
                      <w:rFonts w:cs="Times New Roman"/>
                      <w:sz w:val="21"/>
                      <w:szCs w:val="21"/>
                    </w:rPr>
                    <w:t>平昌县星光实验学校</w:t>
                  </w:r>
                </w:p>
              </w:tc>
              <w:tc>
                <w:tcPr>
                  <w:tcW w:w="503" w:type="pct"/>
                  <w:vAlign w:val="center"/>
                </w:tcPr>
                <w:p w14:paraId="274546BD">
                  <w:pPr>
                    <w:pStyle w:val="12"/>
                    <w:ind w:firstLine="0" w:firstLineChars="0"/>
                    <w:jc w:val="center"/>
                    <w:rPr>
                      <w:rFonts w:hint="eastAsia" w:eastAsia="宋体" w:cs="Times New Roman"/>
                      <w:sz w:val="21"/>
                      <w:szCs w:val="21"/>
                      <w:lang w:eastAsia="zh-CN"/>
                    </w:rPr>
                  </w:pPr>
                  <w:r>
                    <w:rPr>
                      <w:rFonts w:hint="eastAsia" w:cs="Times New Roman"/>
                      <w:sz w:val="21"/>
                      <w:szCs w:val="21"/>
                      <w:lang w:val="en-US" w:eastAsia="zh-CN"/>
                    </w:rPr>
                    <w:t>西侧</w:t>
                  </w:r>
                </w:p>
              </w:tc>
              <w:tc>
                <w:tcPr>
                  <w:tcW w:w="861" w:type="pct"/>
                  <w:vAlign w:val="center"/>
                </w:tcPr>
                <w:p w14:paraId="27B792EF">
                  <w:pPr>
                    <w:pStyle w:val="12"/>
                    <w:ind w:firstLine="0" w:firstLineChars="0"/>
                    <w:jc w:val="center"/>
                    <w:rPr>
                      <w:rFonts w:hint="default" w:eastAsia="宋体" w:cs="Times New Roman"/>
                      <w:sz w:val="21"/>
                      <w:szCs w:val="21"/>
                      <w:lang w:val="en-US" w:eastAsia="zh-CN"/>
                    </w:rPr>
                  </w:pPr>
                  <w:r>
                    <w:rPr>
                      <w:rFonts w:hint="eastAsia" w:cs="Times New Roman"/>
                      <w:sz w:val="21"/>
                      <w:szCs w:val="21"/>
                      <w:lang w:val="en-US" w:eastAsia="zh-CN"/>
                    </w:rPr>
                    <w:t>31</w:t>
                  </w:r>
                  <w:r>
                    <w:rPr>
                      <w:rFonts w:cs="Times New Roman"/>
                      <w:sz w:val="21"/>
                      <w:szCs w:val="21"/>
                    </w:rPr>
                    <w:t>0-540</w:t>
                  </w:r>
                </w:p>
              </w:tc>
              <w:tc>
                <w:tcPr>
                  <w:tcW w:w="1307" w:type="pct"/>
                  <w:vAlign w:val="center"/>
                </w:tcPr>
                <w:p w14:paraId="488C9F3C">
                  <w:pPr>
                    <w:pStyle w:val="12"/>
                    <w:ind w:firstLine="0" w:firstLineChars="0"/>
                    <w:jc w:val="center"/>
                    <w:rPr>
                      <w:rFonts w:cs="Times New Roman"/>
                      <w:sz w:val="21"/>
                      <w:szCs w:val="21"/>
                    </w:rPr>
                  </w:pPr>
                  <w:r>
                    <w:rPr>
                      <w:rFonts w:hint="eastAsia" w:cs="Times New Roman"/>
                      <w:sz w:val="21"/>
                      <w:szCs w:val="21"/>
                    </w:rPr>
                    <w:t>学校</w:t>
                  </w:r>
                </w:p>
              </w:tc>
            </w:tr>
            <w:tr w14:paraId="6CB84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4" w:hRule="atLeast"/>
                <w:jc w:val="center"/>
              </w:trPr>
              <w:tc>
                <w:tcPr>
                  <w:tcW w:w="320" w:type="pct"/>
                  <w:shd w:val="clear" w:color="auto" w:fill="auto"/>
                  <w:vAlign w:val="center"/>
                </w:tcPr>
                <w:p w14:paraId="17DB9BA0">
                  <w:pPr>
                    <w:pStyle w:val="12"/>
                    <w:ind w:firstLine="0" w:firstLineChars="0"/>
                    <w:jc w:val="center"/>
                    <w:rPr>
                      <w:rFonts w:hint="eastAsia" w:ascii="Times New Roman" w:hAnsi="Times New Roman" w:eastAsia="宋体" w:cs="Times New Roman"/>
                      <w:b w:val="0"/>
                      <w:bCs/>
                      <w:kern w:val="0"/>
                      <w:sz w:val="21"/>
                      <w:szCs w:val="21"/>
                      <w:lang w:val="en-US" w:eastAsia="zh-CN" w:bidi="ar-SA"/>
                    </w:rPr>
                  </w:pPr>
                  <w:r>
                    <w:rPr>
                      <w:rFonts w:hint="eastAsia" w:cs="Times New Roman"/>
                      <w:sz w:val="21"/>
                      <w:szCs w:val="21"/>
                    </w:rPr>
                    <w:t>1</w:t>
                  </w:r>
                  <w:r>
                    <w:rPr>
                      <w:rFonts w:hint="eastAsia" w:cs="Times New Roman"/>
                      <w:sz w:val="21"/>
                      <w:szCs w:val="21"/>
                      <w:lang w:val="en-US" w:eastAsia="zh-CN"/>
                    </w:rPr>
                    <w:t>7</w:t>
                  </w:r>
                </w:p>
              </w:tc>
              <w:tc>
                <w:tcPr>
                  <w:tcW w:w="2007" w:type="pct"/>
                  <w:shd w:val="clear" w:color="auto" w:fill="auto"/>
                  <w:vAlign w:val="center"/>
                </w:tcPr>
                <w:p w14:paraId="5EEDF8ED">
                  <w:pPr>
                    <w:pStyle w:val="12"/>
                    <w:ind w:firstLine="0" w:firstLineChars="0"/>
                    <w:jc w:val="center"/>
                    <w:rPr>
                      <w:rFonts w:ascii="Times New Roman" w:hAnsi="Times New Roman" w:eastAsia="宋体" w:cs="Times New Roman"/>
                      <w:kern w:val="0"/>
                      <w:sz w:val="21"/>
                      <w:szCs w:val="21"/>
                      <w:lang w:val="en-US" w:eastAsia="zh-CN" w:bidi="ar-SA"/>
                    </w:rPr>
                  </w:pPr>
                  <w:r>
                    <w:rPr>
                      <w:rFonts w:hint="default" w:ascii="Times New Roman" w:hAnsi="Times New Roman" w:eastAsia="宋体" w:cs="Times New Roman"/>
                      <w:sz w:val="21"/>
                      <w:szCs w:val="21"/>
                    </w:rPr>
                    <w:t>平昌正丰塑料制品有限公司</w:t>
                  </w:r>
                </w:p>
              </w:tc>
              <w:tc>
                <w:tcPr>
                  <w:tcW w:w="503" w:type="pct"/>
                  <w:shd w:val="clear" w:color="auto" w:fill="auto"/>
                  <w:vAlign w:val="center"/>
                </w:tcPr>
                <w:p w14:paraId="6A7397F4">
                  <w:pPr>
                    <w:pStyle w:val="12"/>
                    <w:ind w:firstLine="0" w:firstLineChars="0"/>
                    <w:jc w:val="center"/>
                    <w:rPr>
                      <w:rFonts w:hint="eastAsia" w:ascii="Times New Roman" w:hAnsi="Times New Roman" w:eastAsia="宋体" w:cs="Times New Roman"/>
                      <w:kern w:val="0"/>
                      <w:sz w:val="21"/>
                      <w:szCs w:val="21"/>
                      <w:lang w:val="en-US" w:eastAsia="zh-CN" w:bidi="ar-SA"/>
                    </w:rPr>
                  </w:pPr>
                  <w:r>
                    <w:rPr>
                      <w:rFonts w:hint="eastAsia" w:cs="Times New Roman"/>
                      <w:sz w:val="21"/>
                      <w:szCs w:val="21"/>
                      <w:lang w:val="en-US" w:eastAsia="zh-CN"/>
                    </w:rPr>
                    <w:t>西北侧</w:t>
                  </w:r>
                </w:p>
              </w:tc>
              <w:tc>
                <w:tcPr>
                  <w:tcW w:w="861" w:type="pct"/>
                  <w:shd w:val="clear" w:color="auto" w:fill="auto"/>
                  <w:vAlign w:val="center"/>
                </w:tcPr>
                <w:p w14:paraId="6F994F25">
                  <w:pPr>
                    <w:pStyle w:val="12"/>
                    <w:ind w:firstLine="0" w:firstLineChars="0"/>
                    <w:jc w:val="center"/>
                    <w:rPr>
                      <w:rFonts w:hint="default" w:ascii="Times New Roman" w:hAnsi="Times New Roman" w:eastAsia="宋体" w:cs="Times New Roman"/>
                      <w:kern w:val="0"/>
                      <w:sz w:val="21"/>
                      <w:szCs w:val="21"/>
                      <w:lang w:val="en-US" w:eastAsia="zh-CN" w:bidi="ar-SA"/>
                    </w:rPr>
                  </w:pPr>
                  <w:r>
                    <w:rPr>
                      <w:rFonts w:hint="eastAsia" w:cs="Times New Roman"/>
                      <w:kern w:val="0"/>
                      <w:sz w:val="21"/>
                      <w:szCs w:val="21"/>
                      <w:lang w:val="en-US" w:eastAsia="zh-CN" w:bidi="ar-SA"/>
                    </w:rPr>
                    <w:t>310</w:t>
                  </w:r>
                </w:p>
              </w:tc>
              <w:tc>
                <w:tcPr>
                  <w:tcW w:w="1307" w:type="pct"/>
                  <w:shd w:val="clear" w:color="auto" w:fill="auto"/>
                  <w:vAlign w:val="center"/>
                </w:tcPr>
                <w:p w14:paraId="677E20AC">
                  <w:pPr>
                    <w:pStyle w:val="12"/>
                    <w:ind w:firstLine="0" w:firstLineChars="0"/>
                    <w:jc w:val="center"/>
                    <w:rPr>
                      <w:rFonts w:ascii="Times New Roman" w:hAnsi="Times New Roman" w:eastAsia="宋体" w:cs="Times New Roman"/>
                      <w:kern w:val="0"/>
                      <w:sz w:val="21"/>
                      <w:szCs w:val="21"/>
                      <w:lang w:val="en-US" w:eastAsia="zh-CN" w:bidi="ar-SA"/>
                    </w:rPr>
                  </w:pPr>
                  <w:r>
                    <w:rPr>
                      <w:rFonts w:hint="eastAsia" w:cs="Times New Roman"/>
                      <w:sz w:val="21"/>
                      <w:szCs w:val="21"/>
                    </w:rPr>
                    <w:t>企业</w:t>
                  </w:r>
                </w:p>
              </w:tc>
            </w:tr>
            <w:tr w14:paraId="4F44C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4" w:hRule="atLeast"/>
                <w:jc w:val="center"/>
              </w:trPr>
              <w:tc>
                <w:tcPr>
                  <w:tcW w:w="320" w:type="pct"/>
                  <w:shd w:val="clear" w:color="auto" w:fill="auto"/>
                  <w:vAlign w:val="center"/>
                </w:tcPr>
                <w:p w14:paraId="744BF907">
                  <w:pPr>
                    <w:pStyle w:val="12"/>
                    <w:ind w:firstLine="0" w:firstLineChars="0"/>
                    <w:jc w:val="center"/>
                    <w:rPr>
                      <w:rFonts w:hint="eastAsia" w:ascii="Times New Roman" w:hAnsi="Times New Roman" w:eastAsia="宋体" w:cs="Times New Roman"/>
                      <w:b w:val="0"/>
                      <w:bCs/>
                      <w:kern w:val="0"/>
                      <w:sz w:val="21"/>
                      <w:szCs w:val="21"/>
                      <w:lang w:val="en-US" w:eastAsia="zh-CN" w:bidi="ar-SA"/>
                    </w:rPr>
                  </w:pPr>
                  <w:r>
                    <w:rPr>
                      <w:rFonts w:hint="eastAsia" w:cs="Times New Roman"/>
                      <w:sz w:val="21"/>
                      <w:szCs w:val="21"/>
                    </w:rPr>
                    <w:t>1</w:t>
                  </w:r>
                  <w:r>
                    <w:rPr>
                      <w:rFonts w:hint="eastAsia" w:cs="Times New Roman"/>
                      <w:sz w:val="21"/>
                      <w:szCs w:val="21"/>
                      <w:lang w:val="en-US" w:eastAsia="zh-CN"/>
                    </w:rPr>
                    <w:t>8</w:t>
                  </w:r>
                </w:p>
              </w:tc>
              <w:tc>
                <w:tcPr>
                  <w:tcW w:w="2007" w:type="pct"/>
                  <w:shd w:val="clear" w:color="auto" w:fill="auto"/>
                  <w:vAlign w:val="center"/>
                </w:tcPr>
                <w:p w14:paraId="219D75C2">
                  <w:pPr>
                    <w:pStyle w:val="12"/>
                    <w:ind w:firstLine="0" w:firstLineChars="0"/>
                    <w:jc w:val="center"/>
                    <w:rPr>
                      <w:rFonts w:hint="eastAsia" w:ascii="Times New Roman" w:hAnsi="Times New Roman" w:eastAsia="宋体" w:cs="Times New Roman"/>
                      <w:kern w:val="0"/>
                      <w:sz w:val="21"/>
                      <w:szCs w:val="21"/>
                      <w:lang w:val="en-US" w:eastAsia="zh-CN" w:bidi="ar-SA"/>
                    </w:rPr>
                  </w:pPr>
                  <w:r>
                    <w:rPr>
                      <w:rFonts w:hint="eastAsia" w:cs="Times New Roman"/>
                      <w:sz w:val="21"/>
                      <w:szCs w:val="21"/>
                      <w:lang w:eastAsia="zh-CN"/>
                    </w:rPr>
                    <w:t>平昌县岚苑艺术全屋定制家居有限公司</w:t>
                  </w:r>
                </w:p>
              </w:tc>
              <w:tc>
                <w:tcPr>
                  <w:tcW w:w="503" w:type="pct"/>
                  <w:shd w:val="clear" w:color="auto" w:fill="auto"/>
                  <w:vAlign w:val="center"/>
                </w:tcPr>
                <w:p w14:paraId="30BB62D4">
                  <w:pPr>
                    <w:pStyle w:val="12"/>
                    <w:ind w:firstLine="0" w:firstLineChars="0"/>
                    <w:jc w:val="center"/>
                    <w:rPr>
                      <w:rFonts w:hint="eastAsia" w:ascii="Times New Roman" w:hAnsi="Times New Roman" w:eastAsia="宋体" w:cs="Times New Roman"/>
                      <w:kern w:val="0"/>
                      <w:sz w:val="21"/>
                      <w:szCs w:val="21"/>
                      <w:lang w:val="en-US" w:eastAsia="zh-CN" w:bidi="ar-SA"/>
                    </w:rPr>
                  </w:pPr>
                  <w:r>
                    <w:rPr>
                      <w:rFonts w:hint="eastAsia" w:cs="Times New Roman"/>
                      <w:sz w:val="21"/>
                      <w:szCs w:val="21"/>
                      <w:lang w:val="en-US" w:eastAsia="zh-CN"/>
                    </w:rPr>
                    <w:t>西北侧</w:t>
                  </w:r>
                </w:p>
              </w:tc>
              <w:tc>
                <w:tcPr>
                  <w:tcW w:w="861" w:type="pct"/>
                  <w:shd w:val="clear" w:color="auto" w:fill="auto"/>
                  <w:vAlign w:val="center"/>
                </w:tcPr>
                <w:p w14:paraId="1FCB2035">
                  <w:pPr>
                    <w:pStyle w:val="12"/>
                    <w:ind w:firstLine="0" w:firstLineChars="0"/>
                    <w:jc w:val="center"/>
                    <w:rPr>
                      <w:rFonts w:hint="default" w:ascii="Times New Roman" w:hAnsi="Times New Roman" w:eastAsia="宋体" w:cs="Times New Roman"/>
                      <w:kern w:val="0"/>
                      <w:sz w:val="21"/>
                      <w:szCs w:val="21"/>
                      <w:lang w:val="en-US" w:eastAsia="zh-CN" w:bidi="ar-SA"/>
                    </w:rPr>
                  </w:pPr>
                  <w:r>
                    <w:rPr>
                      <w:rFonts w:hint="eastAsia" w:cs="Times New Roman"/>
                      <w:sz w:val="21"/>
                      <w:szCs w:val="21"/>
                      <w:lang w:val="en-US" w:eastAsia="zh-CN"/>
                    </w:rPr>
                    <w:t>210</w:t>
                  </w:r>
                </w:p>
              </w:tc>
              <w:tc>
                <w:tcPr>
                  <w:tcW w:w="1307" w:type="pct"/>
                  <w:shd w:val="clear" w:color="auto" w:fill="auto"/>
                  <w:vAlign w:val="center"/>
                </w:tcPr>
                <w:p w14:paraId="4E9F45C7">
                  <w:pPr>
                    <w:pStyle w:val="12"/>
                    <w:ind w:firstLine="0" w:firstLineChars="0"/>
                    <w:jc w:val="center"/>
                    <w:rPr>
                      <w:rFonts w:ascii="Times New Roman" w:hAnsi="Times New Roman" w:eastAsia="宋体" w:cs="Times New Roman"/>
                      <w:kern w:val="0"/>
                      <w:sz w:val="21"/>
                      <w:szCs w:val="21"/>
                      <w:lang w:val="en-US" w:eastAsia="zh-CN" w:bidi="ar-SA"/>
                    </w:rPr>
                  </w:pPr>
                  <w:r>
                    <w:rPr>
                      <w:rFonts w:hint="eastAsia" w:cs="Times New Roman"/>
                      <w:sz w:val="21"/>
                      <w:szCs w:val="21"/>
                    </w:rPr>
                    <w:t>企业</w:t>
                  </w:r>
                </w:p>
              </w:tc>
            </w:tr>
            <w:tr w14:paraId="5E91F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4" w:hRule="atLeast"/>
                <w:jc w:val="center"/>
              </w:trPr>
              <w:tc>
                <w:tcPr>
                  <w:tcW w:w="320" w:type="pct"/>
                  <w:shd w:val="clear" w:color="auto" w:fill="auto"/>
                  <w:vAlign w:val="center"/>
                </w:tcPr>
                <w:p w14:paraId="1CFE5D2B">
                  <w:pPr>
                    <w:pStyle w:val="12"/>
                    <w:ind w:firstLine="0" w:firstLineChars="0"/>
                    <w:jc w:val="center"/>
                    <w:rPr>
                      <w:rFonts w:hint="eastAsia" w:ascii="Times New Roman" w:hAnsi="Times New Roman" w:eastAsia="宋体" w:cs="Times New Roman"/>
                      <w:b w:val="0"/>
                      <w:bCs/>
                      <w:kern w:val="0"/>
                      <w:sz w:val="21"/>
                      <w:szCs w:val="21"/>
                      <w:lang w:val="en-US" w:eastAsia="zh-CN" w:bidi="ar-SA"/>
                    </w:rPr>
                  </w:pPr>
                  <w:r>
                    <w:rPr>
                      <w:rFonts w:hint="eastAsia" w:cs="Times New Roman"/>
                      <w:sz w:val="21"/>
                      <w:szCs w:val="21"/>
                    </w:rPr>
                    <w:t>1</w:t>
                  </w:r>
                  <w:r>
                    <w:rPr>
                      <w:rFonts w:hint="eastAsia" w:cs="Times New Roman"/>
                      <w:sz w:val="21"/>
                      <w:szCs w:val="21"/>
                      <w:lang w:val="en-US" w:eastAsia="zh-CN"/>
                    </w:rPr>
                    <w:t>9</w:t>
                  </w:r>
                </w:p>
              </w:tc>
              <w:tc>
                <w:tcPr>
                  <w:tcW w:w="2007" w:type="pct"/>
                  <w:shd w:val="clear" w:color="auto" w:fill="auto"/>
                  <w:vAlign w:val="center"/>
                </w:tcPr>
                <w:p w14:paraId="65490E17">
                  <w:pPr>
                    <w:pStyle w:val="12"/>
                    <w:ind w:firstLine="0" w:firstLineChars="0"/>
                    <w:jc w:val="center"/>
                    <w:rPr>
                      <w:rFonts w:hint="eastAsia" w:ascii="Times New Roman" w:hAnsi="Times New Roman" w:eastAsia="宋体" w:cs="Times New Roman"/>
                      <w:kern w:val="0"/>
                      <w:sz w:val="21"/>
                      <w:szCs w:val="21"/>
                      <w:lang w:val="en-US" w:eastAsia="zh-CN" w:bidi="ar-SA"/>
                    </w:rPr>
                  </w:pPr>
                  <w:r>
                    <w:rPr>
                      <w:rFonts w:hint="eastAsia" w:cs="Times New Roman"/>
                      <w:sz w:val="21"/>
                      <w:szCs w:val="21"/>
                      <w:lang w:eastAsia="zh-CN"/>
                    </w:rPr>
                    <w:t>平昌县轩达涂料厂</w:t>
                  </w:r>
                </w:p>
              </w:tc>
              <w:tc>
                <w:tcPr>
                  <w:tcW w:w="503" w:type="pct"/>
                  <w:shd w:val="clear" w:color="auto" w:fill="auto"/>
                  <w:vAlign w:val="center"/>
                </w:tcPr>
                <w:p w14:paraId="3EAE6F88">
                  <w:pPr>
                    <w:pStyle w:val="12"/>
                    <w:ind w:firstLine="0" w:firstLineChars="0"/>
                    <w:jc w:val="center"/>
                    <w:rPr>
                      <w:rFonts w:hint="eastAsia" w:ascii="Times New Roman" w:hAnsi="Times New Roman" w:eastAsia="宋体" w:cs="Times New Roman"/>
                      <w:kern w:val="0"/>
                      <w:sz w:val="21"/>
                      <w:szCs w:val="21"/>
                      <w:lang w:val="en-US" w:eastAsia="zh-CN" w:bidi="ar-SA"/>
                    </w:rPr>
                  </w:pPr>
                  <w:r>
                    <w:rPr>
                      <w:rFonts w:hint="eastAsia" w:cs="Times New Roman"/>
                      <w:sz w:val="21"/>
                      <w:szCs w:val="21"/>
                      <w:lang w:val="en-US" w:eastAsia="zh-CN"/>
                    </w:rPr>
                    <w:t>西北侧</w:t>
                  </w:r>
                </w:p>
              </w:tc>
              <w:tc>
                <w:tcPr>
                  <w:tcW w:w="861" w:type="pct"/>
                  <w:shd w:val="clear" w:color="auto" w:fill="auto"/>
                  <w:vAlign w:val="center"/>
                </w:tcPr>
                <w:p w14:paraId="44F992D1">
                  <w:pPr>
                    <w:pStyle w:val="12"/>
                    <w:ind w:firstLine="0" w:firstLineChars="0"/>
                    <w:jc w:val="center"/>
                    <w:rPr>
                      <w:rFonts w:ascii="Times New Roman" w:hAnsi="Times New Roman" w:eastAsia="宋体" w:cs="Times New Roman"/>
                      <w:kern w:val="0"/>
                      <w:sz w:val="21"/>
                      <w:szCs w:val="21"/>
                      <w:lang w:val="en-US" w:eastAsia="zh-CN" w:bidi="ar-SA"/>
                    </w:rPr>
                  </w:pPr>
                  <w:r>
                    <w:rPr>
                      <w:rFonts w:hint="eastAsia" w:cs="Times New Roman"/>
                      <w:sz w:val="21"/>
                      <w:szCs w:val="21"/>
                    </w:rPr>
                    <w:t>2</w:t>
                  </w:r>
                  <w:r>
                    <w:rPr>
                      <w:rFonts w:cs="Times New Roman"/>
                      <w:sz w:val="21"/>
                      <w:szCs w:val="21"/>
                    </w:rPr>
                    <w:t>90</w:t>
                  </w:r>
                </w:p>
              </w:tc>
              <w:tc>
                <w:tcPr>
                  <w:tcW w:w="1307" w:type="pct"/>
                  <w:shd w:val="clear" w:color="auto" w:fill="auto"/>
                  <w:vAlign w:val="center"/>
                </w:tcPr>
                <w:p w14:paraId="358230AC">
                  <w:pPr>
                    <w:pStyle w:val="12"/>
                    <w:ind w:firstLine="0" w:firstLineChars="0"/>
                    <w:jc w:val="center"/>
                    <w:rPr>
                      <w:rFonts w:ascii="Times New Roman" w:hAnsi="Times New Roman" w:eastAsia="宋体" w:cs="Times New Roman"/>
                      <w:kern w:val="0"/>
                      <w:sz w:val="21"/>
                      <w:szCs w:val="21"/>
                      <w:lang w:val="en-US" w:eastAsia="zh-CN" w:bidi="ar-SA"/>
                    </w:rPr>
                  </w:pPr>
                  <w:r>
                    <w:rPr>
                      <w:rFonts w:hint="eastAsia" w:cs="Times New Roman"/>
                      <w:sz w:val="21"/>
                      <w:szCs w:val="21"/>
                    </w:rPr>
                    <w:t>企业</w:t>
                  </w:r>
                </w:p>
              </w:tc>
            </w:tr>
            <w:tr w14:paraId="4211E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4" w:hRule="atLeast"/>
                <w:jc w:val="center"/>
              </w:trPr>
              <w:tc>
                <w:tcPr>
                  <w:tcW w:w="320" w:type="pct"/>
                  <w:shd w:val="clear" w:color="auto" w:fill="auto"/>
                  <w:vAlign w:val="center"/>
                </w:tcPr>
                <w:p w14:paraId="214A5734">
                  <w:pPr>
                    <w:pStyle w:val="12"/>
                    <w:ind w:firstLine="0" w:firstLineChars="0"/>
                    <w:jc w:val="center"/>
                    <w:rPr>
                      <w:rFonts w:hint="eastAsia" w:ascii="Times New Roman" w:hAnsi="Times New Roman" w:eastAsia="宋体" w:cs="Times New Roman"/>
                      <w:b w:val="0"/>
                      <w:bCs/>
                      <w:kern w:val="0"/>
                      <w:sz w:val="21"/>
                      <w:szCs w:val="21"/>
                      <w:lang w:val="en-US" w:eastAsia="zh-CN" w:bidi="ar-SA"/>
                    </w:rPr>
                  </w:pPr>
                  <w:r>
                    <w:rPr>
                      <w:rFonts w:hint="eastAsia" w:cs="Times New Roman"/>
                      <w:sz w:val="21"/>
                      <w:szCs w:val="21"/>
                      <w:lang w:val="en-US" w:eastAsia="zh-CN"/>
                    </w:rPr>
                    <w:t>20</w:t>
                  </w:r>
                </w:p>
              </w:tc>
              <w:tc>
                <w:tcPr>
                  <w:tcW w:w="2007" w:type="pct"/>
                  <w:vAlign w:val="center"/>
                </w:tcPr>
                <w:p w14:paraId="3C001AA4">
                  <w:pPr>
                    <w:pStyle w:val="12"/>
                    <w:jc w:val="center"/>
                    <w:rPr>
                      <w:rFonts w:hint="default" w:eastAsia="宋体" w:cs="Times New Roman"/>
                      <w:sz w:val="21"/>
                      <w:szCs w:val="21"/>
                      <w:lang w:val="en-US" w:eastAsia="zh-CN"/>
                    </w:rPr>
                  </w:pPr>
                  <w:r>
                    <w:rPr>
                      <w:rFonts w:hint="eastAsia" w:cs="Times New Roman"/>
                      <w:sz w:val="21"/>
                      <w:szCs w:val="21"/>
                      <w:lang w:val="en-US" w:eastAsia="zh-CN"/>
                    </w:rPr>
                    <w:t>停产闲置厂房</w:t>
                  </w:r>
                </w:p>
              </w:tc>
              <w:tc>
                <w:tcPr>
                  <w:tcW w:w="503" w:type="pct"/>
                  <w:vAlign w:val="center"/>
                </w:tcPr>
                <w:p w14:paraId="6B0ADA9F">
                  <w:pPr>
                    <w:pStyle w:val="12"/>
                    <w:jc w:val="center"/>
                    <w:rPr>
                      <w:rFonts w:hint="eastAsia" w:eastAsia="宋体" w:cs="Times New Roman"/>
                      <w:sz w:val="21"/>
                      <w:szCs w:val="21"/>
                      <w:lang w:eastAsia="zh-CN"/>
                    </w:rPr>
                  </w:pPr>
                  <w:r>
                    <w:rPr>
                      <w:rFonts w:hint="eastAsia" w:cs="Times New Roman"/>
                      <w:sz w:val="21"/>
                      <w:szCs w:val="21"/>
                      <w:lang w:val="en-US" w:eastAsia="zh-CN"/>
                    </w:rPr>
                    <w:t>西北侧</w:t>
                  </w:r>
                </w:p>
              </w:tc>
              <w:tc>
                <w:tcPr>
                  <w:tcW w:w="861" w:type="pct"/>
                  <w:vAlign w:val="center"/>
                </w:tcPr>
                <w:p w14:paraId="1A71E5D3">
                  <w:pPr>
                    <w:pStyle w:val="12"/>
                    <w:jc w:val="center"/>
                    <w:rPr>
                      <w:rFonts w:hint="default" w:eastAsia="宋体" w:cs="Times New Roman"/>
                      <w:sz w:val="21"/>
                      <w:szCs w:val="21"/>
                      <w:lang w:val="en-US" w:eastAsia="zh-CN"/>
                    </w:rPr>
                  </w:pPr>
                  <w:r>
                    <w:rPr>
                      <w:rFonts w:hint="eastAsia" w:cs="Times New Roman"/>
                      <w:sz w:val="21"/>
                      <w:szCs w:val="21"/>
                      <w:lang w:val="en-US" w:eastAsia="zh-CN"/>
                    </w:rPr>
                    <w:t>315</w:t>
                  </w:r>
                </w:p>
              </w:tc>
              <w:tc>
                <w:tcPr>
                  <w:tcW w:w="1307" w:type="pct"/>
                  <w:vAlign w:val="center"/>
                </w:tcPr>
                <w:p w14:paraId="1E8A7E09">
                  <w:pPr>
                    <w:pStyle w:val="12"/>
                    <w:jc w:val="center"/>
                    <w:rPr>
                      <w:rFonts w:cs="Times New Roman"/>
                      <w:sz w:val="21"/>
                      <w:szCs w:val="21"/>
                    </w:rPr>
                  </w:pPr>
                  <w:r>
                    <w:rPr>
                      <w:rFonts w:hint="eastAsia" w:cs="Times New Roman"/>
                      <w:sz w:val="21"/>
                      <w:szCs w:val="21"/>
                    </w:rPr>
                    <w:t>企业</w:t>
                  </w:r>
                </w:p>
              </w:tc>
            </w:tr>
            <w:tr w14:paraId="7BF5F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4" w:hRule="atLeast"/>
                <w:jc w:val="center"/>
              </w:trPr>
              <w:tc>
                <w:tcPr>
                  <w:tcW w:w="320" w:type="pct"/>
                  <w:shd w:val="clear" w:color="auto" w:fill="auto"/>
                  <w:vAlign w:val="center"/>
                </w:tcPr>
                <w:p w14:paraId="1E9709EE">
                  <w:pPr>
                    <w:pStyle w:val="12"/>
                    <w:ind w:firstLine="0" w:firstLineChars="0"/>
                    <w:jc w:val="center"/>
                    <w:rPr>
                      <w:rFonts w:hint="default" w:ascii="Times New Roman" w:hAnsi="Times New Roman" w:eastAsia="宋体" w:cs="Times New Roman"/>
                      <w:b w:val="0"/>
                      <w:bCs/>
                      <w:kern w:val="0"/>
                      <w:sz w:val="21"/>
                      <w:szCs w:val="21"/>
                      <w:lang w:val="en-US" w:eastAsia="zh-CN" w:bidi="ar-SA"/>
                    </w:rPr>
                  </w:pPr>
                  <w:r>
                    <w:rPr>
                      <w:rFonts w:hint="eastAsia" w:cs="Times New Roman"/>
                      <w:sz w:val="21"/>
                      <w:szCs w:val="21"/>
                      <w:lang w:val="en-US" w:eastAsia="zh-CN"/>
                    </w:rPr>
                    <w:t>21</w:t>
                  </w:r>
                </w:p>
              </w:tc>
              <w:tc>
                <w:tcPr>
                  <w:tcW w:w="2007" w:type="pct"/>
                  <w:vAlign w:val="center"/>
                </w:tcPr>
                <w:p w14:paraId="2364A377">
                  <w:pPr>
                    <w:pStyle w:val="12"/>
                    <w:jc w:val="center"/>
                    <w:rPr>
                      <w:rFonts w:cs="Times New Roman"/>
                      <w:sz w:val="21"/>
                      <w:szCs w:val="21"/>
                    </w:rPr>
                  </w:pPr>
                  <w:r>
                    <w:rPr>
                      <w:rFonts w:hint="eastAsia" w:cs="Times New Roman"/>
                      <w:sz w:val="21"/>
                      <w:szCs w:val="21"/>
                    </w:rPr>
                    <w:t>居民点</w:t>
                  </w:r>
                  <w:r>
                    <w:rPr>
                      <w:rFonts w:cs="Times New Roman"/>
                      <w:sz w:val="21"/>
                      <w:szCs w:val="21"/>
                    </w:rPr>
                    <w:t>5#</w:t>
                  </w:r>
                </w:p>
              </w:tc>
              <w:tc>
                <w:tcPr>
                  <w:tcW w:w="503" w:type="pct"/>
                  <w:vAlign w:val="center"/>
                </w:tcPr>
                <w:p w14:paraId="66DFD8F4">
                  <w:pPr>
                    <w:pStyle w:val="12"/>
                    <w:jc w:val="center"/>
                    <w:rPr>
                      <w:rFonts w:hint="eastAsia" w:eastAsia="宋体" w:cs="Times New Roman"/>
                      <w:sz w:val="21"/>
                      <w:szCs w:val="21"/>
                      <w:lang w:eastAsia="zh-CN"/>
                    </w:rPr>
                  </w:pPr>
                  <w:r>
                    <w:rPr>
                      <w:rFonts w:hint="eastAsia" w:cs="Times New Roman"/>
                      <w:sz w:val="21"/>
                      <w:szCs w:val="21"/>
                      <w:lang w:val="en-US" w:eastAsia="zh-CN"/>
                    </w:rPr>
                    <w:t>西北侧</w:t>
                  </w:r>
                </w:p>
              </w:tc>
              <w:tc>
                <w:tcPr>
                  <w:tcW w:w="861" w:type="pct"/>
                  <w:vAlign w:val="center"/>
                </w:tcPr>
                <w:p w14:paraId="349308D8">
                  <w:pPr>
                    <w:pStyle w:val="12"/>
                    <w:jc w:val="center"/>
                    <w:rPr>
                      <w:rFonts w:hint="default" w:eastAsia="宋体" w:cs="Times New Roman"/>
                      <w:sz w:val="21"/>
                      <w:szCs w:val="21"/>
                      <w:lang w:val="en-US" w:eastAsia="zh-CN"/>
                    </w:rPr>
                  </w:pPr>
                  <w:r>
                    <w:rPr>
                      <w:rFonts w:hint="eastAsia" w:cs="Times New Roman"/>
                      <w:sz w:val="21"/>
                      <w:szCs w:val="21"/>
                    </w:rPr>
                    <w:t>4</w:t>
                  </w:r>
                  <w:r>
                    <w:rPr>
                      <w:rFonts w:hint="eastAsia" w:cs="Times New Roman"/>
                      <w:sz w:val="21"/>
                      <w:szCs w:val="21"/>
                      <w:lang w:val="en-US" w:eastAsia="zh-CN"/>
                    </w:rPr>
                    <w:t>7</w:t>
                  </w:r>
                  <w:r>
                    <w:rPr>
                      <w:rFonts w:cs="Times New Roman"/>
                      <w:sz w:val="21"/>
                      <w:szCs w:val="21"/>
                    </w:rPr>
                    <w:t>0-4</w:t>
                  </w:r>
                  <w:r>
                    <w:rPr>
                      <w:rFonts w:hint="eastAsia" w:cs="Times New Roman"/>
                      <w:sz w:val="21"/>
                      <w:szCs w:val="21"/>
                      <w:lang w:val="en-US" w:eastAsia="zh-CN"/>
                    </w:rPr>
                    <w:t>90</w:t>
                  </w:r>
                </w:p>
              </w:tc>
              <w:tc>
                <w:tcPr>
                  <w:tcW w:w="1307" w:type="pct"/>
                  <w:vAlign w:val="center"/>
                </w:tcPr>
                <w:p w14:paraId="07C71825">
                  <w:pPr>
                    <w:pStyle w:val="12"/>
                    <w:jc w:val="center"/>
                    <w:rPr>
                      <w:rFonts w:cs="Times New Roman"/>
                      <w:sz w:val="21"/>
                      <w:szCs w:val="21"/>
                    </w:rPr>
                  </w:pPr>
                  <w:r>
                    <w:rPr>
                      <w:rFonts w:hint="eastAsia" w:cs="Times New Roman"/>
                      <w:sz w:val="21"/>
                      <w:szCs w:val="21"/>
                    </w:rPr>
                    <w:t>居民</w:t>
                  </w:r>
                </w:p>
              </w:tc>
            </w:tr>
            <w:tr w14:paraId="259E6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4" w:hRule="atLeast"/>
                <w:jc w:val="center"/>
              </w:trPr>
              <w:tc>
                <w:tcPr>
                  <w:tcW w:w="320" w:type="pct"/>
                  <w:vAlign w:val="center"/>
                </w:tcPr>
                <w:p w14:paraId="25FD27D2">
                  <w:pPr>
                    <w:pStyle w:val="12"/>
                    <w:jc w:val="center"/>
                    <w:rPr>
                      <w:rFonts w:hint="default" w:eastAsia="宋体" w:cs="Times New Roman"/>
                      <w:sz w:val="21"/>
                      <w:szCs w:val="21"/>
                      <w:lang w:val="en-US" w:eastAsia="zh-CN"/>
                    </w:rPr>
                  </w:pPr>
                  <w:r>
                    <w:rPr>
                      <w:rFonts w:hint="eastAsia" w:cs="Times New Roman"/>
                      <w:sz w:val="21"/>
                      <w:szCs w:val="21"/>
                      <w:lang w:val="en-US" w:eastAsia="zh-CN"/>
                    </w:rPr>
                    <w:t>22</w:t>
                  </w:r>
                </w:p>
              </w:tc>
              <w:tc>
                <w:tcPr>
                  <w:tcW w:w="2007" w:type="pct"/>
                  <w:vAlign w:val="center"/>
                </w:tcPr>
                <w:p w14:paraId="7BED6F0A">
                  <w:pPr>
                    <w:pStyle w:val="12"/>
                    <w:jc w:val="center"/>
                    <w:rPr>
                      <w:rFonts w:cs="Times New Roman"/>
                      <w:sz w:val="21"/>
                      <w:szCs w:val="21"/>
                    </w:rPr>
                  </w:pPr>
                  <w:r>
                    <w:rPr>
                      <w:rFonts w:hint="eastAsia" w:cs="Times New Roman"/>
                      <w:sz w:val="21"/>
                      <w:szCs w:val="21"/>
                    </w:rPr>
                    <w:t>巴河</w:t>
                  </w:r>
                </w:p>
              </w:tc>
              <w:tc>
                <w:tcPr>
                  <w:tcW w:w="503" w:type="pct"/>
                  <w:vAlign w:val="center"/>
                </w:tcPr>
                <w:p w14:paraId="5EC9C4F9">
                  <w:pPr>
                    <w:pStyle w:val="12"/>
                    <w:jc w:val="center"/>
                    <w:rPr>
                      <w:rFonts w:hint="eastAsia" w:eastAsia="宋体" w:cs="Times New Roman"/>
                      <w:sz w:val="21"/>
                      <w:szCs w:val="21"/>
                      <w:lang w:eastAsia="zh-CN"/>
                    </w:rPr>
                  </w:pPr>
                  <w:r>
                    <w:rPr>
                      <w:rFonts w:hint="eastAsia" w:cs="Times New Roman"/>
                      <w:sz w:val="21"/>
                      <w:szCs w:val="21"/>
                      <w:lang w:val="en-US" w:eastAsia="zh-CN"/>
                    </w:rPr>
                    <w:t>西南侧</w:t>
                  </w:r>
                </w:p>
              </w:tc>
              <w:tc>
                <w:tcPr>
                  <w:tcW w:w="861" w:type="pct"/>
                  <w:vAlign w:val="center"/>
                </w:tcPr>
                <w:p w14:paraId="7D96657C">
                  <w:pPr>
                    <w:pStyle w:val="12"/>
                    <w:jc w:val="center"/>
                    <w:rPr>
                      <w:rFonts w:cs="Times New Roman"/>
                      <w:sz w:val="21"/>
                      <w:szCs w:val="21"/>
                    </w:rPr>
                  </w:pPr>
                  <w:r>
                    <w:rPr>
                      <w:rFonts w:hint="eastAsia" w:cs="Times New Roman"/>
                      <w:sz w:val="21"/>
                      <w:szCs w:val="21"/>
                    </w:rPr>
                    <w:t>5</w:t>
                  </w:r>
                  <w:r>
                    <w:rPr>
                      <w:rFonts w:cs="Times New Roman"/>
                      <w:sz w:val="21"/>
                      <w:szCs w:val="21"/>
                    </w:rPr>
                    <w:t>40</w:t>
                  </w:r>
                </w:p>
              </w:tc>
              <w:tc>
                <w:tcPr>
                  <w:tcW w:w="1307" w:type="pct"/>
                  <w:vAlign w:val="center"/>
                </w:tcPr>
                <w:p w14:paraId="0DC04EDF">
                  <w:pPr>
                    <w:pStyle w:val="12"/>
                    <w:jc w:val="center"/>
                    <w:rPr>
                      <w:rFonts w:cs="Times New Roman"/>
                      <w:sz w:val="21"/>
                      <w:szCs w:val="21"/>
                    </w:rPr>
                  </w:pPr>
                  <w:r>
                    <w:rPr>
                      <w:rFonts w:hint="eastAsia" w:cs="Times New Roman"/>
                      <w:sz w:val="21"/>
                      <w:szCs w:val="21"/>
                    </w:rPr>
                    <w:t>企业</w:t>
                  </w:r>
                </w:p>
              </w:tc>
            </w:tr>
          </w:tbl>
          <w:p w14:paraId="35DB3941">
            <w:pPr>
              <w:ind w:firstLine="480"/>
              <w:rPr>
                <w:rFonts w:cs="Times New Roman"/>
              </w:rPr>
            </w:pPr>
            <w:r>
              <w:rPr>
                <w:rFonts w:cs="Times New Roman"/>
              </w:rPr>
              <w:t>（2）外环境相容性分析</w:t>
            </w:r>
          </w:p>
          <w:p w14:paraId="09D663B0">
            <w:pPr>
              <w:ind w:firstLine="480"/>
              <w:rPr>
                <w:rFonts w:hint="default" w:ascii="Times New Roman" w:hAnsi="Times New Roman" w:cs="Times New Roman"/>
              </w:rPr>
            </w:pPr>
            <w:r>
              <w:rPr>
                <w:rFonts w:hint="default" w:ascii="Times New Roman" w:hAnsi="Times New Roman" w:cs="Times New Roman"/>
              </w:rPr>
              <w:t>本项目位于四川省巴中市平昌县星光工业园施迈路</w:t>
            </w:r>
            <w:r>
              <w:rPr>
                <w:rFonts w:hint="default" w:ascii="Times New Roman" w:hAnsi="Times New Roman" w:eastAsia="TimesNewRomanPSMT" w:cs="Times New Roman"/>
              </w:rPr>
              <w:t>1</w:t>
            </w:r>
            <w:r>
              <w:rPr>
                <w:rFonts w:hint="default" w:ascii="Times New Roman" w:hAnsi="Times New Roman" w:cs="Times New Roman"/>
              </w:rPr>
              <w:t>号（</w:t>
            </w:r>
            <w:r>
              <w:rPr>
                <w:rFonts w:hint="default" w:ascii="Times New Roman" w:hAnsi="Times New Roman" w:eastAsia="TimesNewRomanPSMT" w:cs="Times New Roman"/>
              </w:rPr>
              <w:t>1</w:t>
            </w:r>
            <w:r>
              <w:rPr>
                <w:rFonts w:hint="default" w:ascii="Times New Roman" w:hAnsi="Times New Roman" w:cs="Times New Roman"/>
              </w:rPr>
              <w:t>号厂房、2号厂房、</w:t>
            </w:r>
            <w:r>
              <w:rPr>
                <w:rFonts w:hint="default" w:ascii="Times New Roman" w:hAnsi="Times New Roman" w:eastAsia="TimesNewRomanPSMT" w:cs="Times New Roman"/>
              </w:rPr>
              <w:t>3</w:t>
            </w:r>
            <w:r>
              <w:rPr>
                <w:rFonts w:hint="default" w:ascii="Times New Roman" w:hAnsi="Times New Roman" w:cs="Times New Roman"/>
              </w:rPr>
              <w:t>号厂房及</w:t>
            </w:r>
            <w:r>
              <w:rPr>
                <w:rFonts w:hint="default" w:ascii="Times New Roman" w:hAnsi="Times New Roman" w:cs="Times New Roman"/>
                <w:lang w:val="en-US" w:eastAsia="zh-CN"/>
              </w:rPr>
              <w:t>办公楼、宿舍</w:t>
            </w:r>
            <w:r>
              <w:rPr>
                <w:rFonts w:hint="default" w:ascii="Times New Roman" w:hAnsi="Times New Roman" w:cs="Times New Roman"/>
              </w:rPr>
              <w:t>）。</w:t>
            </w:r>
          </w:p>
          <w:p w14:paraId="1A38BB92">
            <w:pPr>
              <w:ind w:firstLine="480"/>
              <w:rPr>
                <w:rFonts w:cs="Times New Roman"/>
              </w:rPr>
            </w:pPr>
            <w:r>
              <w:rPr>
                <w:rFonts w:cs="Times New Roman"/>
              </w:rPr>
              <w:t>经调查，项目所排园区污水处理厂排口下游10km范围内无集中式饮用水源取水点；同时项目所在区域也无集中式饮用水水源地、特殊地下水资源保护区以及分散式居民饮用水水源等环境敏感区。同时，项目所在区域周围评价范围内无自然保护区、风景名胜区、文物保护单位等特殊环境敏感区，无重大制约因素。</w:t>
            </w:r>
          </w:p>
          <w:p w14:paraId="435EE514">
            <w:pPr>
              <w:ind w:firstLine="480"/>
              <w:rPr>
                <w:rFonts w:cs="Times New Roman"/>
              </w:rPr>
            </w:pPr>
            <w:r>
              <w:rPr>
                <w:rFonts w:hint="eastAsia" w:cs="Times New Roman"/>
                <w:lang w:val="en-US" w:eastAsia="zh-CN"/>
              </w:rPr>
              <w:t>距离本项目最近的敏感点为居民点4#，位于本项目西北侧150-260m处，位于侧风向。</w:t>
            </w:r>
            <w:r>
              <w:rPr>
                <w:rFonts w:cs="Times New Roman"/>
              </w:rPr>
              <w:t>根据工程分析，项目废气、废水经对应治理措施处理后做到达标排放；项目噪声经隔声、减振等综合降噪措施处理后达标排放，固体废物处置合理，去向明确。项目在满足各项污染物达标排放的前提下，不会对周边敏感保护目标造成明显影响，对外环境影响较小。同时本项目</w:t>
            </w:r>
            <w:r>
              <w:rPr>
                <w:rFonts w:hint="eastAsia" w:cs="Times New Roman"/>
              </w:rPr>
              <w:t>周边企业主</w:t>
            </w:r>
            <w:r>
              <w:rPr>
                <w:rFonts w:cs="Times New Roman"/>
              </w:rPr>
              <w:t>对外环境无特殊要求，</w:t>
            </w:r>
            <w:r>
              <w:rPr>
                <w:rFonts w:hint="eastAsia" w:cs="Times New Roman"/>
              </w:rPr>
              <w:t>本项目对外环境无特殊要求，</w:t>
            </w:r>
            <w:r>
              <w:rPr>
                <w:rFonts w:cs="Times New Roman"/>
              </w:rPr>
              <w:t>本项目与周边外环境相容。</w:t>
            </w:r>
          </w:p>
          <w:p w14:paraId="790A860B">
            <w:pPr>
              <w:ind w:firstLine="480"/>
              <w:rPr>
                <w:rFonts w:cs="Times New Roman"/>
              </w:rPr>
            </w:pPr>
            <w:r>
              <w:rPr>
                <w:rFonts w:cs="Times New Roman"/>
              </w:rPr>
              <w:t>项目周边基础设施配套完善，供水、供电均能得到保障，周边交通便捷，能够满足项目运行需要。</w:t>
            </w:r>
          </w:p>
          <w:p w14:paraId="08FE61A7">
            <w:pPr>
              <w:ind w:firstLine="480"/>
              <w:rPr>
                <w:rFonts w:cs="Times New Roman"/>
              </w:rPr>
            </w:pPr>
            <w:r>
              <w:rPr>
                <w:rFonts w:cs="Times New Roman"/>
              </w:rPr>
              <w:t>综上，本项目的建设无环境限制性因素；项目通过采取措施后排污较小，严格落实本环评提出的措施后，与周边环境相容；项目所在区域基础设施条件良好，可支撑本项目的实施，因此，本项目选址合理可行。</w:t>
            </w:r>
          </w:p>
          <w:p w14:paraId="5873F063">
            <w:pPr>
              <w:ind w:firstLine="480"/>
              <w:rPr>
                <w:rFonts w:cs="Times New Roman"/>
              </w:rPr>
            </w:pPr>
          </w:p>
          <w:p w14:paraId="6FD60709">
            <w:pPr>
              <w:ind w:firstLine="480"/>
              <w:rPr>
                <w:rFonts w:cs="Times New Roman"/>
              </w:rPr>
            </w:pPr>
          </w:p>
          <w:p w14:paraId="1FE531AE">
            <w:pPr>
              <w:ind w:firstLine="480"/>
              <w:rPr>
                <w:rFonts w:cs="Times New Roman"/>
              </w:rPr>
            </w:pPr>
          </w:p>
          <w:p w14:paraId="2BC8C261">
            <w:pPr>
              <w:ind w:firstLine="480"/>
              <w:rPr>
                <w:rFonts w:cs="Times New Roman"/>
              </w:rPr>
            </w:pPr>
          </w:p>
          <w:p w14:paraId="5991240E">
            <w:pPr>
              <w:ind w:firstLine="480"/>
              <w:rPr>
                <w:rFonts w:cs="Times New Roman"/>
              </w:rPr>
            </w:pPr>
          </w:p>
          <w:p w14:paraId="1B8C8290">
            <w:pPr>
              <w:ind w:firstLine="480"/>
              <w:rPr>
                <w:rFonts w:cs="Times New Roman"/>
              </w:rPr>
            </w:pPr>
          </w:p>
          <w:p w14:paraId="4DE30FB0">
            <w:pPr>
              <w:ind w:firstLine="480"/>
              <w:rPr>
                <w:rFonts w:cs="Times New Roman"/>
              </w:rPr>
            </w:pPr>
          </w:p>
          <w:p w14:paraId="2756F50A">
            <w:pPr>
              <w:ind w:firstLine="480"/>
              <w:rPr>
                <w:rFonts w:cs="Times New Roman"/>
              </w:rPr>
            </w:pPr>
          </w:p>
          <w:p w14:paraId="6FD56900">
            <w:pPr>
              <w:ind w:firstLine="480"/>
              <w:rPr>
                <w:rFonts w:cs="Times New Roman"/>
              </w:rPr>
            </w:pPr>
          </w:p>
          <w:p w14:paraId="418795C6">
            <w:pPr>
              <w:ind w:firstLine="480"/>
              <w:rPr>
                <w:rFonts w:cs="Times New Roman"/>
              </w:rPr>
            </w:pPr>
          </w:p>
          <w:p w14:paraId="1D9C9C26">
            <w:pPr>
              <w:ind w:firstLine="480"/>
              <w:rPr>
                <w:rFonts w:cs="Times New Roman"/>
              </w:rPr>
            </w:pPr>
          </w:p>
          <w:p w14:paraId="7CD4CBEA">
            <w:pPr>
              <w:ind w:firstLine="480"/>
              <w:rPr>
                <w:rFonts w:cs="Times New Roman"/>
              </w:rPr>
            </w:pPr>
          </w:p>
          <w:p w14:paraId="398B0AE2">
            <w:pPr>
              <w:ind w:left="0" w:leftChars="0" w:firstLine="0" w:firstLineChars="0"/>
              <w:rPr>
                <w:rFonts w:cs="Times New Roman"/>
              </w:rPr>
            </w:pPr>
          </w:p>
        </w:tc>
      </w:tr>
    </w:tbl>
    <w:p w14:paraId="0DEDFCB9">
      <w:pPr>
        <w:ind w:firstLine="0" w:firstLineChars="0"/>
        <w:rPr>
          <w:rFonts w:cs="Times New Roman"/>
        </w:rPr>
        <w:sectPr>
          <w:pgSz w:w="11906" w:h="16838"/>
          <w:pgMar w:top="1440" w:right="1080" w:bottom="1440" w:left="1080" w:header="851" w:footer="567" w:gutter="0"/>
          <w:cols w:space="425" w:num="1"/>
          <w:docGrid w:type="lines" w:linePitch="326" w:charSpace="0"/>
        </w:sectPr>
      </w:pPr>
    </w:p>
    <w:p w14:paraId="7E0500C6">
      <w:pPr>
        <w:pStyle w:val="2"/>
        <w:rPr>
          <w:rFonts w:ascii="Times New Roman" w:hAnsi="Times New Roman"/>
        </w:rPr>
      </w:pPr>
      <w:bookmarkStart w:id="33" w:name="_Toc6038"/>
      <w:r>
        <w:rPr>
          <w:rFonts w:ascii="Times New Roman" w:hAnsi="Times New Roman"/>
        </w:rPr>
        <w:fldChar w:fldCharType="begin"/>
      </w:r>
      <w:r>
        <w:rPr>
          <w:rFonts w:ascii="Times New Roman" w:hAnsi="Times New Roman"/>
        </w:rPr>
        <w:instrText xml:space="preserve"> SEQ seq \h </w:instrText>
      </w:r>
      <w:r>
        <w:rPr>
          <w:rFonts w:ascii="Times New Roman" w:hAnsi="Times New Roman"/>
        </w:rPr>
        <w:fldChar w:fldCharType="separate"/>
      </w:r>
      <w:r>
        <w:rPr>
          <w:rFonts w:ascii="Times New Roman" w:hAnsi="Times New Roman"/>
        </w:rPr>
        <w:fldChar w:fldCharType="end"/>
      </w:r>
      <w:r>
        <w:rPr>
          <w:rFonts w:ascii="Times New Roman" w:hAnsi="Times New Roman"/>
        </w:rPr>
        <w:t>建设项目工程分析</w:t>
      </w:r>
      <w:bookmarkEnd w:id="33"/>
    </w:p>
    <w:tbl>
      <w:tblPr>
        <w:tblStyle w:val="26"/>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57" w:type="dxa"/>
          <w:bottom w:w="0" w:type="dxa"/>
          <w:right w:w="57" w:type="dxa"/>
        </w:tblCellMar>
      </w:tblPr>
      <w:tblGrid>
        <w:gridCol w:w="406"/>
        <w:gridCol w:w="9413"/>
      </w:tblGrid>
      <w:tr w14:paraId="3F0364A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90" w:hRule="atLeast"/>
          <w:jc w:val="center"/>
        </w:trPr>
        <w:tc>
          <w:tcPr>
            <w:tcW w:w="214" w:type="pct"/>
            <w:tcMar>
              <w:top w:w="16" w:type="dxa"/>
              <w:left w:w="16" w:type="dxa"/>
              <w:right w:w="16" w:type="dxa"/>
            </w:tcMar>
            <w:vAlign w:val="center"/>
          </w:tcPr>
          <w:p w14:paraId="20FB9548">
            <w:pPr>
              <w:pStyle w:val="24"/>
              <w:rPr>
                <w:rFonts w:cs="Times New Roman"/>
              </w:rPr>
            </w:pPr>
            <w:r>
              <w:rPr>
                <w:rFonts w:cs="Times New Roman"/>
              </w:rPr>
              <w:t>建设内容</w:t>
            </w:r>
          </w:p>
        </w:tc>
        <w:tc>
          <w:tcPr>
            <w:tcW w:w="4786" w:type="pct"/>
            <w:vAlign w:val="center"/>
          </w:tcPr>
          <w:p w14:paraId="3C03C435">
            <w:pPr>
              <w:pStyle w:val="3"/>
              <w:spacing w:before="163"/>
            </w:pPr>
            <w:r>
              <w:t>1、项目由来</w:t>
            </w:r>
          </w:p>
          <w:p w14:paraId="6E21648A">
            <w:pPr>
              <w:keepNext w:val="0"/>
              <w:keepLines w:val="0"/>
              <w:widowControl/>
              <w:suppressLineNumbers w:val="0"/>
              <w:ind w:firstLine="480" w:firstLineChars="200"/>
              <w:jc w:val="left"/>
              <w:rPr>
                <w:rFonts w:hint="default" w:ascii="Times New Roman" w:hAnsi="Times New Roman" w:cs="Times New Roman"/>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近年来随着四川地区气田勘探开发规模的不断发展，产生了大量的钻井岩屑，在此背景下，巴中瑞成环保科技有限公司拟投资</w:t>
            </w:r>
            <w:r>
              <w:rPr>
                <w:rFonts w:hint="eastAsia" w:cs="Times New Roman"/>
                <w:color w:val="000000"/>
                <w:kern w:val="0"/>
                <w:sz w:val="24"/>
                <w:szCs w:val="24"/>
                <w:lang w:val="en-US" w:eastAsia="zh-CN" w:bidi="ar"/>
              </w:rPr>
              <w:t>3000</w:t>
            </w:r>
            <w:r>
              <w:rPr>
                <w:rFonts w:hint="eastAsia" w:ascii="宋体" w:hAnsi="宋体" w:eastAsia="宋体" w:cs="宋体"/>
                <w:color w:val="000000"/>
                <w:kern w:val="0"/>
                <w:sz w:val="24"/>
                <w:szCs w:val="24"/>
                <w:lang w:val="en-US" w:eastAsia="zh-CN" w:bidi="ar"/>
              </w:rPr>
              <w:t>万元，</w:t>
            </w:r>
            <w:r>
              <w:rPr>
                <w:rFonts w:hint="eastAsia" w:ascii="宋体" w:hAnsi="宋体" w:cs="宋体"/>
                <w:color w:val="000000"/>
                <w:kern w:val="0"/>
                <w:sz w:val="24"/>
                <w:szCs w:val="24"/>
                <w:lang w:val="en-US" w:eastAsia="zh-CN" w:bidi="ar"/>
              </w:rPr>
              <w:t>在</w:t>
            </w:r>
            <w:r>
              <w:rPr>
                <w:rFonts w:hint="eastAsia" w:ascii="宋体" w:hAnsi="宋体" w:eastAsia="宋体" w:cs="宋体"/>
                <w:color w:val="000000"/>
                <w:kern w:val="0"/>
                <w:sz w:val="24"/>
                <w:szCs w:val="24"/>
                <w:lang w:val="en-US" w:eastAsia="zh-CN" w:bidi="ar"/>
              </w:rPr>
              <w:t>四川省巴中市平昌县星光工业园施迈路</w:t>
            </w:r>
            <w:r>
              <w:rPr>
                <w:rFonts w:hint="default" w:ascii="Times New Roman" w:hAnsi="Times New Roman" w:eastAsia="宋体" w:cs="Times New Roman"/>
                <w:color w:val="000000"/>
                <w:kern w:val="0"/>
                <w:sz w:val="24"/>
                <w:szCs w:val="24"/>
                <w:lang w:val="en-US" w:eastAsia="zh-CN" w:bidi="ar"/>
              </w:rPr>
              <w:t>1</w:t>
            </w:r>
            <w:r>
              <w:rPr>
                <w:rFonts w:hint="eastAsia" w:ascii="宋体" w:hAnsi="宋体" w:eastAsia="宋体" w:cs="宋体"/>
                <w:color w:val="000000"/>
                <w:kern w:val="0"/>
                <w:sz w:val="24"/>
                <w:szCs w:val="24"/>
                <w:lang w:val="en-US" w:eastAsia="zh-CN" w:bidi="ar"/>
              </w:rPr>
              <w:t>号（</w:t>
            </w:r>
            <w:r>
              <w:rPr>
                <w:rFonts w:hint="eastAsia" w:ascii="宋体" w:hAnsi="宋体" w:cs="宋体"/>
                <w:color w:val="000000"/>
                <w:kern w:val="0"/>
                <w:sz w:val="24"/>
                <w:szCs w:val="24"/>
                <w:lang w:val="en-US" w:eastAsia="zh-CN" w:bidi="ar"/>
              </w:rPr>
              <w:t>租用</w:t>
            </w:r>
            <w:r>
              <w:rPr>
                <w:rFonts w:hint="eastAsia" w:ascii="宋体" w:hAnsi="宋体" w:eastAsia="宋体" w:cs="宋体"/>
                <w:color w:val="000000"/>
                <w:kern w:val="0"/>
                <w:sz w:val="24"/>
                <w:szCs w:val="24"/>
                <w:lang w:val="en-US" w:eastAsia="zh-CN" w:bidi="ar"/>
              </w:rPr>
              <w:t>四川金联玉合电气有限公司已建厂区</w:t>
            </w:r>
            <w:r>
              <w:rPr>
                <w:rFonts w:hint="default" w:ascii="Times New Roman" w:hAnsi="Times New Roman" w:eastAsia="宋体" w:cs="Times New Roman"/>
                <w:color w:val="000000"/>
                <w:kern w:val="0"/>
                <w:sz w:val="24"/>
                <w:szCs w:val="24"/>
                <w:lang w:val="en-US" w:eastAsia="zh-CN" w:bidi="ar"/>
              </w:rPr>
              <w:t>内</w:t>
            </w:r>
            <w:r>
              <w:rPr>
                <w:rFonts w:hint="default" w:ascii="Times New Roman" w:hAnsi="Times New Roman" w:cs="Times New Roman"/>
                <w:color w:val="000000"/>
                <w:kern w:val="0"/>
                <w:sz w:val="24"/>
                <w:szCs w:val="24"/>
                <w:lang w:val="en-US" w:eastAsia="zh-CN" w:bidi="ar"/>
              </w:rPr>
              <w:t>1号、3号</w:t>
            </w:r>
            <w:r>
              <w:rPr>
                <w:rFonts w:hint="eastAsia" w:ascii="宋体" w:hAnsi="宋体" w:cs="宋体"/>
                <w:color w:val="000000"/>
                <w:kern w:val="0"/>
                <w:sz w:val="24"/>
                <w:szCs w:val="24"/>
                <w:lang w:val="en-US" w:eastAsia="zh-CN" w:bidi="ar"/>
              </w:rPr>
              <w:t>厂房</w:t>
            </w:r>
            <w:r>
              <w:rPr>
                <w:rFonts w:hint="eastAsia" w:ascii="宋体" w:hAnsi="宋体" w:eastAsia="宋体" w:cs="宋体"/>
                <w:color w:val="000000"/>
                <w:kern w:val="0"/>
                <w:sz w:val="24"/>
                <w:szCs w:val="24"/>
                <w:lang w:val="en-US" w:eastAsia="zh-CN" w:bidi="ar"/>
              </w:rPr>
              <w:t>），</w:t>
            </w:r>
            <w:r>
              <w:rPr>
                <w:rFonts w:hint="eastAsia" w:ascii="宋体" w:hAnsi="宋体" w:cs="宋体"/>
                <w:color w:val="000000"/>
                <w:kern w:val="0"/>
                <w:sz w:val="24"/>
                <w:szCs w:val="24"/>
                <w:lang w:val="en-US" w:eastAsia="zh-CN" w:bidi="ar"/>
              </w:rPr>
              <w:t>建设</w:t>
            </w:r>
            <w:r>
              <w:rPr>
                <w:rFonts w:hint="eastAsia" w:ascii="宋体" w:hAnsi="宋体" w:eastAsia="宋体" w:cs="宋体"/>
                <w:color w:val="000000"/>
                <w:kern w:val="0"/>
                <w:sz w:val="24"/>
                <w:szCs w:val="24"/>
                <w:lang w:val="en-US" w:eastAsia="zh-CN" w:bidi="ar"/>
              </w:rPr>
              <w:t>“</w:t>
            </w:r>
            <w:r>
              <w:rPr>
                <w:rFonts w:hint="eastAsia" w:ascii="宋体" w:hAnsi="宋体" w:cs="宋体"/>
                <w:color w:val="000000"/>
                <w:kern w:val="0"/>
                <w:sz w:val="24"/>
                <w:szCs w:val="24"/>
                <w:lang w:val="en-US" w:eastAsia="zh-CN" w:bidi="ar"/>
              </w:rPr>
              <w:t>巴中瑞成环保科技有限公司</w:t>
            </w:r>
            <w:r>
              <w:rPr>
                <w:rFonts w:hint="eastAsia" w:ascii="宋体" w:hAnsi="宋体" w:eastAsia="宋体" w:cs="宋体"/>
                <w:color w:val="000000"/>
                <w:kern w:val="0"/>
                <w:sz w:val="24"/>
                <w:szCs w:val="24"/>
                <w:lang w:val="en-US" w:eastAsia="zh-CN" w:bidi="ar"/>
              </w:rPr>
              <w:t>水基岩屑综合利用及处理项目”。</w:t>
            </w:r>
            <w:r>
              <w:rPr>
                <w:rFonts w:hint="eastAsia" w:ascii="宋体" w:hAnsi="宋体" w:cs="宋体"/>
                <w:color w:val="000000"/>
                <w:kern w:val="0"/>
                <w:sz w:val="24"/>
                <w:szCs w:val="24"/>
                <w:lang w:val="en-US" w:eastAsia="zh-CN" w:bidi="ar"/>
              </w:rPr>
              <w:t>该</w:t>
            </w:r>
            <w:r>
              <w:rPr>
                <w:rFonts w:hint="eastAsia" w:ascii="宋体" w:hAnsi="宋体" w:eastAsia="宋体" w:cs="宋体"/>
                <w:color w:val="000000"/>
                <w:kern w:val="0"/>
                <w:sz w:val="24"/>
                <w:szCs w:val="24"/>
                <w:lang w:val="en-US" w:eastAsia="zh-CN" w:bidi="ar"/>
              </w:rPr>
              <w:t>项目主要处理合作单位四川省顺祥油气工程有限公司运输过来的四川境内水基岩屑，满足合作单位供给</w:t>
            </w:r>
            <w:r>
              <w:rPr>
                <w:rFonts w:hint="default" w:ascii="Times New Roman" w:hAnsi="Times New Roman" w:eastAsia="宋体" w:cs="Times New Roman"/>
                <w:color w:val="000000"/>
                <w:kern w:val="0"/>
                <w:sz w:val="24"/>
                <w:szCs w:val="24"/>
                <w:lang w:val="en-US" w:eastAsia="zh-CN" w:bidi="ar"/>
              </w:rPr>
              <w:t>后，还可接收处理平昌及周边水基岩屑。项目</w:t>
            </w:r>
            <w:r>
              <w:rPr>
                <w:rFonts w:hint="default" w:ascii="Times New Roman" w:hAnsi="Times New Roman" w:cs="Times New Roman"/>
                <w:color w:val="000000"/>
                <w:kern w:val="0"/>
                <w:sz w:val="24"/>
                <w:szCs w:val="24"/>
                <w:lang w:val="en-US" w:eastAsia="zh-CN" w:bidi="ar"/>
              </w:rPr>
              <w:t>于2024年编制环境影响评价报告表并于2025年1月6日取得了巴中市平昌县生态环境局出具的《关于巴中瑞成环保科技有限公司</w:t>
            </w:r>
            <w:r>
              <w:rPr>
                <w:rFonts w:hint="default" w:ascii="Times New Roman" w:hAnsi="Times New Roman" w:eastAsia="宋体" w:cs="Times New Roman"/>
                <w:color w:val="000000"/>
                <w:kern w:val="0"/>
                <w:sz w:val="24"/>
                <w:szCs w:val="24"/>
                <w:lang w:val="en-US" w:eastAsia="zh-CN" w:bidi="ar"/>
              </w:rPr>
              <w:t>水基岩屑综合利用及处理项目</w:t>
            </w:r>
            <w:r>
              <w:rPr>
                <w:rFonts w:hint="default" w:ascii="Times New Roman" w:hAnsi="Times New Roman" w:cs="Times New Roman"/>
                <w:color w:val="000000"/>
                <w:kern w:val="0"/>
                <w:sz w:val="24"/>
                <w:szCs w:val="24"/>
                <w:lang w:val="en-US" w:eastAsia="zh-CN" w:bidi="ar"/>
              </w:rPr>
              <w:t>环境影响报告表批复的函》（巴环境平昌审</w:t>
            </w:r>
            <w:r>
              <w:rPr>
                <w:rFonts w:hint="eastAsia" w:cs="Times New Roman"/>
                <w:color w:val="000000"/>
                <w:kern w:val="0"/>
                <w:sz w:val="24"/>
                <w:szCs w:val="24"/>
                <w:lang w:val="en-US" w:eastAsia="zh-CN" w:bidi="ar"/>
              </w:rPr>
              <w:t>〔2025〕2号</w:t>
            </w:r>
            <w:r>
              <w:rPr>
                <w:rFonts w:hint="default" w:ascii="Times New Roman" w:hAnsi="Times New Roman" w:cs="Times New Roman"/>
                <w:color w:val="000000"/>
                <w:kern w:val="0"/>
                <w:sz w:val="24"/>
                <w:szCs w:val="24"/>
                <w:lang w:val="en-US" w:eastAsia="zh-CN" w:bidi="ar"/>
              </w:rPr>
              <w:t>）。</w:t>
            </w:r>
          </w:p>
          <w:p w14:paraId="6739F841">
            <w:pPr>
              <w:keepNext w:val="0"/>
              <w:keepLines w:val="0"/>
              <w:widowControl/>
              <w:suppressLineNumbers w:val="0"/>
              <w:ind w:firstLine="480" w:firstLineChars="200"/>
              <w:jc w:val="left"/>
              <w:rPr>
                <w:rFonts w:hint="default" w:ascii="Times New Roman" w:hAnsi="Times New Roman" w:cs="Times New Roman"/>
                <w:color w:val="000000"/>
                <w:kern w:val="0"/>
                <w:sz w:val="24"/>
                <w:szCs w:val="24"/>
                <w:lang w:val="en-US" w:eastAsia="zh-CN" w:bidi="ar"/>
              </w:rPr>
            </w:pPr>
            <w:r>
              <w:rPr>
                <w:rFonts w:hint="default" w:ascii="Times New Roman" w:hAnsi="Times New Roman" w:cs="Times New Roman"/>
                <w:color w:val="000000"/>
                <w:kern w:val="0"/>
                <w:sz w:val="24"/>
                <w:szCs w:val="24"/>
                <w:lang w:val="en-US" w:eastAsia="zh-CN" w:bidi="ar"/>
              </w:rPr>
              <w:t>项目在设计完善过程中，建设单位发现设计采用的烘干工艺无法满足水基岩屑处理需求，无法保障产品质量</w:t>
            </w:r>
            <w:r>
              <w:rPr>
                <w:rFonts w:hint="eastAsia" w:cs="Times New Roman"/>
                <w:color w:val="000000"/>
                <w:kern w:val="0"/>
                <w:sz w:val="24"/>
                <w:szCs w:val="24"/>
                <w:lang w:val="en-US" w:eastAsia="zh-CN" w:bidi="ar"/>
              </w:rPr>
              <w:t>；此外，为了实现钻井岩屑综合利用后剩余固相的资源化利用，本项目接收经鉴别为一般固废的热脱附干渣作为原料生产项目产品，主要处理合作单位四川安瑞环境科技有限公司</w:t>
            </w:r>
            <w:r>
              <w:rPr>
                <w:rFonts w:hint="eastAsia"/>
                <w:color w:val="000000" w:themeColor="text1"/>
                <w14:textFill>
                  <w14:solidFill>
                    <w14:schemeClr w14:val="tx1"/>
                  </w14:solidFill>
                </w14:textFill>
              </w:rPr>
              <w:t>连续式热脱附装置生产线产出的</w:t>
            </w:r>
            <w:r>
              <w:rPr>
                <w:rFonts w:hint="eastAsia"/>
                <w:color w:val="000000" w:themeColor="text1"/>
                <w:lang w:val="en-US" w:eastAsia="zh-CN"/>
                <w14:textFill>
                  <w14:solidFill>
                    <w14:schemeClr w14:val="tx1"/>
                  </w14:solidFill>
                </w14:textFill>
              </w:rPr>
              <w:t>热脱附</w:t>
            </w:r>
            <w:r>
              <w:rPr>
                <w:rFonts w:hint="eastAsia"/>
                <w:color w:val="000000" w:themeColor="text1"/>
                <w14:textFill>
                  <w14:solidFill>
                    <w14:schemeClr w14:val="tx1"/>
                  </w14:solidFill>
                </w14:textFill>
              </w:rPr>
              <w:t>干渣</w:t>
            </w:r>
            <w:r>
              <w:rPr>
                <w:rFonts w:hint="eastAsia"/>
                <w:color w:val="000000" w:themeColor="text1"/>
                <w:lang w:eastAsia="zh-CN"/>
                <w14:textFill>
                  <w14:solidFill>
                    <w14:schemeClr w14:val="tx1"/>
                  </w14:solidFill>
                </w14:textFill>
              </w:rPr>
              <w:t>。</w:t>
            </w:r>
            <w:r>
              <w:rPr>
                <w:rFonts w:hint="default" w:ascii="Times New Roman" w:hAnsi="Times New Roman" w:cs="Times New Roman"/>
                <w:color w:val="000000"/>
                <w:kern w:val="0"/>
                <w:sz w:val="24"/>
                <w:szCs w:val="24"/>
                <w:lang w:val="en-US" w:eastAsia="zh-CN" w:bidi="ar"/>
              </w:rPr>
              <w:t>因此</w:t>
            </w:r>
            <w:r>
              <w:rPr>
                <w:rFonts w:hint="eastAsia" w:cs="Times New Roman"/>
                <w:color w:val="000000"/>
                <w:kern w:val="0"/>
                <w:sz w:val="24"/>
                <w:szCs w:val="24"/>
                <w:lang w:val="en-US" w:eastAsia="zh-CN" w:bidi="ar"/>
              </w:rPr>
              <w:t>，建设单位</w:t>
            </w:r>
            <w:r>
              <w:rPr>
                <w:rFonts w:hint="default" w:ascii="Times New Roman" w:hAnsi="Times New Roman" w:cs="Times New Roman"/>
                <w:color w:val="000000"/>
                <w:kern w:val="0"/>
                <w:sz w:val="24"/>
                <w:szCs w:val="24"/>
                <w:lang w:val="en-US" w:eastAsia="zh-CN" w:bidi="ar"/>
              </w:rPr>
              <w:t>对工艺进行</w:t>
            </w:r>
            <w:r>
              <w:rPr>
                <w:rFonts w:hint="eastAsia" w:cs="Times New Roman"/>
                <w:color w:val="000000"/>
                <w:kern w:val="0"/>
                <w:sz w:val="24"/>
                <w:szCs w:val="24"/>
                <w:lang w:val="en-US" w:eastAsia="zh-CN" w:bidi="ar"/>
              </w:rPr>
              <w:t>了</w:t>
            </w:r>
            <w:r>
              <w:rPr>
                <w:rFonts w:hint="default" w:ascii="Times New Roman" w:hAnsi="Times New Roman" w:cs="Times New Roman"/>
                <w:color w:val="000000"/>
                <w:kern w:val="0"/>
                <w:sz w:val="24"/>
                <w:szCs w:val="24"/>
                <w:lang w:val="en-US" w:eastAsia="zh-CN" w:bidi="ar"/>
              </w:rPr>
              <w:t>大幅调整。</w:t>
            </w:r>
          </w:p>
          <w:p w14:paraId="34E03EA3">
            <w:pPr>
              <w:keepNext w:val="0"/>
              <w:keepLines w:val="0"/>
              <w:widowControl/>
              <w:suppressLineNumbers w:val="0"/>
              <w:jc w:val="left"/>
              <w:rPr>
                <w:rFonts w:hint="default" w:cs="Times New Roman"/>
                <w:b/>
                <w:bCs/>
                <w:color w:val="000000"/>
                <w:kern w:val="0"/>
                <w:sz w:val="24"/>
                <w:szCs w:val="24"/>
                <w:lang w:val="en-US" w:eastAsia="zh-CN" w:bidi="ar"/>
              </w:rPr>
            </w:pPr>
            <w:r>
              <w:rPr>
                <w:rFonts w:hint="default" w:ascii="Times New Roman" w:hAnsi="Times New Roman" w:cs="Times New Roman"/>
                <w:color w:val="000000"/>
                <w:kern w:val="0"/>
                <w:sz w:val="24"/>
                <w:szCs w:val="24"/>
                <w:lang w:val="en-US" w:eastAsia="zh-CN" w:bidi="ar"/>
              </w:rPr>
              <w:t>调整后本次拟建内容：项目拟</w:t>
            </w:r>
            <w:r>
              <w:rPr>
                <w:rFonts w:hint="default" w:ascii="Times New Roman" w:hAnsi="Times New Roman" w:eastAsia="宋体" w:cs="Times New Roman"/>
                <w:color w:val="000000"/>
                <w:kern w:val="0"/>
                <w:sz w:val="24"/>
                <w:szCs w:val="24"/>
                <w:lang w:val="en-US" w:eastAsia="zh-CN" w:bidi="ar"/>
              </w:rPr>
              <w:t>租用四川金联玉合电气有限公司已建厂区内已建厂房（1号、2号、3号厂房</w:t>
            </w:r>
            <w:r>
              <w:rPr>
                <w:rFonts w:hint="eastAsia" w:cs="Times New Roman"/>
                <w:color w:val="000000"/>
                <w:kern w:val="0"/>
                <w:sz w:val="24"/>
                <w:szCs w:val="24"/>
                <w:lang w:val="en-US" w:eastAsia="zh-CN" w:bidi="ar"/>
              </w:rPr>
              <w:t>，总计占地约10000m</w:t>
            </w:r>
            <w:r>
              <w:rPr>
                <w:rFonts w:hint="eastAsia" w:cs="Times New Roman"/>
                <w:color w:val="000000"/>
                <w:kern w:val="0"/>
                <w:sz w:val="24"/>
                <w:szCs w:val="24"/>
                <w:vertAlign w:val="superscript"/>
                <w:lang w:val="en-US" w:eastAsia="zh-CN" w:bidi="ar"/>
              </w:rPr>
              <w:t>2</w:t>
            </w:r>
            <w:r>
              <w:rPr>
                <w:rFonts w:hint="default" w:ascii="Times New Roman" w:hAnsi="Times New Roman" w:eastAsia="宋体" w:cs="Times New Roman"/>
                <w:color w:val="000000"/>
                <w:kern w:val="0"/>
                <w:sz w:val="24"/>
                <w:szCs w:val="24"/>
                <w:lang w:val="en-US" w:eastAsia="zh-CN" w:bidi="ar"/>
              </w:rPr>
              <w:t>），进行适应性改造，建设</w:t>
            </w:r>
            <w:r>
              <w:rPr>
                <w:rFonts w:hint="eastAsia" w:cs="Times New Roman"/>
                <w:color w:val="000000"/>
                <w:kern w:val="0"/>
                <w:sz w:val="24"/>
                <w:szCs w:val="24"/>
                <w:lang w:val="en-US" w:eastAsia="zh-CN" w:bidi="ar"/>
              </w:rPr>
              <w:t>水基岩屑及热脱附干渣</w:t>
            </w:r>
            <w:r>
              <w:rPr>
                <w:rFonts w:hint="default" w:ascii="Times New Roman" w:hAnsi="Times New Roman" w:eastAsia="宋体" w:cs="Times New Roman"/>
                <w:color w:val="000000"/>
                <w:kern w:val="0"/>
                <w:sz w:val="24"/>
                <w:szCs w:val="24"/>
                <w:lang w:val="en-US" w:eastAsia="zh-CN" w:bidi="ar"/>
              </w:rPr>
              <w:t>综合利用项目</w:t>
            </w:r>
            <w:r>
              <w:rPr>
                <w:rFonts w:hint="default" w:ascii="Times New Roman" w:hAnsi="Times New Roman" w:cs="Times New Roman"/>
                <w:color w:val="000000"/>
                <w:kern w:val="0"/>
                <w:sz w:val="24"/>
                <w:szCs w:val="24"/>
                <w:lang w:val="en-US" w:eastAsia="zh-CN" w:bidi="ar"/>
              </w:rPr>
              <w:t>。</w:t>
            </w:r>
            <w:r>
              <w:rPr>
                <w:rFonts w:hint="eastAsia" w:cs="Times New Roman"/>
                <w:color w:val="000000"/>
                <w:kern w:val="0"/>
                <w:sz w:val="24"/>
                <w:szCs w:val="24"/>
                <w:lang w:val="en-US" w:eastAsia="zh-CN" w:bidi="ar"/>
              </w:rPr>
              <w:t>项目分两期建设，一期建设内容：设置生产车间3间，车间内设置水基岩屑储存池1座，设置水基岩屑及热脱附干渣煅烧生产线1条、免烧建筑基材生产线1条、水基岩屑预处理设施1套，并配套设置原料、产品等堆存区域和办公区。可综合利用水基岩屑30万t/a，热脱附干渣约4.2万t/a，最终生产水稳层骨料约12万t/a，免烧砌块约22万t/a。二期建设内容：建设返排液日处理300吨处理设施1套，收集并处理钻井返排液、水基岩屑压滤废水等，最大处理能力10万t/a。</w:t>
            </w:r>
            <w:r>
              <w:rPr>
                <w:rFonts w:hint="eastAsia" w:cs="Times New Roman"/>
                <w:b/>
                <w:bCs/>
                <w:color w:val="000000"/>
                <w:kern w:val="0"/>
                <w:sz w:val="24"/>
                <w:szCs w:val="24"/>
                <w:lang w:val="en-US" w:eastAsia="zh-CN" w:bidi="ar"/>
              </w:rPr>
              <w:t>本次评价仅对一期建设内容进行评价。</w:t>
            </w:r>
          </w:p>
          <w:p w14:paraId="02AB7647">
            <w:pPr>
              <w:pStyle w:val="15"/>
              <w:ind w:firstLine="0" w:firstLineChars="0"/>
              <w:rPr>
                <w:rFonts w:hint="eastAsia" w:ascii="宋体" w:hAnsi="宋体" w:cs="宋体"/>
                <w:color w:val="000000"/>
                <w:kern w:val="0"/>
                <w:sz w:val="24"/>
                <w:szCs w:val="24"/>
                <w:lang w:val="en-US" w:eastAsia="zh-CN" w:bidi="ar"/>
              </w:rPr>
            </w:pPr>
          </w:p>
          <w:p w14:paraId="67A9AF2D">
            <w:pPr>
              <w:pStyle w:val="15"/>
              <w:rPr>
                <w:rFonts w:hint="eastAsia" w:ascii="宋体" w:hAnsi="宋体" w:cs="宋体"/>
                <w:color w:val="000000"/>
                <w:kern w:val="0"/>
                <w:sz w:val="24"/>
                <w:szCs w:val="24"/>
                <w:lang w:val="en-US" w:eastAsia="zh-CN" w:bidi="ar"/>
              </w:rPr>
            </w:pPr>
          </w:p>
          <w:p w14:paraId="5CA69862">
            <w:pPr>
              <w:pStyle w:val="15"/>
              <w:rPr>
                <w:rFonts w:hint="eastAsia" w:ascii="宋体" w:hAnsi="宋体" w:cs="宋体"/>
                <w:color w:val="000000"/>
                <w:kern w:val="0"/>
                <w:sz w:val="24"/>
                <w:szCs w:val="24"/>
                <w:lang w:val="en-US" w:eastAsia="zh-CN" w:bidi="ar"/>
              </w:rPr>
            </w:pPr>
            <w:r>
              <w:rPr>
                <w:rFonts w:hint="eastAsia" w:ascii="宋体" w:hAnsi="宋体" w:cs="宋体"/>
                <w:color w:val="000000"/>
                <w:kern w:val="0"/>
                <w:sz w:val="24"/>
                <w:szCs w:val="24"/>
                <w:lang w:val="en-US" w:eastAsia="zh-CN" w:bidi="ar"/>
              </w:rPr>
              <w:t>简要说明项目建设内容较原环评变化情况如下。</w:t>
            </w:r>
          </w:p>
          <w:p w14:paraId="646C4953">
            <w:pPr>
              <w:pStyle w:val="11"/>
              <w:keepNext/>
              <w:rPr>
                <w:rFonts w:hint="default" w:eastAsia="宋体" w:cs="Times New Roman"/>
                <w:lang w:val="en-US" w:eastAsia="zh-CN"/>
              </w:rPr>
            </w:pPr>
            <w:r>
              <w:rPr>
                <w:rFonts w:cs="Times New Roman"/>
              </w:rPr>
              <w:t>表</w:t>
            </w:r>
            <w:r>
              <w:rPr>
                <w:rFonts w:hint="eastAsia" w:cs="Times New Roman"/>
                <w:lang w:val="en-US" w:eastAsia="zh-CN"/>
              </w:rPr>
              <w:t>2</w:t>
            </w:r>
            <w:r>
              <w:rPr>
                <w:rFonts w:cs="Times New Roman"/>
              </w:rPr>
              <w:noBreakHyphen/>
            </w:r>
            <w:r>
              <w:rPr>
                <w:rFonts w:cs="Times New Roman"/>
              </w:rPr>
              <w:fldChar w:fldCharType="begin"/>
            </w:r>
            <w:r>
              <w:rPr>
                <w:rFonts w:cs="Times New Roman"/>
              </w:rPr>
              <w:instrText xml:space="preserve"> SEQ 表 \* ARABIC \s 1 </w:instrText>
            </w:r>
            <w:r>
              <w:rPr>
                <w:rFonts w:cs="Times New Roman"/>
              </w:rPr>
              <w:fldChar w:fldCharType="separate"/>
            </w:r>
            <w:r>
              <w:rPr>
                <w:rFonts w:cs="Times New Roman"/>
              </w:rPr>
              <w:t>1</w:t>
            </w:r>
            <w:r>
              <w:rPr>
                <w:rFonts w:cs="Times New Roman"/>
              </w:rPr>
              <w:fldChar w:fldCharType="end"/>
            </w:r>
            <w:r>
              <w:rPr>
                <w:rFonts w:cs="Times New Roman"/>
              </w:rPr>
              <w:t xml:space="preserve"> </w:t>
            </w:r>
            <w:r>
              <w:rPr>
                <w:rFonts w:hint="eastAsia" w:cs="Times New Roman"/>
                <w:lang w:val="en-US" w:eastAsia="zh-CN"/>
              </w:rPr>
              <w:t>项目建设内容变化情况一览表</w:t>
            </w:r>
          </w:p>
          <w:tbl>
            <w:tblPr>
              <w:tblStyle w:val="46"/>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2"/>
              <w:gridCol w:w="3160"/>
              <w:gridCol w:w="3487"/>
              <w:gridCol w:w="1911"/>
            </w:tblGrid>
            <w:tr w14:paraId="5DDED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jc w:val="center"/>
              </w:trPr>
              <w:tc>
                <w:tcPr>
                  <w:tcW w:w="389" w:type="pct"/>
                  <w:vAlign w:val="center"/>
                </w:tcPr>
                <w:p w14:paraId="2E0DA298">
                  <w:pPr>
                    <w:pStyle w:val="45"/>
                    <w:rPr>
                      <w:rFonts w:hint="eastAsia" w:eastAsia="宋体" w:cs="Times New Roman"/>
                      <w:sz w:val="21"/>
                      <w:szCs w:val="21"/>
                      <w:lang w:eastAsia="zh-CN"/>
                    </w:rPr>
                  </w:pPr>
                  <w:r>
                    <w:rPr>
                      <w:rFonts w:hint="eastAsia" w:cs="Times New Roman"/>
                      <w:sz w:val="21"/>
                      <w:szCs w:val="21"/>
                      <w:lang w:val="en-US" w:eastAsia="zh-CN"/>
                    </w:rPr>
                    <w:t>项目</w:t>
                  </w:r>
                </w:p>
              </w:tc>
              <w:tc>
                <w:tcPr>
                  <w:tcW w:w="1702" w:type="pct"/>
                  <w:vAlign w:val="center"/>
                </w:tcPr>
                <w:p w14:paraId="7AFF305B">
                  <w:pPr>
                    <w:pStyle w:val="45"/>
                    <w:rPr>
                      <w:rFonts w:hint="default" w:eastAsia="宋体" w:cs="Times New Roman"/>
                      <w:sz w:val="21"/>
                      <w:szCs w:val="21"/>
                      <w:lang w:val="en-US" w:eastAsia="zh-CN"/>
                    </w:rPr>
                  </w:pPr>
                  <w:r>
                    <w:rPr>
                      <w:rFonts w:hint="eastAsia" w:cs="Times New Roman"/>
                      <w:sz w:val="21"/>
                      <w:szCs w:val="21"/>
                      <w:lang w:val="en-US" w:eastAsia="zh-CN"/>
                    </w:rPr>
                    <w:t>原环评设计建设内容</w:t>
                  </w:r>
                </w:p>
              </w:tc>
              <w:tc>
                <w:tcPr>
                  <w:tcW w:w="1878" w:type="pct"/>
                  <w:vAlign w:val="center"/>
                </w:tcPr>
                <w:p w14:paraId="5F99A95A">
                  <w:pPr>
                    <w:pStyle w:val="45"/>
                    <w:rPr>
                      <w:rFonts w:hint="default" w:eastAsia="宋体" w:cs="Times New Roman"/>
                      <w:sz w:val="21"/>
                      <w:szCs w:val="21"/>
                      <w:lang w:val="en-US" w:eastAsia="zh-CN"/>
                    </w:rPr>
                  </w:pPr>
                  <w:r>
                    <w:rPr>
                      <w:rFonts w:hint="eastAsia" w:cs="Times New Roman"/>
                      <w:sz w:val="21"/>
                      <w:szCs w:val="21"/>
                      <w:lang w:val="en-US" w:eastAsia="zh-CN"/>
                    </w:rPr>
                    <w:t>本次变更后建设内容</w:t>
                  </w:r>
                </w:p>
              </w:tc>
              <w:tc>
                <w:tcPr>
                  <w:tcW w:w="1029" w:type="pct"/>
                  <w:vAlign w:val="center"/>
                </w:tcPr>
                <w:p w14:paraId="24897932">
                  <w:pPr>
                    <w:pStyle w:val="45"/>
                    <w:rPr>
                      <w:rFonts w:hint="default" w:eastAsia="宋体" w:cs="Times New Roman"/>
                      <w:sz w:val="21"/>
                      <w:szCs w:val="21"/>
                      <w:lang w:val="en-US" w:eastAsia="zh-CN"/>
                    </w:rPr>
                  </w:pPr>
                  <w:r>
                    <w:rPr>
                      <w:rFonts w:hint="eastAsia" w:cs="Times New Roman"/>
                      <w:sz w:val="21"/>
                      <w:szCs w:val="21"/>
                      <w:lang w:val="en-US" w:eastAsia="zh-CN"/>
                    </w:rPr>
                    <w:t>变化情况简述</w:t>
                  </w:r>
                </w:p>
              </w:tc>
            </w:tr>
            <w:tr w14:paraId="5A073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jc w:val="center"/>
              </w:trPr>
              <w:tc>
                <w:tcPr>
                  <w:tcW w:w="389" w:type="pct"/>
                  <w:vAlign w:val="center"/>
                </w:tcPr>
                <w:p w14:paraId="380E940D">
                  <w:pPr>
                    <w:pStyle w:val="12"/>
                    <w:rPr>
                      <w:rFonts w:hint="default" w:eastAsia="宋体" w:cs="Times New Roman"/>
                      <w:sz w:val="21"/>
                      <w:szCs w:val="21"/>
                      <w:lang w:val="en-US" w:eastAsia="zh-CN"/>
                    </w:rPr>
                  </w:pPr>
                  <w:r>
                    <w:rPr>
                      <w:rFonts w:hint="eastAsia" w:cs="Times New Roman"/>
                      <w:sz w:val="21"/>
                      <w:szCs w:val="21"/>
                      <w:lang w:val="en-US" w:eastAsia="zh-CN"/>
                    </w:rPr>
                    <w:t>产品方案</w:t>
                  </w:r>
                </w:p>
              </w:tc>
              <w:tc>
                <w:tcPr>
                  <w:tcW w:w="1702" w:type="pct"/>
                  <w:vAlign w:val="center"/>
                </w:tcPr>
                <w:p w14:paraId="43CA8028">
                  <w:pPr>
                    <w:pStyle w:val="12"/>
                    <w:rPr>
                      <w:rFonts w:cs="Times New Roman"/>
                      <w:sz w:val="21"/>
                      <w:szCs w:val="21"/>
                    </w:rPr>
                  </w:pPr>
                  <w:r>
                    <w:rPr>
                      <w:rFonts w:hint="eastAsia" w:ascii="Times New Roman" w:hAnsi="Times New Roman" w:eastAsia="宋体" w:cs="Times New Roman"/>
                      <w:sz w:val="21"/>
                      <w:szCs w:val="21"/>
                      <w:lang w:val="en-US" w:eastAsia="zh-CN"/>
                    </w:rPr>
                    <w:t>综合利用水基岩屑</w:t>
                  </w:r>
                  <w:r>
                    <w:rPr>
                      <w:rFonts w:hint="default" w:ascii="Times New Roman" w:hAnsi="Times New Roman" w:eastAsia="宋体" w:cs="Times New Roman"/>
                      <w:sz w:val="21"/>
                      <w:szCs w:val="21"/>
                      <w:lang w:val="en-US" w:eastAsia="zh-CN"/>
                    </w:rPr>
                    <w:t>30</w:t>
                  </w:r>
                  <w:r>
                    <w:rPr>
                      <w:rFonts w:hint="eastAsia" w:ascii="Times New Roman" w:hAnsi="Times New Roman" w:eastAsia="宋体" w:cs="Times New Roman"/>
                      <w:sz w:val="21"/>
                      <w:szCs w:val="21"/>
                      <w:lang w:val="en-US" w:eastAsia="zh-CN"/>
                    </w:rPr>
                    <w:t>万</w:t>
                  </w:r>
                  <w:r>
                    <w:rPr>
                      <w:rFonts w:hint="default" w:ascii="Times New Roman" w:hAnsi="Times New Roman" w:eastAsia="宋体" w:cs="Times New Roman"/>
                      <w:sz w:val="21"/>
                      <w:szCs w:val="21"/>
                      <w:lang w:val="en-US" w:eastAsia="zh-CN"/>
                    </w:rPr>
                    <w:t>t/a</w:t>
                  </w:r>
                  <w:r>
                    <w:rPr>
                      <w:rFonts w:hint="eastAsia" w:ascii="Times New Roman" w:hAnsi="Times New Roman" w:eastAsia="宋体" w:cs="Times New Roman"/>
                      <w:sz w:val="21"/>
                      <w:szCs w:val="21"/>
                      <w:lang w:val="en-US" w:eastAsia="zh-CN"/>
                    </w:rPr>
                    <w:t>，年产</w:t>
                  </w:r>
                  <w:r>
                    <w:rPr>
                      <w:rFonts w:hint="eastAsia" w:cs="Times New Roman"/>
                      <w:sz w:val="21"/>
                      <w:szCs w:val="21"/>
                      <w:lang w:val="en-US" w:eastAsia="zh-CN"/>
                    </w:rPr>
                    <w:t>水稳层骨料</w:t>
                  </w:r>
                  <w:r>
                    <w:rPr>
                      <w:rFonts w:hint="eastAsia" w:ascii="Times New Roman" w:hAnsi="Times New Roman" w:eastAsia="宋体" w:cs="Times New Roman"/>
                      <w:sz w:val="21"/>
                      <w:szCs w:val="21"/>
                      <w:lang w:val="en-US" w:eastAsia="zh-CN"/>
                    </w:rPr>
                    <w:t>约</w:t>
                  </w:r>
                  <w:r>
                    <w:rPr>
                      <w:rFonts w:hint="default" w:ascii="Times New Roman" w:hAnsi="Times New Roman" w:eastAsia="宋体" w:cs="Times New Roman"/>
                      <w:sz w:val="21"/>
                      <w:szCs w:val="21"/>
                      <w:lang w:val="en-US" w:eastAsia="zh-CN"/>
                    </w:rPr>
                    <w:t>22</w:t>
                  </w:r>
                  <w:r>
                    <w:rPr>
                      <w:rFonts w:hint="eastAsia" w:ascii="Times New Roman" w:hAnsi="Times New Roman" w:eastAsia="宋体" w:cs="Times New Roman"/>
                      <w:sz w:val="21"/>
                      <w:szCs w:val="21"/>
                      <w:lang w:val="en-US" w:eastAsia="zh-CN"/>
                    </w:rPr>
                    <w:t>万</w:t>
                  </w:r>
                  <w:r>
                    <w:rPr>
                      <w:rFonts w:hint="default" w:ascii="Times New Roman" w:hAnsi="Times New Roman" w:eastAsia="宋体" w:cs="Times New Roman"/>
                      <w:sz w:val="21"/>
                      <w:szCs w:val="21"/>
                      <w:lang w:val="en-US" w:eastAsia="zh-CN"/>
                    </w:rPr>
                    <w:t>t</w:t>
                  </w:r>
                  <w:r>
                    <w:rPr>
                      <w:rFonts w:hint="eastAsia" w:ascii="Times New Roman" w:hAnsi="Times New Roman" w:eastAsia="宋体" w:cs="Times New Roman"/>
                      <w:sz w:val="21"/>
                      <w:szCs w:val="21"/>
                      <w:lang w:val="en-US" w:eastAsia="zh-CN"/>
                    </w:rPr>
                    <w:t>，年产免烧建筑基材约</w:t>
                  </w:r>
                  <w:r>
                    <w:rPr>
                      <w:rFonts w:hint="default" w:ascii="Times New Roman" w:hAnsi="Times New Roman" w:eastAsia="宋体" w:cs="Times New Roman"/>
                      <w:sz w:val="21"/>
                      <w:szCs w:val="21"/>
                      <w:lang w:val="en-US" w:eastAsia="zh-CN"/>
                    </w:rPr>
                    <w:t>27606.9278t</w:t>
                  </w:r>
                  <w:r>
                    <w:rPr>
                      <w:rFonts w:hint="eastAsia" w:ascii="Times New Roman" w:hAnsi="Times New Roman" w:eastAsia="宋体" w:cs="Times New Roman"/>
                      <w:sz w:val="21"/>
                      <w:szCs w:val="21"/>
                      <w:lang w:val="en-US" w:eastAsia="zh-CN"/>
                    </w:rPr>
                    <w:t>，年产水泥掺和料约</w:t>
                  </w:r>
                  <w:r>
                    <w:rPr>
                      <w:rFonts w:hint="default" w:ascii="Times New Roman" w:hAnsi="Times New Roman" w:eastAsia="宋体" w:cs="Times New Roman"/>
                      <w:sz w:val="21"/>
                      <w:szCs w:val="21"/>
                      <w:lang w:val="en-US" w:eastAsia="zh-CN"/>
                    </w:rPr>
                    <w:t>26762.3628t</w:t>
                  </w:r>
                  <w:r>
                    <w:rPr>
                      <w:rFonts w:hint="eastAsia" w:ascii="Times New Roman" w:hAnsi="Times New Roman" w:eastAsia="宋体" w:cs="Times New Roman"/>
                      <w:sz w:val="21"/>
                      <w:szCs w:val="21"/>
                      <w:lang w:val="en-US" w:eastAsia="zh-CN"/>
                    </w:rPr>
                    <w:t>。</w:t>
                  </w:r>
                </w:p>
              </w:tc>
              <w:tc>
                <w:tcPr>
                  <w:tcW w:w="1878" w:type="pct"/>
                  <w:vAlign w:val="center"/>
                </w:tcPr>
                <w:p w14:paraId="6C8C2850">
                  <w:pPr>
                    <w:pStyle w:val="12"/>
                    <w:rPr>
                      <w:rFonts w:hint="default" w:eastAsia="宋体" w:cs="Times New Roman"/>
                      <w:sz w:val="21"/>
                      <w:szCs w:val="21"/>
                      <w:lang w:val="en-US" w:eastAsia="zh-CN"/>
                    </w:rPr>
                  </w:pPr>
                  <w:r>
                    <w:rPr>
                      <w:rFonts w:hint="eastAsia" w:ascii="Times New Roman" w:hAnsi="Times New Roman" w:eastAsia="宋体" w:cs="Times New Roman"/>
                      <w:sz w:val="21"/>
                      <w:szCs w:val="21"/>
                      <w:lang w:val="en-US" w:eastAsia="zh-CN"/>
                    </w:rPr>
                    <w:t>综合利用水基岩屑</w:t>
                  </w:r>
                  <w:r>
                    <w:rPr>
                      <w:rFonts w:hint="default" w:ascii="Times New Roman" w:hAnsi="Times New Roman" w:eastAsia="宋体" w:cs="Times New Roman"/>
                      <w:sz w:val="21"/>
                      <w:szCs w:val="21"/>
                      <w:lang w:val="en-US" w:eastAsia="zh-CN"/>
                    </w:rPr>
                    <w:t>30</w:t>
                  </w:r>
                  <w:r>
                    <w:rPr>
                      <w:rFonts w:hint="eastAsia" w:ascii="Times New Roman" w:hAnsi="Times New Roman" w:eastAsia="宋体" w:cs="Times New Roman"/>
                      <w:sz w:val="21"/>
                      <w:szCs w:val="21"/>
                      <w:lang w:val="en-US" w:eastAsia="zh-CN"/>
                    </w:rPr>
                    <w:t>万</w:t>
                  </w:r>
                  <w:r>
                    <w:rPr>
                      <w:rFonts w:hint="default" w:ascii="Times New Roman" w:hAnsi="Times New Roman" w:eastAsia="宋体" w:cs="Times New Roman"/>
                      <w:sz w:val="21"/>
                      <w:szCs w:val="21"/>
                      <w:lang w:val="en-US" w:eastAsia="zh-CN"/>
                    </w:rPr>
                    <w:t>t/a</w:t>
                  </w:r>
                  <w:r>
                    <w:rPr>
                      <w:rFonts w:hint="eastAsia" w:cs="Times New Roman"/>
                      <w:sz w:val="21"/>
                      <w:szCs w:val="21"/>
                      <w:lang w:val="en-US" w:eastAsia="zh-CN"/>
                    </w:rPr>
                    <w:t>和热脱附干渣4.2万t/a</w:t>
                  </w:r>
                  <w:r>
                    <w:rPr>
                      <w:rFonts w:hint="eastAsia" w:ascii="Times New Roman" w:hAnsi="Times New Roman" w:eastAsia="宋体" w:cs="Times New Roman"/>
                      <w:sz w:val="21"/>
                      <w:szCs w:val="21"/>
                      <w:lang w:val="en-US" w:eastAsia="zh-CN"/>
                    </w:rPr>
                    <w:t>，年产</w:t>
                  </w:r>
                  <w:r>
                    <w:rPr>
                      <w:rFonts w:hint="eastAsia" w:cs="Times New Roman"/>
                      <w:sz w:val="21"/>
                      <w:szCs w:val="21"/>
                      <w:lang w:val="en-US" w:eastAsia="zh-CN"/>
                    </w:rPr>
                    <w:t>水稳层骨料</w:t>
                  </w:r>
                  <w:r>
                    <w:rPr>
                      <w:rFonts w:hint="eastAsia" w:ascii="Times New Roman" w:hAnsi="Times New Roman" w:eastAsia="宋体" w:cs="Times New Roman"/>
                      <w:sz w:val="21"/>
                      <w:szCs w:val="21"/>
                      <w:lang w:val="en-US" w:eastAsia="zh-CN"/>
                    </w:rPr>
                    <w:t>约</w:t>
                  </w:r>
                  <w:r>
                    <w:rPr>
                      <w:rFonts w:hint="eastAsia" w:cs="Times New Roman"/>
                      <w:sz w:val="21"/>
                      <w:szCs w:val="21"/>
                      <w:lang w:val="en-US" w:eastAsia="zh-CN"/>
                    </w:rPr>
                    <w:t>170734</w:t>
                  </w:r>
                  <w:r>
                    <w:rPr>
                      <w:rFonts w:hint="default" w:ascii="Times New Roman" w:hAnsi="Times New Roman" w:eastAsia="宋体" w:cs="Times New Roman"/>
                      <w:sz w:val="21"/>
                      <w:szCs w:val="21"/>
                      <w:lang w:val="en-US" w:eastAsia="zh-CN"/>
                    </w:rPr>
                    <w:t>t</w:t>
                  </w:r>
                  <w:r>
                    <w:rPr>
                      <w:rFonts w:hint="eastAsia" w:ascii="Times New Roman" w:hAnsi="Times New Roman" w:eastAsia="宋体" w:cs="Times New Roman"/>
                      <w:sz w:val="21"/>
                      <w:szCs w:val="21"/>
                      <w:lang w:val="en-US" w:eastAsia="zh-CN"/>
                    </w:rPr>
                    <w:t>，</w:t>
                  </w:r>
                  <w:r>
                    <w:rPr>
                      <w:rFonts w:hint="eastAsia" w:cs="Times New Roman"/>
                      <w:sz w:val="21"/>
                      <w:szCs w:val="21"/>
                      <w:lang w:val="en-US" w:eastAsia="zh-CN"/>
                    </w:rPr>
                    <w:t>部分水稳层骨料作为产品外售，部分水稳层骨料作为原料生产免烧砌块，年产免烧砌块</w:t>
                  </w:r>
                  <w:r>
                    <w:rPr>
                      <w:rFonts w:hint="eastAsia" w:ascii="Times New Roman" w:hAnsi="Times New Roman" w:eastAsia="宋体" w:cs="Times New Roman"/>
                      <w:sz w:val="21"/>
                      <w:szCs w:val="21"/>
                      <w:lang w:val="en-US" w:eastAsia="zh-CN"/>
                    </w:rPr>
                    <w:t>约2</w:t>
                  </w:r>
                  <w:r>
                    <w:rPr>
                      <w:rFonts w:hint="eastAsia" w:cs="Times New Roman"/>
                      <w:sz w:val="21"/>
                      <w:szCs w:val="21"/>
                      <w:lang w:val="en-US" w:eastAsia="zh-CN"/>
                    </w:rPr>
                    <w:t>2万</w:t>
                  </w:r>
                  <w:r>
                    <w:rPr>
                      <w:rFonts w:hint="default" w:ascii="Times New Roman" w:hAnsi="Times New Roman" w:eastAsia="宋体" w:cs="Times New Roman"/>
                      <w:sz w:val="21"/>
                      <w:szCs w:val="21"/>
                      <w:lang w:val="en-US" w:eastAsia="zh-CN"/>
                    </w:rPr>
                    <w:t>t</w:t>
                  </w:r>
                  <w:r>
                    <w:rPr>
                      <w:rFonts w:hint="eastAsia" w:ascii="Times New Roman" w:hAnsi="Times New Roman" w:eastAsia="宋体" w:cs="Times New Roman"/>
                      <w:sz w:val="21"/>
                      <w:szCs w:val="21"/>
                      <w:lang w:val="en-US" w:eastAsia="zh-CN"/>
                    </w:rPr>
                    <w:t>。</w:t>
                  </w:r>
                </w:p>
              </w:tc>
              <w:tc>
                <w:tcPr>
                  <w:tcW w:w="1029" w:type="pct"/>
                  <w:vAlign w:val="center"/>
                </w:tcPr>
                <w:p w14:paraId="4BB6FBB6">
                  <w:pPr>
                    <w:pStyle w:val="12"/>
                    <w:rPr>
                      <w:rFonts w:hint="eastAsia" w:cs="Times New Roman"/>
                      <w:sz w:val="21"/>
                      <w:szCs w:val="21"/>
                      <w:lang w:val="en-US" w:eastAsia="zh-CN"/>
                    </w:rPr>
                  </w:pPr>
                  <w:r>
                    <w:rPr>
                      <w:rFonts w:hint="eastAsia" w:cs="Times New Roman"/>
                      <w:sz w:val="21"/>
                      <w:szCs w:val="21"/>
                      <w:lang w:val="en-US" w:eastAsia="zh-CN"/>
                    </w:rPr>
                    <w:t>①水基岩屑处理能力不变；</w:t>
                  </w:r>
                </w:p>
                <w:p w14:paraId="334E9EEA">
                  <w:pPr>
                    <w:pStyle w:val="12"/>
                    <w:rPr>
                      <w:rFonts w:hint="default" w:cs="Times New Roman"/>
                      <w:sz w:val="21"/>
                      <w:szCs w:val="21"/>
                      <w:lang w:val="en-US" w:eastAsia="zh-CN"/>
                    </w:rPr>
                  </w:pPr>
                  <w:r>
                    <w:rPr>
                      <w:rFonts w:hint="eastAsia" w:cs="Times New Roman"/>
                      <w:sz w:val="21"/>
                      <w:szCs w:val="21"/>
                      <w:lang w:val="en-US" w:eastAsia="zh-CN"/>
                    </w:rPr>
                    <w:t>②新增处理热脱附干渣；</w:t>
                  </w:r>
                </w:p>
                <w:p w14:paraId="40786F84">
                  <w:pPr>
                    <w:pStyle w:val="12"/>
                    <w:rPr>
                      <w:rFonts w:hint="default"/>
                      <w:sz w:val="21"/>
                      <w:szCs w:val="21"/>
                      <w:lang w:val="en-US" w:eastAsia="zh-CN"/>
                    </w:rPr>
                  </w:pPr>
                  <w:r>
                    <w:rPr>
                      <w:rFonts w:hint="eastAsia" w:cs="Times New Roman"/>
                      <w:sz w:val="21"/>
                      <w:szCs w:val="21"/>
                      <w:lang w:val="en-US" w:eastAsia="zh-CN"/>
                    </w:rPr>
                    <w:t>③产品方案调整；</w:t>
                  </w:r>
                </w:p>
              </w:tc>
            </w:tr>
            <w:tr w14:paraId="6F1A1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jc w:val="center"/>
              </w:trPr>
              <w:tc>
                <w:tcPr>
                  <w:tcW w:w="389" w:type="pct"/>
                  <w:vAlign w:val="center"/>
                </w:tcPr>
                <w:p w14:paraId="0F3E8E0F">
                  <w:pPr>
                    <w:pStyle w:val="12"/>
                    <w:rPr>
                      <w:rFonts w:hint="default" w:eastAsia="宋体" w:cs="Times New Roman"/>
                      <w:sz w:val="21"/>
                      <w:szCs w:val="21"/>
                      <w:lang w:val="en-US" w:eastAsia="zh-CN"/>
                    </w:rPr>
                  </w:pPr>
                  <w:r>
                    <w:rPr>
                      <w:rFonts w:hint="eastAsia" w:cs="Times New Roman"/>
                      <w:sz w:val="21"/>
                      <w:szCs w:val="21"/>
                      <w:lang w:val="en-US" w:eastAsia="zh-CN"/>
                    </w:rPr>
                    <w:t>生产厂房</w:t>
                  </w:r>
                </w:p>
              </w:tc>
              <w:tc>
                <w:tcPr>
                  <w:tcW w:w="1702" w:type="pct"/>
                  <w:vAlign w:val="center"/>
                </w:tcPr>
                <w:p w14:paraId="221DB31D">
                  <w:pPr>
                    <w:pStyle w:val="12"/>
                    <w:rPr>
                      <w:rFonts w:hint="default" w:eastAsia="宋体" w:cs="Times New Roman"/>
                      <w:sz w:val="21"/>
                      <w:szCs w:val="21"/>
                      <w:vertAlign w:val="baseline"/>
                      <w:lang w:val="en-US" w:eastAsia="zh-CN"/>
                    </w:rPr>
                  </w:pPr>
                  <w:r>
                    <w:rPr>
                      <w:rFonts w:hint="eastAsia" w:cs="Times New Roman"/>
                      <w:sz w:val="21"/>
                      <w:szCs w:val="21"/>
                      <w:lang w:val="en-US" w:eastAsia="zh-CN"/>
                    </w:rPr>
                    <w:t>租</w:t>
                  </w:r>
                  <w:r>
                    <w:rPr>
                      <w:rFonts w:hint="eastAsia" w:ascii="Times New Roman" w:hAnsi="Times New Roman" w:eastAsia="宋体" w:cs="Times New Roman"/>
                      <w:sz w:val="21"/>
                      <w:szCs w:val="21"/>
                      <w:lang w:val="en-US" w:eastAsia="zh-CN"/>
                    </w:rPr>
                    <w:t>用四川金联玉合电气有限公司已建厂区内1号厂房和3号厂房及配套设施建设，厂房面积总计7589.62m</w:t>
                  </w:r>
                  <w:r>
                    <w:rPr>
                      <w:rFonts w:hint="eastAsia" w:ascii="Times New Roman" w:hAnsi="Times New Roman" w:eastAsia="宋体" w:cs="Times New Roman"/>
                      <w:sz w:val="21"/>
                      <w:szCs w:val="21"/>
                      <w:vertAlign w:val="superscript"/>
                      <w:lang w:val="en-US" w:eastAsia="zh-CN"/>
                    </w:rPr>
                    <w:t>2</w:t>
                  </w:r>
                </w:p>
              </w:tc>
              <w:tc>
                <w:tcPr>
                  <w:tcW w:w="1878" w:type="pct"/>
                  <w:vAlign w:val="center"/>
                </w:tcPr>
                <w:p w14:paraId="3010F30F">
                  <w:pPr>
                    <w:pStyle w:val="12"/>
                    <w:rPr>
                      <w:rFonts w:cs="Times New Roman"/>
                      <w:sz w:val="21"/>
                      <w:szCs w:val="21"/>
                    </w:rPr>
                  </w:pPr>
                  <w:r>
                    <w:rPr>
                      <w:rFonts w:hint="eastAsia" w:cs="Times New Roman"/>
                      <w:sz w:val="21"/>
                      <w:szCs w:val="21"/>
                      <w:lang w:val="en-US" w:eastAsia="zh-CN"/>
                    </w:rPr>
                    <w:t>租</w:t>
                  </w:r>
                  <w:r>
                    <w:rPr>
                      <w:rFonts w:hint="eastAsia" w:ascii="Times New Roman" w:hAnsi="Times New Roman" w:eastAsia="宋体" w:cs="Times New Roman"/>
                      <w:sz w:val="21"/>
                      <w:szCs w:val="21"/>
                      <w:lang w:val="en-US" w:eastAsia="zh-CN"/>
                    </w:rPr>
                    <w:t>用四川金联玉合电气有限公司已建厂区内1号厂房、2号厂房、3号厂房及配套设施建设，厂房面积总</w:t>
                  </w:r>
                  <w:r>
                    <w:rPr>
                      <w:rFonts w:hint="eastAsia" w:cs="Times New Roman"/>
                      <w:sz w:val="21"/>
                      <w:szCs w:val="21"/>
                      <w:lang w:val="en-US" w:eastAsia="zh-CN"/>
                    </w:rPr>
                    <w:t>约1万</w:t>
                  </w:r>
                  <w:r>
                    <w:rPr>
                      <w:rFonts w:hint="eastAsia" w:ascii="Times New Roman" w:hAnsi="Times New Roman" w:eastAsia="宋体" w:cs="Times New Roman"/>
                      <w:sz w:val="21"/>
                      <w:szCs w:val="21"/>
                      <w:lang w:val="en-US" w:eastAsia="zh-CN"/>
                    </w:rPr>
                    <w:t>m</w:t>
                  </w:r>
                  <w:r>
                    <w:rPr>
                      <w:rFonts w:hint="eastAsia" w:ascii="Times New Roman" w:hAnsi="Times New Roman" w:eastAsia="宋体" w:cs="Times New Roman"/>
                      <w:sz w:val="21"/>
                      <w:szCs w:val="21"/>
                      <w:vertAlign w:val="superscript"/>
                      <w:lang w:val="en-US" w:eastAsia="zh-CN"/>
                    </w:rPr>
                    <w:t>2</w:t>
                  </w:r>
                </w:p>
              </w:tc>
              <w:tc>
                <w:tcPr>
                  <w:tcW w:w="1029" w:type="pct"/>
                  <w:vAlign w:val="center"/>
                </w:tcPr>
                <w:p w14:paraId="196C8E20">
                  <w:pPr>
                    <w:pStyle w:val="12"/>
                    <w:rPr>
                      <w:rFonts w:hint="eastAsia" w:cs="Times New Roman"/>
                      <w:sz w:val="21"/>
                      <w:szCs w:val="21"/>
                      <w:lang w:val="en-US" w:eastAsia="zh-CN"/>
                    </w:rPr>
                  </w:pPr>
                  <w:r>
                    <w:rPr>
                      <w:rFonts w:hint="eastAsia" w:cs="Times New Roman"/>
                      <w:sz w:val="21"/>
                      <w:szCs w:val="21"/>
                      <w:lang w:val="en-US" w:eastAsia="zh-CN"/>
                    </w:rPr>
                    <w:t>①新增1栋厂房</w:t>
                  </w:r>
                </w:p>
                <w:p w14:paraId="7239DEC5">
                  <w:pPr>
                    <w:pStyle w:val="12"/>
                    <w:rPr>
                      <w:rFonts w:hint="default"/>
                      <w:sz w:val="21"/>
                      <w:szCs w:val="21"/>
                      <w:lang w:val="en-US" w:eastAsia="zh-CN"/>
                    </w:rPr>
                  </w:pPr>
                  <w:r>
                    <w:rPr>
                      <w:rFonts w:hint="eastAsia" w:ascii="Times New Roman" w:hAnsi="Times New Roman" w:eastAsia="宋体" w:cs="Times New Roman"/>
                      <w:sz w:val="21"/>
                      <w:szCs w:val="21"/>
                      <w:lang w:val="en-US" w:eastAsia="zh-CN"/>
                    </w:rPr>
                    <w:t>②总体平面布置大幅调整。</w:t>
                  </w:r>
                </w:p>
              </w:tc>
            </w:tr>
            <w:tr w14:paraId="47B43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jc w:val="center"/>
              </w:trPr>
              <w:tc>
                <w:tcPr>
                  <w:tcW w:w="389" w:type="pct"/>
                  <w:vAlign w:val="center"/>
                </w:tcPr>
                <w:p w14:paraId="180556AC">
                  <w:pPr>
                    <w:pStyle w:val="12"/>
                    <w:rPr>
                      <w:rFonts w:hint="default" w:cs="Times New Roman"/>
                      <w:sz w:val="21"/>
                      <w:szCs w:val="21"/>
                      <w:lang w:val="en-US" w:eastAsia="zh-CN"/>
                    </w:rPr>
                  </w:pPr>
                  <w:r>
                    <w:rPr>
                      <w:rFonts w:hint="eastAsia" w:cs="Times New Roman"/>
                      <w:sz w:val="21"/>
                      <w:szCs w:val="21"/>
                      <w:lang w:val="en-US" w:eastAsia="zh-CN"/>
                    </w:rPr>
                    <w:t>生产工艺</w:t>
                  </w:r>
                </w:p>
              </w:tc>
              <w:tc>
                <w:tcPr>
                  <w:tcW w:w="1702" w:type="pct"/>
                  <w:vAlign w:val="center"/>
                </w:tcPr>
                <w:p w14:paraId="361DE8F0">
                  <w:pPr>
                    <w:pStyle w:val="12"/>
                    <w:rPr>
                      <w:rFonts w:hint="eastAsia" w:ascii="Times New Roman" w:hAnsi="Times New Roman" w:eastAsia="宋体" w:cs="Times New Roman"/>
                      <w:sz w:val="21"/>
                      <w:szCs w:val="21"/>
                      <w:lang w:val="en-US" w:eastAsia="zh-CN"/>
                    </w:rPr>
                  </w:pPr>
                  <w:r>
                    <w:rPr>
                      <w:rFonts w:hint="eastAsia" w:cs="Times New Roman"/>
                      <w:sz w:val="21"/>
                      <w:szCs w:val="21"/>
                      <w:lang w:val="en-US" w:eastAsia="zh-CN"/>
                    </w:rPr>
                    <w:t>水稳层骨料</w:t>
                  </w:r>
                  <w:r>
                    <w:rPr>
                      <w:rFonts w:hint="eastAsia" w:ascii="Times New Roman" w:hAnsi="Times New Roman" w:eastAsia="宋体" w:cs="Times New Roman"/>
                      <w:sz w:val="21"/>
                      <w:szCs w:val="21"/>
                      <w:lang w:val="en-US" w:eastAsia="zh-CN"/>
                    </w:rPr>
                    <w:t>及水泥掺和料生产：采用预处理（投加粉煤灰降低含水率）+烘干工艺；</w:t>
                  </w:r>
                </w:p>
                <w:p w14:paraId="5008C75C">
                  <w:pPr>
                    <w:pStyle w:val="12"/>
                    <w:rPr>
                      <w:rFonts w:hint="default"/>
                      <w:sz w:val="21"/>
                      <w:szCs w:val="21"/>
                      <w:lang w:val="en-US" w:eastAsia="zh-CN"/>
                    </w:rPr>
                  </w:pPr>
                  <w:r>
                    <w:rPr>
                      <w:rFonts w:hint="eastAsia" w:ascii="Times New Roman" w:hAnsi="Times New Roman" w:eastAsia="宋体" w:cs="Times New Roman"/>
                      <w:sz w:val="21"/>
                      <w:szCs w:val="21"/>
                      <w:lang w:val="en-US" w:eastAsia="zh-CN"/>
                    </w:rPr>
                    <w:t>免烧建筑基材：以烘干后物料为主要原料，采用</w:t>
                  </w:r>
                  <w:r>
                    <w:rPr>
                      <w:rFonts w:hint="eastAsia" w:cs="Times New Roman"/>
                      <w:sz w:val="21"/>
                      <w:szCs w:val="21"/>
                      <w:lang w:val="en-US" w:eastAsia="zh-CN"/>
                    </w:rPr>
                    <w:t>球磨</w:t>
                  </w:r>
                  <w:r>
                    <w:rPr>
                      <w:rFonts w:hint="eastAsia" w:ascii="Times New Roman" w:hAnsi="Times New Roman" w:eastAsia="宋体" w:cs="Times New Roman"/>
                      <w:sz w:val="21"/>
                      <w:szCs w:val="21"/>
                      <w:lang w:val="en-US" w:eastAsia="zh-CN"/>
                    </w:rPr>
                    <w:t>+配料+搅拌+压制成型+码垛养护工艺</w:t>
                  </w:r>
                </w:p>
              </w:tc>
              <w:tc>
                <w:tcPr>
                  <w:tcW w:w="1878" w:type="pct"/>
                  <w:vAlign w:val="center"/>
                </w:tcPr>
                <w:p w14:paraId="32360C12">
                  <w:pPr>
                    <w:pStyle w:val="12"/>
                    <w:rPr>
                      <w:rFonts w:hint="eastAsia" w:ascii="Times New Roman" w:hAnsi="Times New Roman" w:eastAsia="宋体" w:cs="Times New Roman"/>
                      <w:sz w:val="21"/>
                      <w:szCs w:val="21"/>
                      <w:lang w:val="en-US" w:eastAsia="zh-CN"/>
                    </w:rPr>
                  </w:pPr>
                  <w:r>
                    <w:rPr>
                      <w:rFonts w:hint="eastAsia" w:cs="Times New Roman"/>
                      <w:sz w:val="21"/>
                      <w:szCs w:val="21"/>
                      <w:lang w:val="en-US" w:eastAsia="zh-CN"/>
                    </w:rPr>
                    <w:t>水稳层骨料</w:t>
                  </w:r>
                  <w:r>
                    <w:rPr>
                      <w:rFonts w:hint="eastAsia" w:ascii="Times New Roman" w:hAnsi="Times New Roman" w:eastAsia="宋体" w:cs="Times New Roman"/>
                      <w:sz w:val="21"/>
                      <w:szCs w:val="21"/>
                      <w:lang w:val="en-US" w:eastAsia="zh-CN"/>
                    </w:rPr>
                    <w:t>生产：采用预处理（投加絮凝剂+压滤脱水）+烘干+煅烧工艺；</w:t>
                  </w:r>
                </w:p>
                <w:p w14:paraId="15091705">
                  <w:pPr>
                    <w:pStyle w:val="12"/>
                    <w:rPr>
                      <w:rFonts w:hint="eastAsia" w:cs="Times New Roman"/>
                      <w:sz w:val="21"/>
                      <w:szCs w:val="21"/>
                      <w:lang w:val="en-US" w:eastAsia="zh-CN"/>
                    </w:rPr>
                  </w:pPr>
                  <w:r>
                    <w:rPr>
                      <w:rFonts w:hint="eastAsia" w:cs="Times New Roman"/>
                      <w:sz w:val="21"/>
                      <w:szCs w:val="21"/>
                      <w:lang w:val="en-US" w:eastAsia="zh-CN"/>
                    </w:rPr>
                    <w:t>免烧砌块</w:t>
                  </w:r>
                  <w:r>
                    <w:rPr>
                      <w:rFonts w:hint="eastAsia" w:ascii="Times New Roman" w:hAnsi="Times New Roman" w:eastAsia="宋体" w:cs="Times New Roman"/>
                      <w:sz w:val="21"/>
                      <w:szCs w:val="21"/>
                      <w:lang w:val="en-US" w:eastAsia="zh-CN"/>
                    </w:rPr>
                    <w:t>：以煅烧后</w:t>
                  </w:r>
                  <w:r>
                    <w:rPr>
                      <w:rFonts w:hint="eastAsia" w:cs="Times New Roman"/>
                      <w:sz w:val="21"/>
                      <w:szCs w:val="21"/>
                      <w:lang w:val="en-US" w:eastAsia="zh-CN"/>
                    </w:rPr>
                    <w:t>水稳层骨料</w:t>
                  </w:r>
                  <w:r>
                    <w:rPr>
                      <w:rFonts w:hint="eastAsia" w:ascii="Times New Roman" w:hAnsi="Times New Roman" w:eastAsia="宋体" w:cs="Times New Roman"/>
                      <w:sz w:val="21"/>
                      <w:szCs w:val="21"/>
                      <w:lang w:val="en-US" w:eastAsia="zh-CN"/>
                    </w:rPr>
                    <w:t>为主要原料，</w:t>
                  </w:r>
                  <w:r>
                    <w:rPr>
                      <w:rFonts w:hint="eastAsia" w:cs="Times New Roman"/>
                      <w:sz w:val="21"/>
                      <w:szCs w:val="21"/>
                      <w:lang w:val="en-US" w:eastAsia="zh-CN"/>
                    </w:rPr>
                    <w:t>添加碎石、水泥、固化剂，</w:t>
                  </w:r>
                  <w:r>
                    <w:rPr>
                      <w:rFonts w:hint="eastAsia" w:ascii="Times New Roman" w:hAnsi="Times New Roman" w:eastAsia="宋体" w:cs="Times New Roman"/>
                      <w:sz w:val="21"/>
                      <w:szCs w:val="21"/>
                      <w:lang w:val="en-US" w:eastAsia="zh-CN"/>
                    </w:rPr>
                    <w:t>采用配料+</w:t>
                  </w:r>
                  <w:r>
                    <w:rPr>
                      <w:rFonts w:hint="eastAsia" w:cs="Times New Roman"/>
                      <w:sz w:val="21"/>
                      <w:szCs w:val="21"/>
                      <w:lang w:val="en-US" w:eastAsia="zh-CN"/>
                    </w:rPr>
                    <w:t>轮辊混合+</w:t>
                  </w:r>
                  <w:r>
                    <w:rPr>
                      <w:rFonts w:hint="eastAsia" w:ascii="Times New Roman" w:hAnsi="Times New Roman" w:eastAsia="宋体" w:cs="Times New Roman"/>
                      <w:sz w:val="21"/>
                      <w:szCs w:val="21"/>
                      <w:lang w:val="en-US" w:eastAsia="zh-CN"/>
                    </w:rPr>
                    <w:t>搅拌+压制成型+</w:t>
                  </w:r>
                  <w:r>
                    <w:rPr>
                      <w:rFonts w:hint="eastAsia" w:cs="Times New Roman"/>
                      <w:sz w:val="21"/>
                      <w:szCs w:val="21"/>
                      <w:lang w:val="en-US" w:eastAsia="zh-CN"/>
                    </w:rPr>
                    <w:t>蒸汽</w:t>
                  </w:r>
                  <w:r>
                    <w:rPr>
                      <w:rFonts w:hint="eastAsia" w:ascii="Times New Roman" w:hAnsi="Times New Roman" w:eastAsia="宋体" w:cs="Times New Roman"/>
                      <w:sz w:val="21"/>
                      <w:szCs w:val="21"/>
                      <w:lang w:val="en-US" w:eastAsia="zh-CN"/>
                    </w:rPr>
                    <w:t>养护工艺</w:t>
                  </w:r>
                </w:p>
              </w:tc>
              <w:tc>
                <w:tcPr>
                  <w:tcW w:w="1029" w:type="pct"/>
                  <w:vAlign w:val="center"/>
                </w:tcPr>
                <w:p w14:paraId="38E7EE05">
                  <w:pPr>
                    <w:pStyle w:val="12"/>
                    <w:rPr>
                      <w:rFonts w:hint="default"/>
                      <w:sz w:val="21"/>
                      <w:szCs w:val="21"/>
                      <w:lang w:val="en-US" w:eastAsia="zh-CN"/>
                    </w:rPr>
                  </w:pPr>
                  <w:r>
                    <w:rPr>
                      <w:rFonts w:hint="eastAsia" w:ascii="Times New Roman" w:hAnsi="Times New Roman" w:eastAsia="宋体" w:cs="Times New Roman"/>
                      <w:sz w:val="21"/>
                      <w:szCs w:val="21"/>
                      <w:lang w:val="en-US" w:eastAsia="zh-CN"/>
                    </w:rPr>
                    <w:t>①生产工艺调整，调整降低含水率的预处理方式</w:t>
                  </w:r>
                  <w:r>
                    <w:rPr>
                      <w:rFonts w:hint="eastAsia" w:cs="Times New Roman"/>
                      <w:sz w:val="21"/>
                      <w:szCs w:val="21"/>
                      <w:lang w:val="en-US" w:eastAsia="zh-CN"/>
                    </w:rPr>
                    <w:t>；②</w:t>
                  </w:r>
                  <w:r>
                    <w:rPr>
                      <w:rFonts w:hint="eastAsia" w:ascii="Times New Roman" w:hAnsi="Times New Roman" w:eastAsia="宋体" w:cs="Times New Roman"/>
                      <w:sz w:val="21"/>
                      <w:szCs w:val="21"/>
                      <w:lang w:val="en-US" w:eastAsia="zh-CN"/>
                    </w:rPr>
                    <w:t>新增煅烧工艺</w:t>
                  </w:r>
                </w:p>
              </w:tc>
            </w:tr>
            <w:tr w14:paraId="38E83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jc w:val="center"/>
              </w:trPr>
              <w:tc>
                <w:tcPr>
                  <w:tcW w:w="389" w:type="pct"/>
                  <w:vAlign w:val="center"/>
                </w:tcPr>
                <w:p w14:paraId="61D2069A">
                  <w:pPr>
                    <w:pStyle w:val="12"/>
                    <w:rPr>
                      <w:rFonts w:hint="eastAsia" w:eastAsia="宋体" w:cs="Times New Roman"/>
                      <w:sz w:val="21"/>
                      <w:szCs w:val="21"/>
                      <w:lang w:val="en-US" w:eastAsia="zh-CN"/>
                    </w:rPr>
                  </w:pPr>
                  <w:r>
                    <w:rPr>
                      <w:rFonts w:hint="eastAsia" w:cs="Times New Roman"/>
                      <w:sz w:val="21"/>
                      <w:szCs w:val="21"/>
                      <w:lang w:val="en-US" w:eastAsia="zh-CN"/>
                    </w:rPr>
                    <w:t>生产线</w:t>
                  </w:r>
                </w:p>
              </w:tc>
              <w:tc>
                <w:tcPr>
                  <w:tcW w:w="1702" w:type="pct"/>
                  <w:vAlign w:val="center"/>
                </w:tcPr>
                <w:p w14:paraId="0AEB399F">
                  <w:pPr>
                    <w:pStyle w:val="12"/>
                    <w:rPr>
                      <w:rFonts w:hint="default" w:eastAsia="宋体" w:cs="Times New Roman"/>
                      <w:sz w:val="21"/>
                      <w:szCs w:val="21"/>
                      <w:lang w:val="en-US" w:eastAsia="zh-CN"/>
                    </w:rPr>
                  </w:pPr>
                  <w:r>
                    <w:rPr>
                      <w:rFonts w:hint="eastAsia" w:cs="Times New Roman"/>
                      <w:sz w:val="21"/>
                      <w:szCs w:val="21"/>
                      <w:lang w:val="en-US" w:eastAsia="zh-CN"/>
                    </w:rPr>
                    <w:t>建设3条水基岩屑烘干生产线、1条免烧建筑基材生产线。</w:t>
                  </w:r>
                </w:p>
              </w:tc>
              <w:tc>
                <w:tcPr>
                  <w:tcW w:w="1878" w:type="pct"/>
                  <w:vAlign w:val="center"/>
                </w:tcPr>
                <w:p w14:paraId="39C4F97F">
                  <w:pPr>
                    <w:pStyle w:val="12"/>
                    <w:rPr>
                      <w:rFonts w:hint="default" w:eastAsia="宋体" w:cs="Times New Roman"/>
                      <w:sz w:val="21"/>
                      <w:szCs w:val="21"/>
                      <w:lang w:val="en-US" w:eastAsia="zh-CN"/>
                    </w:rPr>
                  </w:pPr>
                  <w:r>
                    <w:rPr>
                      <w:rFonts w:hint="eastAsia" w:cs="Times New Roman"/>
                      <w:sz w:val="21"/>
                      <w:szCs w:val="21"/>
                      <w:lang w:val="en-US" w:eastAsia="zh-CN"/>
                    </w:rPr>
                    <w:t>建设1条煅烧生产线、1条免烧建筑基材生产线</w:t>
                  </w:r>
                </w:p>
              </w:tc>
              <w:tc>
                <w:tcPr>
                  <w:tcW w:w="1029" w:type="pct"/>
                  <w:vAlign w:val="center"/>
                </w:tcPr>
                <w:p w14:paraId="4D8473BF">
                  <w:pPr>
                    <w:pStyle w:val="12"/>
                    <w:rPr>
                      <w:rFonts w:hint="default" w:eastAsia="宋体" w:cs="Times New Roman"/>
                      <w:sz w:val="21"/>
                      <w:szCs w:val="21"/>
                      <w:lang w:val="en-US" w:eastAsia="zh-CN"/>
                    </w:rPr>
                  </w:pPr>
                  <w:r>
                    <w:rPr>
                      <w:rFonts w:hint="eastAsia" w:cs="Times New Roman"/>
                      <w:sz w:val="21"/>
                      <w:szCs w:val="21"/>
                      <w:lang w:val="en-US" w:eastAsia="zh-CN"/>
                    </w:rPr>
                    <w:t>①随工艺调整，生产线数量减少；②生产线平面布置、设备大幅调整。</w:t>
                  </w:r>
                </w:p>
              </w:tc>
            </w:tr>
            <w:tr w14:paraId="36BC0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jc w:val="center"/>
              </w:trPr>
              <w:tc>
                <w:tcPr>
                  <w:tcW w:w="389" w:type="pct"/>
                  <w:vAlign w:val="center"/>
                </w:tcPr>
                <w:p w14:paraId="267550FB">
                  <w:pPr>
                    <w:pStyle w:val="12"/>
                    <w:rPr>
                      <w:rFonts w:hint="default" w:cs="Times New Roman"/>
                      <w:sz w:val="21"/>
                      <w:szCs w:val="21"/>
                      <w:lang w:val="en-US" w:eastAsia="zh-CN"/>
                    </w:rPr>
                  </w:pPr>
                  <w:r>
                    <w:rPr>
                      <w:rFonts w:hint="eastAsia" w:cs="Times New Roman"/>
                      <w:sz w:val="21"/>
                      <w:szCs w:val="21"/>
                      <w:lang w:val="en-US" w:eastAsia="zh-CN"/>
                    </w:rPr>
                    <w:t>主要原辅料</w:t>
                  </w:r>
                </w:p>
              </w:tc>
              <w:tc>
                <w:tcPr>
                  <w:tcW w:w="1702" w:type="pct"/>
                  <w:vAlign w:val="center"/>
                </w:tcPr>
                <w:p w14:paraId="20B81A77">
                  <w:pPr>
                    <w:pStyle w:val="12"/>
                    <w:rPr>
                      <w:rFonts w:hint="eastAsia" w:cs="Times New Roman"/>
                      <w:sz w:val="21"/>
                      <w:szCs w:val="21"/>
                      <w:lang w:val="en-US" w:eastAsia="zh-CN"/>
                    </w:rPr>
                  </w:pPr>
                  <w:r>
                    <w:rPr>
                      <w:rFonts w:hint="eastAsia" w:cs="Times New Roman"/>
                      <w:sz w:val="21"/>
                      <w:szCs w:val="21"/>
                      <w:lang w:val="en-US" w:eastAsia="zh-CN"/>
                    </w:rPr>
                    <w:t>水基岩屑30万t/a（40%含水率20万t/a、80%含水率10万t/a）；</w:t>
                  </w:r>
                </w:p>
                <w:p w14:paraId="6DDD85C8">
                  <w:pPr>
                    <w:pStyle w:val="12"/>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粉煤灰100595t/a</w:t>
                  </w:r>
                  <w:r>
                    <w:rPr>
                      <w:rFonts w:hint="eastAsia" w:cs="Times New Roman"/>
                      <w:sz w:val="21"/>
                      <w:szCs w:val="21"/>
                      <w:lang w:val="en-US" w:eastAsia="zh-CN"/>
                    </w:rPr>
                    <w:t>；</w:t>
                  </w:r>
                </w:p>
                <w:p w14:paraId="1208905F">
                  <w:pPr>
                    <w:pStyle w:val="12"/>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水泥5200t/a</w:t>
                  </w:r>
                  <w:r>
                    <w:rPr>
                      <w:rFonts w:hint="eastAsia" w:cs="Times New Roman"/>
                      <w:sz w:val="21"/>
                      <w:szCs w:val="21"/>
                      <w:lang w:val="en-US" w:eastAsia="zh-CN"/>
                    </w:rPr>
                    <w:t>；</w:t>
                  </w:r>
                </w:p>
                <w:p w14:paraId="0CBA1F48">
                  <w:pPr>
                    <w:pStyle w:val="12"/>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砂石1500t/a</w:t>
                  </w:r>
                  <w:r>
                    <w:rPr>
                      <w:rFonts w:hint="eastAsia" w:cs="Times New Roman"/>
                      <w:sz w:val="21"/>
                      <w:szCs w:val="21"/>
                      <w:lang w:val="en-US" w:eastAsia="zh-CN"/>
                    </w:rPr>
                    <w:t>；</w:t>
                  </w:r>
                </w:p>
              </w:tc>
              <w:tc>
                <w:tcPr>
                  <w:tcW w:w="1878" w:type="pct"/>
                  <w:vAlign w:val="center"/>
                </w:tcPr>
                <w:p w14:paraId="49E19B16">
                  <w:pPr>
                    <w:pStyle w:val="12"/>
                    <w:rPr>
                      <w:rFonts w:hint="eastAsia" w:cs="Times New Roman"/>
                      <w:sz w:val="21"/>
                      <w:szCs w:val="21"/>
                      <w:lang w:val="en-US" w:eastAsia="zh-CN"/>
                    </w:rPr>
                  </w:pPr>
                  <w:r>
                    <w:rPr>
                      <w:rFonts w:hint="eastAsia" w:cs="Times New Roman"/>
                      <w:sz w:val="21"/>
                      <w:szCs w:val="21"/>
                      <w:lang w:val="en-US" w:eastAsia="zh-CN"/>
                    </w:rPr>
                    <w:t>水基岩屑30万t/a（35%含水率25万t/a、80%含水率5万t/a）；</w:t>
                  </w:r>
                </w:p>
                <w:p w14:paraId="04AC5E8E">
                  <w:pPr>
                    <w:pStyle w:val="12"/>
                    <w:rPr>
                      <w:rFonts w:hint="default" w:cs="Times New Roman"/>
                      <w:sz w:val="21"/>
                      <w:szCs w:val="21"/>
                      <w:lang w:val="en-US" w:eastAsia="zh-CN"/>
                    </w:rPr>
                  </w:pPr>
                  <w:r>
                    <w:rPr>
                      <w:rFonts w:hint="eastAsia" w:cs="Times New Roman"/>
                      <w:sz w:val="21"/>
                      <w:szCs w:val="21"/>
                      <w:lang w:val="en-US" w:eastAsia="zh-CN"/>
                    </w:rPr>
                    <w:t>热脱附干渣4.2万t/a；</w:t>
                  </w:r>
                </w:p>
                <w:p w14:paraId="48D72AAC">
                  <w:pPr>
                    <w:pStyle w:val="12"/>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絮凝剂（氧化钙、硫酸亚铁）</w:t>
                  </w:r>
                  <w:r>
                    <w:rPr>
                      <w:rFonts w:hint="eastAsia" w:cs="Times New Roman"/>
                      <w:sz w:val="21"/>
                      <w:szCs w:val="21"/>
                      <w:lang w:val="en-US" w:eastAsia="zh-CN"/>
                    </w:rPr>
                    <w:t>1260</w:t>
                  </w:r>
                  <w:r>
                    <w:rPr>
                      <w:rFonts w:hint="eastAsia" w:ascii="Times New Roman" w:hAnsi="Times New Roman" w:eastAsia="宋体" w:cs="Times New Roman"/>
                      <w:sz w:val="21"/>
                      <w:szCs w:val="21"/>
                      <w:lang w:val="en-US" w:eastAsia="zh-CN"/>
                    </w:rPr>
                    <w:t>t/a</w:t>
                  </w:r>
                  <w:r>
                    <w:rPr>
                      <w:rFonts w:hint="eastAsia" w:cs="Times New Roman"/>
                      <w:sz w:val="21"/>
                      <w:szCs w:val="21"/>
                      <w:lang w:val="en-US" w:eastAsia="zh-CN"/>
                    </w:rPr>
                    <w:t>；</w:t>
                  </w:r>
                </w:p>
                <w:p w14:paraId="19954F9C">
                  <w:pPr>
                    <w:pStyle w:val="12"/>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水泥</w:t>
                  </w:r>
                  <w:r>
                    <w:rPr>
                      <w:rFonts w:hint="eastAsia" w:cs="Times New Roman"/>
                      <w:sz w:val="21"/>
                      <w:szCs w:val="21"/>
                      <w:lang w:val="en-US" w:eastAsia="zh-CN"/>
                    </w:rPr>
                    <w:t>25000</w:t>
                  </w:r>
                  <w:r>
                    <w:rPr>
                      <w:rFonts w:hint="eastAsia" w:ascii="Times New Roman" w:hAnsi="Times New Roman" w:eastAsia="宋体" w:cs="Times New Roman"/>
                      <w:sz w:val="21"/>
                      <w:szCs w:val="21"/>
                      <w:lang w:val="en-US" w:eastAsia="zh-CN"/>
                    </w:rPr>
                    <w:t>t/a</w:t>
                  </w:r>
                  <w:r>
                    <w:rPr>
                      <w:rFonts w:hint="eastAsia" w:cs="Times New Roman"/>
                      <w:sz w:val="21"/>
                      <w:szCs w:val="21"/>
                      <w:lang w:val="en-US" w:eastAsia="zh-CN"/>
                    </w:rPr>
                    <w:t>；</w:t>
                  </w:r>
                </w:p>
                <w:p w14:paraId="7145138B">
                  <w:pPr>
                    <w:pStyle w:val="12"/>
                    <w:rPr>
                      <w:rFonts w:hint="eastAsia" w:cs="Times New Roman"/>
                      <w:sz w:val="21"/>
                      <w:szCs w:val="21"/>
                      <w:lang w:val="en-US" w:eastAsia="zh-CN"/>
                    </w:rPr>
                  </w:pPr>
                  <w:r>
                    <w:rPr>
                      <w:rFonts w:hint="eastAsia" w:ascii="Times New Roman" w:hAnsi="Times New Roman" w:eastAsia="宋体" w:cs="Times New Roman"/>
                      <w:sz w:val="21"/>
                      <w:szCs w:val="21"/>
                      <w:lang w:val="en-US" w:eastAsia="zh-CN"/>
                    </w:rPr>
                    <w:t>砂石</w:t>
                  </w:r>
                  <w:r>
                    <w:rPr>
                      <w:rFonts w:hint="eastAsia" w:cs="Times New Roman"/>
                      <w:sz w:val="21"/>
                      <w:szCs w:val="21"/>
                      <w:lang w:val="en-US" w:eastAsia="zh-CN"/>
                    </w:rPr>
                    <w:t>9300</w:t>
                  </w:r>
                  <w:r>
                    <w:rPr>
                      <w:rFonts w:hint="eastAsia" w:ascii="Times New Roman" w:hAnsi="Times New Roman" w:eastAsia="宋体" w:cs="Times New Roman"/>
                      <w:sz w:val="21"/>
                      <w:szCs w:val="21"/>
                      <w:lang w:val="en-US" w:eastAsia="zh-CN"/>
                    </w:rPr>
                    <w:t>0t/a</w:t>
                  </w:r>
                  <w:r>
                    <w:rPr>
                      <w:rFonts w:hint="eastAsia" w:cs="Times New Roman"/>
                      <w:sz w:val="21"/>
                      <w:szCs w:val="21"/>
                      <w:lang w:val="en-US" w:eastAsia="zh-CN"/>
                    </w:rPr>
                    <w:t>；</w:t>
                  </w:r>
                </w:p>
                <w:p w14:paraId="63C30056">
                  <w:pPr>
                    <w:pStyle w:val="12"/>
                    <w:rPr>
                      <w:rFonts w:hint="eastAsia"/>
                      <w:sz w:val="21"/>
                      <w:szCs w:val="21"/>
                      <w:lang w:val="en-US" w:eastAsia="zh-CN"/>
                    </w:rPr>
                  </w:pPr>
                  <w:r>
                    <w:rPr>
                      <w:rFonts w:hint="eastAsia" w:cs="Times New Roman"/>
                      <w:sz w:val="21"/>
                      <w:szCs w:val="21"/>
                      <w:lang w:val="en-US" w:eastAsia="zh-CN"/>
                    </w:rPr>
                    <w:t>固化剂50t/a；</w:t>
                  </w:r>
                </w:p>
              </w:tc>
              <w:tc>
                <w:tcPr>
                  <w:tcW w:w="1029" w:type="pct"/>
                  <w:vAlign w:val="center"/>
                </w:tcPr>
                <w:p w14:paraId="375B91FB">
                  <w:pPr>
                    <w:pStyle w:val="12"/>
                    <w:rPr>
                      <w:rFonts w:hint="default" w:cs="Times New Roman"/>
                      <w:sz w:val="21"/>
                      <w:szCs w:val="21"/>
                      <w:lang w:val="en-US" w:eastAsia="zh-CN"/>
                    </w:rPr>
                  </w:pPr>
                  <w:r>
                    <w:rPr>
                      <w:rFonts w:hint="eastAsia" w:cs="Times New Roman"/>
                      <w:sz w:val="21"/>
                      <w:szCs w:val="21"/>
                      <w:lang w:val="en-US" w:eastAsia="zh-CN"/>
                    </w:rPr>
                    <w:t>①根据实际情况调整原料比例及含水率；②随工艺调整，新增使用絮凝剂、固化剂，取消粉煤灰，调整辅料用量</w:t>
                  </w:r>
                </w:p>
              </w:tc>
            </w:tr>
            <w:tr w14:paraId="55032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jc w:val="center"/>
              </w:trPr>
              <w:tc>
                <w:tcPr>
                  <w:tcW w:w="389" w:type="pct"/>
                  <w:vAlign w:val="center"/>
                </w:tcPr>
                <w:p w14:paraId="343116B0">
                  <w:pPr>
                    <w:pStyle w:val="12"/>
                    <w:rPr>
                      <w:rFonts w:hint="default" w:cs="Times New Roman"/>
                      <w:sz w:val="21"/>
                      <w:szCs w:val="21"/>
                      <w:lang w:val="en-US" w:eastAsia="zh-CN"/>
                    </w:rPr>
                  </w:pPr>
                  <w:r>
                    <w:rPr>
                      <w:rFonts w:hint="eastAsia" w:cs="Times New Roman"/>
                      <w:sz w:val="21"/>
                      <w:szCs w:val="21"/>
                      <w:lang w:val="en-US" w:eastAsia="zh-CN"/>
                    </w:rPr>
                    <w:t>储运工程</w:t>
                  </w:r>
                </w:p>
              </w:tc>
              <w:tc>
                <w:tcPr>
                  <w:tcW w:w="1702" w:type="pct"/>
                  <w:vAlign w:val="center"/>
                </w:tcPr>
                <w:p w14:paraId="5EF1D992">
                  <w:pPr>
                    <w:pStyle w:val="12"/>
                    <w:rPr>
                      <w:rFonts w:hint="eastAsia" w:ascii="Times New Roman" w:hAnsi="Times New Roman" w:eastAsia="宋体" w:cs="Times New Roman"/>
                      <w:sz w:val="21"/>
                      <w:szCs w:val="21"/>
                      <w:vertAlign w:val="baseline"/>
                      <w:lang w:val="en-US" w:eastAsia="zh-CN"/>
                    </w:rPr>
                  </w:pPr>
                  <w:r>
                    <w:rPr>
                      <w:rFonts w:hint="eastAsia" w:ascii="Times New Roman" w:hAnsi="Times New Roman" w:eastAsia="宋体" w:cs="Times New Roman"/>
                      <w:sz w:val="21"/>
                      <w:szCs w:val="21"/>
                      <w:lang w:val="en-US" w:eastAsia="zh-CN"/>
                    </w:rPr>
                    <w:t>建设1座</w:t>
                  </w:r>
                  <w:r>
                    <w:rPr>
                      <w:rFonts w:hint="eastAsia" w:ascii="Times New Roman" w:hAnsi="Times New Roman" w:eastAsia="宋体" w:cs="Times New Roman"/>
                      <w:sz w:val="21"/>
                      <w:szCs w:val="21"/>
                      <w:vertAlign w:val="baseline"/>
                      <w:lang w:val="en-US" w:eastAsia="zh-CN"/>
                    </w:rPr>
                    <w:t>水基岩屑储存池（</w:t>
                  </w:r>
                  <w:r>
                    <w:rPr>
                      <w:rFonts w:hint="eastAsia" w:ascii="Times New Roman" w:hAnsi="Times New Roman" w:eastAsia="宋体" w:cs="Times New Roman"/>
                      <w:sz w:val="21"/>
                      <w:szCs w:val="21"/>
                      <w:lang w:val="en-US" w:eastAsia="zh-CN"/>
                    </w:rPr>
                    <w:t>7000m</w:t>
                  </w:r>
                  <w:r>
                    <w:rPr>
                      <w:rFonts w:hint="eastAsia" w:ascii="Times New Roman" w:hAnsi="Times New Roman" w:eastAsia="宋体" w:cs="Times New Roman"/>
                      <w:sz w:val="21"/>
                      <w:szCs w:val="21"/>
                      <w:vertAlign w:val="superscript"/>
                      <w:lang w:val="en-US" w:eastAsia="zh-CN"/>
                    </w:rPr>
                    <w:t>3</w:t>
                  </w:r>
                  <w:r>
                    <w:rPr>
                      <w:rFonts w:hint="eastAsia" w:ascii="Times New Roman" w:hAnsi="Times New Roman" w:eastAsia="宋体" w:cs="Times New Roman"/>
                      <w:sz w:val="21"/>
                      <w:szCs w:val="21"/>
                      <w:vertAlign w:val="baseline"/>
                      <w:lang w:val="en-US" w:eastAsia="zh-CN"/>
                    </w:rPr>
                    <w:t>）；</w:t>
                  </w:r>
                </w:p>
                <w:p w14:paraId="4C8CD577">
                  <w:pPr>
                    <w:pStyle w:val="12"/>
                    <w:rPr>
                      <w:rFonts w:hint="eastAsia"/>
                      <w:sz w:val="21"/>
                      <w:szCs w:val="21"/>
                      <w:lang w:val="en-US" w:eastAsia="zh-CN"/>
                    </w:rPr>
                  </w:pPr>
                  <w:r>
                    <w:rPr>
                      <w:rFonts w:hint="eastAsia"/>
                      <w:sz w:val="21"/>
                      <w:szCs w:val="21"/>
                      <w:lang w:val="en-US" w:eastAsia="zh-CN"/>
                    </w:rPr>
                    <w:t>设2个水泥筒仓（单个200t）；</w:t>
                  </w:r>
                </w:p>
                <w:p w14:paraId="786789B8">
                  <w:pPr>
                    <w:pStyle w:val="12"/>
                    <w:rPr>
                      <w:rFonts w:hint="eastAsia" w:ascii="Times New Roman" w:hAnsi="Times New Roman" w:eastAsia="宋体"/>
                      <w:sz w:val="21"/>
                      <w:szCs w:val="21"/>
                      <w:lang w:val="en-US" w:eastAsia="zh-CN"/>
                    </w:rPr>
                  </w:pPr>
                  <w:r>
                    <w:rPr>
                      <w:rFonts w:hint="eastAsia" w:ascii="Times New Roman" w:hAnsi="Times New Roman" w:eastAsia="宋体"/>
                      <w:sz w:val="21"/>
                      <w:szCs w:val="21"/>
                      <w:lang w:val="en-US" w:eastAsia="zh-CN"/>
                    </w:rPr>
                    <w:t>设3个烘干物料筒仓（单个200t）；</w:t>
                  </w:r>
                </w:p>
                <w:p w14:paraId="3713BB7F">
                  <w:pPr>
                    <w:pStyle w:val="12"/>
                    <w:rPr>
                      <w:rFonts w:hint="eastAsia" w:ascii="Times New Roman" w:hAnsi="Times New Roman" w:eastAsia="宋体"/>
                      <w:sz w:val="21"/>
                      <w:szCs w:val="21"/>
                      <w:lang w:val="en-US" w:eastAsia="zh-CN"/>
                    </w:rPr>
                  </w:pPr>
                  <w:r>
                    <w:rPr>
                      <w:rFonts w:hint="eastAsia" w:ascii="Times New Roman" w:hAnsi="Times New Roman" w:eastAsia="宋体"/>
                      <w:sz w:val="21"/>
                      <w:szCs w:val="21"/>
                      <w:lang w:val="en-US" w:eastAsia="zh-CN"/>
                    </w:rPr>
                    <w:t>设1个</w:t>
                  </w:r>
                  <w:r>
                    <w:rPr>
                      <w:rFonts w:hint="eastAsia"/>
                      <w:sz w:val="21"/>
                      <w:szCs w:val="21"/>
                      <w:lang w:val="en-US" w:eastAsia="zh-CN"/>
                    </w:rPr>
                    <w:t>水基岩屑</w:t>
                  </w:r>
                  <w:r>
                    <w:rPr>
                      <w:rFonts w:hint="eastAsia" w:ascii="Times New Roman" w:hAnsi="Times New Roman" w:eastAsia="宋体"/>
                      <w:sz w:val="21"/>
                      <w:szCs w:val="21"/>
                      <w:lang w:val="en-US" w:eastAsia="zh-CN"/>
                    </w:rPr>
                    <w:t>（40%含水）堆放区；</w:t>
                  </w:r>
                </w:p>
                <w:p w14:paraId="7A91CF3A">
                  <w:pPr>
                    <w:pStyle w:val="12"/>
                    <w:rPr>
                      <w:rFonts w:hint="eastAsia" w:ascii="Times New Roman" w:hAnsi="Times New Roman" w:eastAsia="宋体"/>
                      <w:sz w:val="21"/>
                      <w:szCs w:val="21"/>
                      <w:lang w:val="en-US" w:eastAsia="zh-CN"/>
                    </w:rPr>
                  </w:pPr>
                  <w:r>
                    <w:rPr>
                      <w:rFonts w:hint="eastAsia" w:ascii="Times New Roman" w:hAnsi="Times New Roman" w:eastAsia="宋体"/>
                      <w:sz w:val="21"/>
                      <w:szCs w:val="21"/>
                      <w:lang w:val="en-US" w:eastAsia="zh-CN"/>
                    </w:rPr>
                    <w:t>设1个烘干物料堆放区；</w:t>
                  </w:r>
                </w:p>
                <w:p w14:paraId="0FE1149F">
                  <w:pPr>
                    <w:pStyle w:val="12"/>
                    <w:rPr>
                      <w:rFonts w:hint="eastAsia" w:ascii="Times New Roman" w:hAnsi="Times New Roman" w:eastAsia="宋体"/>
                      <w:sz w:val="21"/>
                      <w:szCs w:val="21"/>
                      <w:lang w:val="en-US" w:eastAsia="zh-CN"/>
                    </w:rPr>
                  </w:pPr>
                  <w:r>
                    <w:rPr>
                      <w:rFonts w:hint="eastAsia" w:ascii="Times New Roman" w:hAnsi="Times New Roman" w:eastAsia="宋体"/>
                      <w:sz w:val="21"/>
                      <w:szCs w:val="21"/>
                      <w:lang w:val="en-US" w:eastAsia="zh-CN"/>
                    </w:rPr>
                    <w:t>设1个砂石堆场；</w:t>
                  </w:r>
                </w:p>
                <w:p w14:paraId="76AFA993">
                  <w:pPr>
                    <w:pStyle w:val="12"/>
                    <w:rPr>
                      <w:rFonts w:hint="eastAsia" w:ascii="Times New Roman" w:hAnsi="Times New Roman" w:eastAsia="宋体"/>
                      <w:sz w:val="21"/>
                      <w:szCs w:val="21"/>
                      <w:lang w:val="en-US" w:eastAsia="zh-CN"/>
                    </w:rPr>
                  </w:pPr>
                  <w:r>
                    <w:rPr>
                      <w:rFonts w:hint="eastAsia" w:ascii="Times New Roman" w:hAnsi="Times New Roman" w:eastAsia="宋体"/>
                      <w:sz w:val="21"/>
                      <w:szCs w:val="21"/>
                      <w:lang w:val="en-US" w:eastAsia="zh-CN"/>
                    </w:rPr>
                    <w:t>设1个成品堆场；</w:t>
                  </w:r>
                </w:p>
                <w:p w14:paraId="2132BFC6">
                  <w:pPr>
                    <w:pStyle w:val="12"/>
                    <w:rPr>
                      <w:rFonts w:hint="default"/>
                      <w:sz w:val="21"/>
                      <w:szCs w:val="21"/>
                      <w:lang w:val="en-US" w:eastAsia="zh-CN"/>
                    </w:rPr>
                  </w:pPr>
                  <w:r>
                    <w:rPr>
                      <w:rFonts w:hint="eastAsia"/>
                      <w:sz w:val="21"/>
                      <w:szCs w:val="21"/>
                      <w:lang w:val="en-US" w:eastAsia="zh-CN"/>
                    </w:rPr>
                    <w:t>设1个粉煤灰堆放区。</w:t>
                  </w:r>
                </w:p>
              </w:tc>
              <w:tc>
                <w:tcPr>
                  <w:tcW w:w="1878" w:type="pct"/>
                  <w:vAlign w:val="center"/>
                </w:tcPr>
                <w:p w14:paraId="6E18EE4A">
                  <w:pPr>
                    <w:pStyle w:val="12"/>
                    <w:rPr>
                      <w:rFonts w:hint="eastAsia" w:ascii="Times New Roman" w:hAnsi="Times New Roman" w:eastAsia="宋体" w:cs="Times New Roman"/>
                      <w:sz w:val="21"/>
                      <w:szCs w:val="21"/>
                      <w:vertAlign w:val="baseline"/>
                      <w:lang w:val="en-US" w:eastAsia="zh-CN"/>
                    </w:rPr>
                  </w:pPr>
                  <w:r>
                    <w:rPr>
                      <w:rFonts w:hint="eastAsia" w:ascii="Times New Roman" w:hAnsi="Times New Roman" w:eastAsia="宋体" w:cs="Times New Roman"/>
                      <w:sz w:val="21"/>
                      <w:szCs w:val="21"/>
                      <w:lang w:val="en-US" w:eastAsia="zh-CN"/>
                    </w:rPr>
                    <w:t>建设1座</w:t>
                  </w:r>
                  <w:r>
                    <w:rPr>
                      <w:rFonts w:hint="eastAsia" w:ascii="Times New Roman" w:hAnsi="Times New Roman" w:eastAsia="宋体" w:cs="Times New Roman"/>
                      <w:sz w:val="21"/>
                      <w:szCs w:val="21"/>
                      <w:vertAlign w:val="baseline"/>
                      <w:lang w:val="en-US" w:eastAsia="zh-CN"/>
                    </w:rPr>
                    <w:t>水基岩屑储存池（</w:t>
                  </w:r>
                  <w:r>
                    <w:rPr>
                      <w:rFonts w:hint="eastAsia" w:ascii="Times New Roman" w:hAnsi="Times New Roman" w:eastAsia="宋体" w:cs="Times New Roman"/>
                      <w:sz w:val="21"/>
                      <w:szCs w:val="21"/>
                      <w:lang w:val="en-US" w:eastAsia="zh-CN"/>
                    </w:rPr>
                    <w:t>5</w:t>
                  </w:r>
                  <w:r>
                    <w:rPr>
                      <w:rFonts w:hint="eastAsia" w:cs="Times New Roman"/>
                      <w:sz w:val="21"/>
                      <w:szCs w:val="21"/>
                      <w:lang w:val="en-US" w:eastAsia="zh-CN"/>
                    </w:rPr>
                    <w:t>9</w:t>
                  </w:r>
                  <w:r>
                    <w:rPr>
                      <w:rFonts w:hint="eastAsia" w:ascii="Times New Roman" w:hAnsi="Times New Roman" w:eastAsia="宋体" w:cs="Times New Roman"/>
                      <w:sz w:val="21"/>
                      <w:szCs w:val="21"/>
                      <w:lang w:val="en-US" w:eastAsia="zh-CN"/>
                    </w:rPr>
                    <w:t>00m</w:t>
                  </w:r>
                  <w:r>
                    <w:rPr>
                      <w:rFonts w:hint="eastAsia" w:ascii="Times New Roman" w:hAnsi="Times New Roman" w:eastAsia="宋体" w:cs="Times New Roman"/>
                      <w:sz w:val="21"/>
                      <w:szCs w:val="21"/>
                      <w:vertAlign w:val="superscript"/>
                      <w:lang w:val="en-US" w:eastAsia="zh-CN"/>
                    </w:rPr>
                    <w:t>3</w:t>
                  </w:r>
                  <w:r>
                    <w:rPr>
                      <w:rFonts w:hint="eastAsia" w:ascii="Times New Roman" w:hAnsi="Times New Roman" w:eastAsia="宋体" w:cs="Times New Roman"/>
                      <w:sz w:val="21"/>
                      <w:szCs w:val="21"/>
                      <w:vertAlign w:val="baseline"/>
                      <w:lang w:val="en-US" w:eastAsia="zh-CN"/>
                    </w:rPr>
                    <w:t>）；建设1座滤液池（</w:t>
                  </w:r>
                  <w:r>
                    <w:rPr>
                      <w:rFonts w:hint="eastAsia" w:cs="Times New Roman"/>
                      <w:sz w:val="21"/>
                      <w:szCs w:val="21"/>
                      <w:vertAlign w:val="baseline"/>
                      <w:lang w:val="en-US" w:eastAsia="zh-CN"/>
                    </w:rPr>
                    <w:t>1100</w:t>
                  </w:r>
                  <w:r>
                    <w:rPr>
                      <w:rFonts w:hint="eastAsia" w:ascii="Times New Roman" w:hAnsi="Times New Roman" w:eastAsia="宋体" w:cs="Times New Roman"/>
                      <w:sz w:val="21"/>
                      <w:szCs w:val="21"/>
                      <w:lang w:val="en-US" w:eastAsia="zh-CN"/>
                    </w:rPr>
                    <w:t>m</w:t>
                  </w:r>
                  <w:r>
                    <w:rPr>
                      <w:rFonts w:hint="eastAsia" w:ascii="Times New Roman" w:hAnsi="Times New Roman" w:eastAsia="宋体" w:cs="Times New Roman"/>
                      <w:sz w:val="21"/>
                      <w:szCs w:val="21"/>
                      <w:vertAlign w:val="superscript"/>
                      <w:lang w:val="en-US" w:eastAsia="zh-CN"/>
                    </w:rPr>
                    <w:t>3</w:t>
                  </w:r>
                  <w:r>
                    <w:rPr>
                      <w:rFonts w:hint="eastAsia" w:ascii="Times New Roman" w:hAnsi="Times New Roman" w:eastAsia="宋体" w:cs="Times New Roman"/>
                      <w:sz w:val="21"/>
                      <w:szCs w:val="21"/>
                      <w:vertAlign w:val="baseline"/>
                      <w:lang w:val="en-US" w:eastAsia="zh-CN"/>
                    </w:rPr>
                    <w:t>）；</w:t>
                  </w:r>
                </w:p>
                <w:p w14:paraId="2AC5ED81">
                  <w:pPr>
                    <w:pStyle w:val="12"/>
                    <w:rPr>
                      <w:rFonts w:hint="eastAsia"/>
                      <w:sz w:val="21"/>
                      <w:szCs w:val="21"/>
                      <w:lang w:val="en-US" w:eastAsia="zh-CN"/>
                    </w:rPr>
                  </w:pPr>
                  <w:r>
                    <w:rPr>
                      <w:rFonts w:hint="eastAsia" w:ascii="Times New Roman" w:hAnsi="Times New Roman" w:eastAsia="宋体" w:cs="Times New Roman"/>
                      <w:sz w:val="21"/>
                      <w:szCs w:val="21"/>
                      <w:vertAlign w:val="baseline"/>
                      <w:lang w:val="en-US" w:eastAsia="zh-CN"/>
                    </w:rPr>
                    <w:t>设</w:t>
                  </w:r>
                  <w:r>
                    <w:rPr>
                      <w:rFonts w:hint="eastAsia" w:cs="Times New Roman"/>
                      <w:sz w:val="21"/>
                      <w:szCs w:val="21"/>
                      <w:vertAlign w:val="baseline"/>
                      <w:lang w:val="en-US" w:eastAsia="zh-CN"/>
                    </w:rPr>
                    <w:t>1个水泥筒仓（200t）；</w:t>
                  </w:r>
                </w:p>
                <w:p w14:paraId="5B3599F6">
                  <w:pPr>
                    <w:pStyle w:val="12"/>
                    <w:rPr>
                      <w:rFonts w:hint="eastAsia" w:ascii="Times New Roman" w:hAnsi="Times New Roman" w:eastAsia="宋体"/>
                      <w:sz w:val="21"/>
                      <w:szCs w:val="21"/>
                      <w:lang w:val="en-US" w:eastAsia="zh-CN"/>
                    </w:rPr>
                  </w:pPr>
                  <w:r>
                    <w:rPr>
                      <w:rFonts w:hint="eastAsia" w:ascii="Times New Roman" w:hAnsi="Times New Roman" w:eastAsia="宋体"/>
                      <w:sz w:val="21"/>
                      <w:szCs w:val="21"/>
                      <w:lang w:val="en-US" w:eastAsia="zh-CN"/>
                    </w:rPr>
                    <w:t>设1个</w:t>
                  </w:r>
                  <w:r>
                    <w:rPr>
                      <w:rFonts w:hint="eastAsia"/>
                      <w:sz w:val="21"/>
                      <w:szCs w:val="21"/>
                      <w:lang w:val="en-US" w:eastAsia="zh-CN"/>
                    </w:rPr>
                    <w:t>水稳层骨料仓</w:t>
                  </w:r>
                  <w:r>
                    <w:rPr>
                      <w:rFonts w:hint="eastAsia" w:ascii="Times New Roman" w:hAnsi="Times New Roman" w:eastAsia="宋体"/>
                      <w:sz w:val="21"/>
                      <w:szCs w:val="21"/>
                      <w:lang w:val="en-US" w:eastAsia="zh-CN"/>
                    </w:rPr>
                    <w:t>；</w:t>
                  </w:r>
                </w:p>
                <w:p w14:paraId="3D6384AD">
                  <w:pPr>
                    <w:pStyle w:val="12"/>
                    <w:rPr>
                      <w:rFonts w:hint="eastAsia" w:ascii="Times New Roman" w:hAnsi="Times New Roman" w:eastAsia="宋体"/>
                      <w:color w:val="000000" w:themeColor="text1"/>
                      <w:sz w:val="21"/>
                      <w:szCs w:val="21"/>
                      <w:lang w:val="en-US" w:eastAsia="zh-CN"/>
                      <w14:textFill>
                        <w14:solidFill>
                          <w14:schemeClr w14:val="tx1"/>
                        </w14:solidFill>
                      </w14:textFill>
                    </w:rPr>
                  </w:pPr>
                  <w:r>
                    <w:rPr>
                      <w:rFonts w:hint="eastAsia" w:ascii="Times New Roman" w:hAnsi="Times New Roman" w:eastAsia="宋体"/>
                      <w:sz w:val="21"/>
                      <w:szCs w:val="21"/>
                      <w:lang w:val="en-US" w:eastAsia="zh-CN"/>
                    </w:rPr>
                    <w:t>设</w:t>
                  </w:r>
                  <w:r>
                    <w:rPr>
                      <w:rFonts w:hint="eastAsia" w:ascii="Times New Roman" w:hAnsi="Times New Roman" w:eastAsia="宋体"/>
                      <w:color w:val="000000" w:themeColor="text1"/>
                      <w:sz w:val="21"/>
                      <w:szCs w:val="21"/>
                      <w:lang w:val="en-US" w:eastAsia="zh-CN"/>
                      <w14:textFill>
                        <w14:solidFill>
                          <w14:schemeClr w14:val="tx1"/>
                        </w14:solidFill>
                      </w14:textFill>
                    </w:rPr>
                    <w:t>1个</w:t>
                  </w:r>
                  <w:r>
                    <w:rPr>
                      <w:rFonts w:hint="eastAsia"/>
                      <w:color w:val="000000" w:themeColor="text1"/>
                      <w:sz w:val="21"/>
                      <w:szCs w:val="21"/>
                      <w:lang w:val="en-US" w:eastAsia="zh-CN"/>
                      <w14:textFill>
                        <w14:solidFill>
                          <w14:schemeClr w14:val="tx1"/>
                        </w14:solidFill>
                      </w14:textFill>
                    </w:rPr>
                    <w:t>水基岩屑</w:t>
                  </w:r>
                  <w:r>
                    <w:rPr>
                      <w:rFonts w:hint="eastAsia" w:ascii="Times New Roman" w:hAnsi="Times New Roman" w:eastAsia="宋体"/>
                      <w:color w:val="000000" w:themeColor="text1"/>
                      <w:sz w:val="21"/>
                      <w:szCs w:val="21"/>
                      <w:lang w:val="en-US" w:eastAsia="zh-CN"/>
                      <w14:textFill>
                        <w14:solidFill>
                          <w14:schemeClr w14:val="tx1"/>
                        </w14:solidFill>
                      </w14:textFill>
                    </w:rPr>
                    <w:t>（</w:t>
                  </w:r>
                  <w:r>
                    <w:rPr>
                      <w:rFonts w:hint="eastAsia"/>
                      <w:color w:val="000000" w:themeColor="text1"/>
                      <w:sz w:val="21"/>
                      <w:szCs w:val="21"/>
                      <w:lang w:val="en-US" w:eastAsia="zh-CN"/>
                      <w14:textFill>
                        <w14:solidFill>
                          <w14:schemeClr w14:val="tx1"/>
                        </w14:solidFill>
                      </w14:textFill>
                    </w:rPr>
                    <w:t>35</w:t>
                  </w:r>
                  <w:r>
                    <w:rPr>
                      <w:rFonts w:hint="eastAsia" w:ascii="Times New Roman" w:hAnsi="Times New Roman" w:eastAsia="宋体"/>
                      <w:color w:val="000000" w:themeColor="text1"/>
                      <w:sz w:val="21"/>
                      <w:szCs w:val="21"/>
                      <w:lang w:val="en-US" w:eastAsia="zh-CN"/>
                      <w14:textFill>
                        <w14:solidFill>
                          <w14:schemeClr w14:val="tx1"/>
                        </w14:solidFill>
                      </w14:textFill>
                    </w:rPr>
                    <w:t>%含水）堆放区；</w:t>
                  </w:r>
                </w:p>
                <w:p w14:paraId="3123AACD">
                  <w:pPr>
                    <w:pStyle w:val="12"/>
                    <w:rPr>
                      <w:rFonts w:hint="eastAsia"/>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设1个热脱附干渣堆存区；</w:t>
                  </w:r>
                </w:p>
                <w:p w14:paraId="27738BB1">
                  <w:pPr>
                    <w:pStyle w:val="12"/>
                    <w:rPr>
                      <w:rFonts w:hint="eastAsia" w:ascii="Times New Roman" w:hAnsi="Times New Roman" w:eastAsia="宋体"/>
                      <w:color w:val="000000" w:themeColor="text1"/>
                      <w:sz w:val="21"/>
                      <w:szCs w:val="21"/>
                      <w:lang w:val="en-US" w:eastAsia="zh-CN"/>
                      <w14:textFill>
                        <w14:solidFill>
                          <w14:schemeClr w14:val="tx1"/>
                        </w14:solidFill>
                      </w14:textFill>
                    </w:rPr>
                  </w:pPr>
                  <w:r>
                    <w:rPr>
                      <w:rFonts w:hint="eastAsia" w:ascii="Times New Roman" w:hAnsi="Times New Roman" w:eastAsia="宋体"/>
                      <w:color w:val="000000" w:themeColor="text1"/>
                      <w:sz w:val="21"/>
                      <w:szCs w:val="21"/>
                      <w:lang w:val="en-US" w:eastAsia="zh-CN"/>
                      <w14:textFill>
                        <w14:solidFill>
                          <w14:schemeClr w14:val="tx1"/>
                        </w14:solidFill>
                      </w14:textFill>
                    </w:rPr>
                    <w:t>设1个砂石</w:t>
                  </w:r>
                  <w:r>
                    <w:rPr>
                      <w:rFonts w:hint="eastAsia"/>
                      <w:color w:val="000000" w:themeColor="text1"/>
                      <w:sz w:val="21"/>
                      <w:szCs w:val="21"/>
                      <w:lang w:val="en-US" w:eastAsia="zh-CN"/>
                      <w14:textFill>
                        <w14:solidFill>
                          <w14:schemeClr w14:val="tx1"/>
                        </w14:solidFill>
                      </w14:textFill>
                    </w:rPr>
                    <w:t>堆存区</w:t>
                  </w:r>
                  <w:r>
                    <w:rPr>
                      <w:rFonts w:hint="eastAsia" w:ascii="Times New Roman" w:hAnsi="Times New Roman" w:eastAsia="宋体"/>
                      <w:color w:val="000000" w:themeColor="text1"/>
                      <w:sz w:val="21"/>
                      <w:szCs w:val="21"/>
                      <w:lang w:val="en-US" w:eastAsia="zh-CN"/>
                      <w14:textFill>
                        <w14:solidFill>
                          <w14:schemeClr w14:val="tx1"/>
                        </w14:solidFill>
                      </w14:textFill>
                    </w:rPr>
                    <w:t>；</w:t>
                  </w:r>
                </w:p>
                <w:p w14:paraId="2D7634BB">
                  <w:pPr>
                    <w:pStyle w:val="12"/>
                    <w:rPr>
                      <w:rFonts w:hint="eastAsia" w:ascii="Times New Roman" w:hAnsi="Times New Roman" w:eastAsia="宋体"/>
                      <w:sz w:val="21"/>
                      <w:szCs w:val="21"/>
                      <w:lang w:val="en-US" w:eastAsia="zh-CN"/>
                    </w:rPr>
                  </w:pPr>
                  <w:r>
                    <w:rPr>
                      <w:rFonts w:hint="eastAsia" w:ascii="Times New Roman" w:hAnsi="Times New Roman" w:eastAsia="宋体"/>
                      <w:sz w:val="21"/>
                      <w:szCs w:val="21"/>
                      <w:lang w:val="en-US" w:eastAsia="zh-CN"/>
                    </w:rPr>
                    <w:t>设1个成品</w:t>
                  </w:r>
                  <w:r>
                    <w:rPr>
                      <w:rFonts w:hint="eastAsia"/>
                      <w:sz w:val="21"/>
                      <w:szCs w:val="21"/>
                      <w:lang w:val="en-US" w:eastAsia="zh-CN"/>
                    </w:rPr>
                    <w:t>堆放区</w:t>
                  </w:r>
                  <w:r>
                    <w:rPr>
                      <w:rFonts w:hint="eastAsia" w:ascii="Times New Roman" w:hAnsi="Times New Roman" w:eastAsia="宋体"/>
                      <w:sz w:val="21"/>
                      <w:szCs w:val="21"/>
                      <w:lang w:val="en-US" w:eastAsia="zh-CN"/>
                    </w:rPr>
                    <w:t>；</w:t>
                  </w:r>
                </w:p>
                <w:p w14:paraId="1F4FABC5">
                  <w:pPr>
                    <w:pStyle w:val="12"/>
                    <w:rPr>
                      <w:rFonts w:hint="eastAsia" w:ascii="Times New Roman" w:hAnsi="Times New Roman" w:eastAsia="宋体" w:cs="Times New Roman"/>
                      <w:sz w:val="21"/>
                      <w:szCs w:val="21"/>
                      <w:lang w:val="en-US" w:eastAsia="zh-CN"/>
                    </w:rPr>
                  </w:pPr>
                  <w:r>
                    <w:rPr>
                      <w:rFonts w:hint="eastAsia"/>
                      <w:sz w:val="21"/>
                      <w:szCs w:val="21"/>
                      <w:lang w:val="en-US" w:eastAsia="zh-CN"/>
                    </w:rPr>
                    <w:t>设1个药剂堆存区。</w:t>
                  </w:r>
                </w:p>
              </w:tc>
              <w:tc>
                <w:tcPr>
                  <w:tcW w:w="1029" w:type="pct"/>
                  <w:vAlign w:val="center"/>
                </w:tcPr>
                <w:p w14:paraId="56E56F6B">
                  <w:pPr>
                    <w:pStyle w:val="12"/>
                    <w:rPr>
                      <w:rFonts w:hint="default"/>
                      <w:sz w:val="21"/>
                      <w:szCs w:val="21"/>
                      <w:lang w:val="en-US" w:eastAsia="zh-CN"/>
                    </w:rPr>
                  </w:pPr>
                  <w:r>
                    <w:rPr>
                      <w:rFonts w:hint="eastAsia" w:cs="Times New Roman"/>
                      <w:sz w:val="21"/>
                      <w:szCs w:val="21"/>
                      <w:lang w:val="en-US" w:eastAsia="zh-CN"/>
                    </w:rPr>
                    <w:t>①烘干物料暂存方式调整，不使用筒仓；②物料储存场所平面布置调整；③新增热脱附干渣堆存区；④取消粉煤灰堆放区</w:t>
                  </w:r>
                </w:p>
              </w:tc>
            </w:tr>
            <w:tr w14:paraId="661F5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jc w:val="center"/>
              </w:trPr>
              <w:tc>
                <w:tcPr>
                  <w:tcW w:w="389" w:type="pct"/>
                  <w:vAlign w:val="center"/>
                </w:tcPr>
                <w:p w14:paraId="75512B9B">
                  <w:pPr>
                    <w:pStyle w:val="12"/>
                    <w:rPr>
                      <w:rFonts w:hint="default" w:cs="Times New Roman"/>
                      <w:sz w:val="21"/>
                      <w:szCs w:val="21"/>
                      <w:lang w:val="en-US" w:eastAsia="zh-CN"/>
                    </w:rPr>
                  </w:pPr>
                  <w:r>
                    <w:rPr>
                      <w:rFonts w:hint="eastAsia" w:cs="Times New Roman"/>
                      <w:sz w:val="21"/>
                      <w:szCs w:val="21"/>
                      <w:lang w:val="en-US" w:eastAsia="zh-CN"/>
                    </w:rPr>
                    <w:t>废气</w:t>
                  </w:r>
                </w:p>
              </w:tc>
              <w:tc>
                <w:tcPr>
                  <w:tcW w:w="1702" w:type="pct"/>
                  <w:vAlign w:val="center"/>
                </w:tcPr>
                <w:p w14:paraId="4DCB2BB4">
                  <w:pPr>
                    <w:pStyle w:val="12"/>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烘干废气经布袋除尘处理后经1根15m高排气筒排放；</w:t>
                  </w:r>
                </w:p>
                <w:p w14:paraId="168C6115">
                  <w:pPr>
                    <w:pStyle w:val="12"/>
                    <w:rPr>
                      <w:rFonts w:hint="eastAsia" w:ascii="Times New Roman" w:hAnsi="Times New Roman" w:eastAsia="宋体" w:cs="Times New Roman"/>
                      <w:sz w:val="21"/>
                      <w:szCs w:val="21"/>
                      <w:lang w:val="en-US" w:eastAsia="zh-CN"/>
                    </w:rPr>
                  </w:pPr>
                  <w:r>
                    <w:rPr>
                      <w:rFonts w:hint="eastAsia" w:cs="Times New Roman"/>
                      <w:sz w:val="21"/>
                      <w:szCs w:val="21"/>
                      <w:lang w:val="en-US" w:eastAsia="zh-CN"/>
                    </w:rPr>
                    <w:t>球磨</w:t>
                  </w:r>
                  <w:r>
                    <w:rPr>
                      <w:rFonts w:hint="eastAsia" w:ascii="Times New Roman" w:hAnsi="Times New Roman" w:eastAsia="宋体" w:cs="Times New Roman"/>
                      <w:sz w:val="21"/>
                      <w:szCs w:val="21"/>
                      <w:lang w:val="en-US" w:eastAsia="zh-CN"/>
                    </w:rPr>
                    <w:t>、搅拌粉尘经布袋除尘器处理后经1根15m高排气筒排放；</w:t>
                  </w:r>
                </w:p>
                <w:p w14:paraId="3EC29C66">
                  <w:pPr>
                    <w:pStyle w:val="12"/>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水泥筒仓粉尘</w:t>
                  </w:r>
                  <w:r>
                    <w:rPr>
                      <w:rFonts w:hint="eastAsia" w:cs="Times New Roman"/>
                      <w:sz w:val="21"/>
                      <w:szCs w:val="21"/>
                      <w:lang w:val="en-US" w:eastAsia="zh-CN"/>
                    </w:rPr>
                    <w:t>经筒仓顶部自带布袋除尘器处理后于</w:t>
                  </w:r>
                  <w:r>
                    <w:rPr>
                      <w:rFonts w:hint="eastAsia" w:ascii="Times New Roman" w:hAnsi="Times New Roman" w:eastAsia="宋体" w:cs="Times New Roman"/>
                      <w:sz w:val="21"/>
                      <w:szCs w:val="21"/>
                      <w:lang w:val="en-US" w:eastAsia="zh-CN"/>
                    </w:rPr>
                    <w:t>厂房内无组织排放；</w:t>
                  </w:r>
                </w:p>
                <w:p w14:paraId="65EE21C7">
                  <w:pPr>
                    <w:pStyle w:val="12"/>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砂石卸料粉尘、堆场粉尘经喷雾降尘后无组织排放；</w:t>
                  </w:r>
                </w:p>
                <w:p w14:paraId="695C0455">
                  <w:pPr>
                    <w:pStyle w:val="12"/>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粉煤灰卸料、投料粉尘无组织排放</w:t>
                  </w:r>
                  <w:r>
                    <w:rPr>
                      <w:rFonts w:hint="eastAsia" w:cs="Times New Roman"/>
                      <w:sz w:val="21"/>
                      <w:szCs w:val="21"/>
                      <w:lang w:val="en-US" w:eastAsia="zh-CN"/>
                    </w:rPr>
                    <w:t>。</w:t>
                  </w:r>
                </w:p>
              </w:tc>
              <w:tc>
                <w:tcPr>
                  <w:tcW w:w="1878" w:type="pct"/>
                  <w:vAlign w:val="center"/>
                </w:tcPr>
                <w:p w14:paraId="70965FCE">
                  <w:pPr>
                    <w:pStyle w:val="12"/>
                    <w:rPr>
                      <w:rFonts w:hint="eastAsia" w:ascii="Times New Roman" w:hAnsi="Times New Roman" w:eastAsia="宋体" w:cs="Times New Roman"/>
                      <w:sz w:val="21"/>
                      <w:szCs w:val="21"/>
                      <w:lang w:val="en-US" w:eastAsia="zh-CN"/>
                    </w:rPr>
                  </w:pPr>
                  <w:r>
                    <w:rPr>
                      <w:rFonts w:hint="eastAsia" w:cs="Times New Roman"/>
                      <w:sz w:val="21"/>
                      <w:szCs w:val="21"/>
                      <w:lang w:val="en-US" w:eastAsia="zh-CN"/>
                    </w:rPr>
                    <w:t>煅烧</w:t>
                  </w:r>
                  <w:r>
                    <w:rPr>
                      <w:rFonts w:hint="eastAsia" w:ascii="Times New Roman" w:hAnsi="Times New Roman" w:eastAsia="宋体" w:cs="Times New Roman"/>
                      <w:sz w:val="21"/>
                      <w:szCs w:val="21"/>
                      <w:lang w:val="en-US" w:eastAsia="zh-CN"/>
                    </w:rPr>
                    <w:t>废气经</w:t>
                  </w:r>
                  <w:r>
                    <w:rPr>
                      <w:rFonts w:hint="eastAsia" w:cs="Times New Roman"/>
                      <w:sz w:val="21"/>
                      <w:szCs w:val="21"/>
                      <w:lang w:val="en-US" w:eastAsia="zh-CN"/>
                    </w:rPr>
                    <w:t>旋风除尘器+布袋除尘器1#+活性炭喷射+布袋除尘器2#+3座脱酸塔</w:t>
                  </w:r>
                  <w:r>
                    <w:rPr>
                      <w:rFonts w:hint="eastAsia" w:ascii="Times New Roman" w:hAnsi="Times New Roman" w:eastAsia="宋体" w:cs="Times New Roman"/>
                      <w:sz w:val="21"/>
                      <w:szCs w:val="21"/>
                      <w:lang w:val="en-US" w:eastAsia="zh-CN"/>
                    </w:rPr>
                    <w:t>处理后经1根</w:t>
                  </w:r>
                  <w:r>
                    <w:rPr>
                      <w:rFonts w:hint="eastAsia" w:cs="Times New Roman"/>
                      <w:sz w:val="21"/>
                      <w:szCs w:val="21"/>
                      <w:lang w:val="en-US" w:eastAsia="zh-CN"/>
                    </w:rPr>
                    <w:t>2</w:t>
                  </w:r>
                  <w:r>
                    <w:rPr>
                      <w:rFonts w:hint="eastAsia" w:ascii="Times New Roman" w:hAnsi="Times New Roman" w:eastAsia="宋体" w:cs="Times New Roman"/>
                      <w:sz w:val="21"/>
                      <w:szCs w:val="21"/>
                      <w:lang w:val="en-US" w:eastAsia="zh-CN"/>
                    </w:rPr>
                    <w:t>5m高排气筒排放；</w:t>
                  </w:r>
                </w:p>
                <w:p w14:paraId="370024E1">
                  <w:pPr>
                    <w:pStyle w:val="12"/>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水泥筒仓粉尘</w:t>
                  </w:r>
                  <w:r>
                    <w:rPr>
                      <w:rFonts w:hint="eastAsia" w:cs="Times New Roman"/>
                      <w:sz w:val="21"/>
                      <w:szCs w:val="21"/>
                      <w:lang w:val="en-US" w:eastAsia="zh-CN"/>
                    </w:rPr>
                    <w:t>经筒仓顶部自带布袋除尘器处理后于</w:t>
                  </w:r>
                  <w:r>
                    <w:rPr>
                      <w:rFonts w:hint="eastAsia" w:ascii="Times New Roman" w:hAnsi="Times New Roman" w:eastAsia="宋体" w:cs="Times New Roman"/>
                      <w:sz w:val="21"/>
                      <w:szCs w:val="21"/>
                      <w:lang w:val="en-US" w:eastAsia="zh-CN"/>
                    </w:rPr>
                    <w:t>厂房内无组织排放；</w:t>
                  </w:r>
                </w:p>
                <w:p w14:paraId="3FBF9035">
                  <w:pPr>
                    <w:pStyle w:val="12"/>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砂石卸料粉尘、堆场粉尘经喷雾降尘后无组织排放；</w:t>
                  </w:r>
                </w:p>
                <w:p w14:paraId="450B48B8">
                  <w:pPr>
                    <w:pStyle w:val="12"/>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絮凝剂投料粉尘于投料口设置围挡，厂房内无组织排放；</w:t>
                  </w:r>
                </w:p>
                <w:p w14:paraId="7E0C1773">
                  <w:pPr>
                    <w:pStyle w:val="12"/>
                    <w:rPr>
                      <w:rFonts w:hint="default"/>
                      <w:sz w:val="21"/>
                      <w:szCs w:val="21"/>
                      <w:lang w:val="en-US" w:eastAsia="zh-CN"/>
                    </w:rPr>
                  </w:pPr>
                  <w:r>
                    <w:rPr>
                      <w:rFonts w:hint="eastAsia" w:ascii="Times New Roman" w:hAnsi="Times New Roman" w:eastAsia="宋体" w:cs="Times New Roman"/>
                      <w:sz w:val="21"/>
                      <w:szCs w:val="21"/>
                      <w:lang w:val="en-US" w:eastAsia="zh-CN"/>
                    </w:rPr>
                    <w:t>水泥筒仓粉尘</w:t>
                  </w:r>
                  <w:r>
                    <w:rPr>
                      <w:rFonts w:hint="eastAsia" w:cs="Times New Roman"/>
                      <w:sz w:val="21"/>
                      <w:szCs w:val="21"/>
                      <w:lang w:val="en-US" w:eastAsia="zh-CN"/>
                    </w:rPr>
                    <w:t>经筒仓顶部自带布袋除尘器处理后于</w:t>
                  </w:r>
                  <w:r>
                    <w:rPr>
                      <w:rFonts w:hint="eastAsia" w:ascii="Times New Roman" w:hAnsi="Times New Roman" w:eastAsia="宋体" w:cs="Times New Roman"/>
                      <w:sz w:val="21"/>
                      <w:szCs w:val="21"/>
                      <w:lang w:val="en-US" w:eastAsia="zh-CN"/>
                    </w:rPr>
                    <w:t>厂房内无组织排放</w:t>
                  </w:r>
                  <w:r>
                    <w:rPr>
                      <w:rFonts w:hint="eastAsia" w:cs="Times New Roman"/>
                      <w:sz w:val="21"/>
                      <w:szCs w:val="21"/>
                      <w:lang w:val="en-US" w:eastAsia="zh-CN"/>
                    </w:rPr>
                    <w:t>。</w:t>
                  </w:r>
                </w:p>
              </w:tc>
              <w:tc>
                <w:tcPr>
                  <w:tcW w:w="1029" w:type="pct"/>
                  <w:vAlign w:val="center"/>
                </w:tcPr>
                <w:p w14:paraId="1707941A">
                  <w:pPr>
                    <w:pStyle w:val="12"/>
                    <w:rPr>
                      <w:rFonts w:hint="default"/>
                      <w:sz w:val="21"/>
                      <w:szCs w:val="21"/>
                      <w:lang w:val="en-US" w:eastAsia="zh-CN"/>
                    </w:rPr>
                  </w:pPr>
                  <w:r>
                    <w:rPr>
                      <w:rFonts w:hint="eastAsia" w:cs="Times New Roman"/>
                      <w:sz w:val="21"/>
                      <w:szCs w:val="21"/>
                      <w:lang w:val="en-US" w:eastAsia="zh-CN"/>
                    </w:rPr>
                    <w:t>随工艺调整，调整废气治理措施</w:t>
                  </w:r>
                </w:p>
              </w:tc>
            </w:tr>
            <w:tr w14:paraId="50073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jc w:val="center"/>
              </w:trPr>
              <w:tc>
                <w:tcPr>
                  <w:tcW w:w="389" w:type="pct"/>
                  <w:vAlign w:val="center"/>
                </w:tcPr>
                <w:p w14:paraId="6F215AB8">
                  <w:pPr>
                    <w:pStyle w:val="12"/>
                    <w:rPr>
                      <w:rFonts w:hint="default" w:cs="Times New Roman"/>
                      <w:sz w:val="21"/>
                      <w:szCs w:val="21"/>
                      <w:lang w:val="en-US" w:eastAsia="zh-CN"/>
                    </w:rPr>
                  </w:pPr>
                  <w:r>
                    <w:rPr>
                      <w:rFonts w:hint="eastAsia" w:cs="Times New Roman"/>
                      <w:sz w:val="21"/>
                      <w:szCs w:val="21"/>
                      <w:lang w:val="en-US" w:eastAsia="zh-CN"/>
                    </w:rPr>
                    <w:t>废水</w:t>
                  </w:r>
                </w:p>
              </w:tc>
              <w:tc>
                <w:tcPr>
                  <w:tcW w:w="1702" w:type="pct"/>
                  <w:vAlign w:val="center"/>
                </w:tcPr>
                <w:p w14:paraId="519F26B5">
                  <w:pPr>
                    <w:pStyle w:val="12"/>
                    <w:rPr>
                      <w:rFonts w:hint="eastAsia" w:ascii="Times New Roman" w:hAnsi="Times New Roman" w:eastAsia="宋体" w:cs="Times New Roman"/>
                      <w:sz w:val="21"/>
                      <w:szCs w:val="21"/>
                      <w:lang w:val="en-US" w:eastAsia="zh-CN"/>
                    </w:rPr>
                  </w:pPr>
                  <w:r>
                    <w:rPr>
                      <w:rFonts w:hint="eastAsia" w:cs="Times New Roman"/>
                      <w:sz w:val="21"/>
                      <w:szCs w:val="21"/>
                      <w:lang w:val="en-US" w:eastAsia="zh-CN"/>
                    </w:rPr>
                    <w:t>水基岩屑堆存区</w:t>
                  </w:r>
                  <w:r>
                    <w:rPr>
                      <w:rFonts w:hint="eastAsia" w:ascii="Times New Roman" w:hAnsi="Times New Roman" w:eastAsia="宋体" w:cs="Times New Roman"/>
                      <w:sz w:val="21"/>
                      <w:szCs w:val="21"/>
                      <w:lang w:val="en-US" w:eastAsia="zh-CN"/>
                    </w:rPr>
                    <w:t>渗滤液：随</w:t>
                  </w:r>
                  <w:r>
                    <w:rPr>
                      <w:rFonts w:hint="eastAsia" w:cs="Times New Roman"/>
                      <w:sz w:val="21"/>
                      <w:szCs w:val="21"/>
                      <w:lang w:val="en-US" w:eastAsia="zh-CN"/>
                    </w:rPr>
                    <w:t>水基岩屑</w:t>
                  </w:r>
                  <w:r>
                    <w:rPr>
                      <w:rFonts w:hint="eastAsia" w:ascii="Times New Roman" w:hAnsi="Times New Roman" w:eastAsia="宋体" w:cs="Times New Roman"/>
                      <w:sz w:val="21"/>
                      <w:szCs w:val="21"/>
                      <w:lang w:val="en-US" w:eastAsia="zh-CN"/>
                    </w:rPr>
                    <w:t>一并进入烘干系统；</w:t>
                  </w:r>
                </w:p>
                <w:p w14:paraId="4433B6BC">
                  <w:pPr>
                    <w:pStyle w:val="12"/>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生活污水：预处理后排入园区管网，送至星光污水处理厂处理；</w:t>
                  </w:r>
                </w:p>
                <w:p w14:paraId="27A36901">
                  <w:pPr>
                    <w:pStyle w:val="12"/>
                    <w:rPr>
                      <w:rFonts w:hint="default"/>
                      <w:sz w:val="21"/>
                      <w:szCs w:val="21"/>
                      <w:lang w:val="en-US" w:eastAsia="zh-CN"/>
                    </w:rPr>
                  </w:pPr>
                  <w:r>
                    <w:rPr>
                      <w:rFonts w:hint="eastAsia" w:ascii="Times New Roman" w:hAnsi="Times New Roman" w:eastAsia="宋体" w:cs="Times New Roman"/>
                      <w:sz w:val="21"/>
                      <w:szCs w:val="21"/>
                      <w:lang w:val="en-US" w:eastAsia="zh-CN"/>
                    </w:rPr>
                    <w:t>地面冲洗水、车辆清洗废水：沉淀后回用。</w:t>
                  </w:r>
                </w:p>
              </w:tc>
              <w:tc>
                <w:tcPr>
                  <w:tcW w:w="1878" w:type="pct"/>
                  <w:vAlign w:val="center"/>
                </w:tcPr>
                <w:p w14:paraId="15529F12">
                  <w:pPr>
                    <w:pStyle w:val="12"/>
                    <w:rPr>
                      <w:rFonts w:hint="default" w:ascii="Times New Roman" w:hAnsi="Times New Roman" w:eastAsia="宋体" w:cs="Times New Roman"/>
                      <w:sz w:val="21"/>
                      <w:szCs w:val="21"/>
                      <w:lang w:val="en-US" w:eastAsia="zh-CN"/>
                    </w:rPr>
                  </w:pPr>
                  <w:r>
                    <w:rPr>
                      <w:rFonts w:hint="eastAsia" w:cs="Times New Roman"/>
                      <w:sz w:val="21"/>
                      <w:szCs w:val="21"/>
                      <w:lang w:val="en-US" w:eastAsia="zh-CN"/>
                    </w:rPr>
                    <w:t>水基岩屑</w:t>
                  </w:r>
                  <w:r>
                    <w:rPr>
                      <w:rFonts w:hint="eastAsia" w:ascii="Times New Roman" w:hAnsi="Times New Roman" w:eastAsia="宋体" w:cs="Times New Roman"/>
                      <w:sz w:val="21"/>
                      <w:szCs w:val="21"/>
                      <w:lang w:val="en-US" w:eastAsia="zh-CN"/>
                    </w:rPr>
                    <w:t>压滤废水：</w:t>
                  </w:r>
                  <w:r>
                    <w:rPr>
                      <w:rFonts w:hint="eastAsia" w:cs="Times New Roman"/>
                      <w:sz w:val="21"/>
                      <w:szCs w:val="21"/>
                      <w:lang w:val="en-US" w:eastAsia="zh-CN"/>
                    </w:rPr>
                    <w:t>部分回用于生产，剩余部分委托四川洁安环境科技有限公司清运处理</w:t>
                  </w:r>
                  <w:r>
                    <w:rPr>
                      <w:rFonts w:hint="eastAsia" w:ascii="Times New Roman" w:hAnsi="Times New Roman" w:eastAsia="宋体" w:cs="Times New Roman"/>
                      <w:sz w:val="21"/>
                      <w:szCs w:val="21"/>
                      <w:lang w:val="en-US" w:eastAsia="zh-CN"/>
                    </w:rPr>
                    <w:t>；</w:t>
                  </w:r>
                </w:p>
                <w:p w14:paraId="229EE416">
                  <w:pPr>
                    <w:pStyle w:val="12"/>
                    <w:rPr>
                      <w:rFonts w:hint="eastAsia" w:ascii="Times New Roman" w:hAnsi="Times New Roman" w:eastAsia="宋体" w:cs="Times New Roman"/>
                      <w:sz w:val="21"/>
                      <w:szCs w:val="21"/>
                      <w:lang w:val="en-US" w:eastAsia="zh-CN"/>
                    </w:rPr>
                  </w:pPr>
                  <w:r>
                    <w:rPr>
                      <w:rFonts w:hint="eastAsia" w:cs="Times New Roman"/>
                      <w:sz w:val="21"/>
                      <w:szCs w:val="21"/>
                      <w:lang w:val="en-US" w:eastAsia="zh-CN"/>
                    </w:rPr>
                    <w:t>水基岩屑堆存区</w:t>
                  </w:r>
                  <w:r>
                    <w:rPr>
                      <w:rFonts w:hint="eastAsia" w:ascii="Times New Roman" w:hAnsi="Times New Roman" w:eastAsia="宋体" w:cs="Times New Roman"/>
                      <w:sz w:val="21"/>
                      <w:szCs w:val="21"/>
                      <w:lang w:val="en-US" w:eastAsia="zh-CN"/>
                    </w:rPr>
                    <w:t>渗滤液：随</w:t>
                  </w:r>
                  <w:r>
                    <w:rPr>
                      <w:rFonts w:hint="eastAsia" w:cs="Times New Roman"/>
                      <w:sz w:val="21"/>
                      <w:szCs w:val="21"/>
                      <w:lang w:val="en-US" w:eastAsia="zh-CN"/>
                    </w:rPr>
                    <w:t>水基岩屑</w:t>
                  </w:r>
                  <w:r>
                    <w:rPr>
                      <w:rFonts w:hint="eastAsia" w:ascii="Times New Roman" w:hAnsi="Times New Roman" w:eastAsia="宋体" w:cs="Times New Roman"/>
                      <w:sz w:val="21"/>
                      <w:szCs w:val="21"/>
                      <w:lang w:val="en-US" w:eastAsia="zh-CN"/>
                    </w:rPr>
                    <w:t>一并进入</w:t>
                  </w:r>
                  <w:r>
                    <w:rPr>
                      <w:rFonts w:hint="eastAsia" w:cs="Times New Roman"/>
                      <w:sz w:val="21"/>
                      <w:szCs w:val="21"/>
                      <w:lang w:val="en-US" w:eastAsia="zh-CN"/>
                    </w:rPr>
                    <w:t>煅烧</w:t>
                  </w:r>
                  <w:r>
                    <w:rPr>
                      <w:rFonts w:hint="eastAsia" w:ascii="Times New Roman" w:hAnsi="Times New Roman" w:eastAsia="宋体" w:cs="Times New Roman"/>
                      <w:sz w:val="21"/>
                      <w:szCs w:val="21"/>
                      <w:lang w:val="en-US" w:eastAsia="zh-CN"/>
                    </w:rPr>
                    <w:t>系统；</w:t>
                  </w:r>
                </w:p>
                <w:p w14:paraId="3FBAEB7C">
                  <w:pPr>
                    <w:pStyle w:val="12"/>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生活污水：预处理后送至星光污水处理厂处理；</w:t>
                  </w:r>
                </w:p>
                <w:p w14:paraId="4AB3EE62">
                  <w:pPr>
                    <w:pStyle w:val="12"/>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地面冲洗水、车辆清洗废水：排入水基岩屑储存池，后续随</w:t>
                  </w:r>
                  <w:r>
                    <w:rPr>
                      <w:rFonts w:hint="eastAsia" w:cs="Times New Roman"/>
                      <w:sz w:val="21"/>
                      <w:szCs w:val="21"/>
                      <w:lang w:val="en-US" w:eastAsia="zh-CN"/>
                    </w:rPr>
                    <w:t>水基岩屑</w:t>
                  </w:r>
                  <w:r>
                    <w:rPr>
                      <w:rFonts w:hint="eastAsia" w:ascii="Times New Roman" w:hAnsi="Times New Roman" w:eastAsia="宋体" w:cs="Times New Roman"/>
                      <w:sz w:val="21"/>
                      <w:szCs w:val="21"/>
                      <w:lang w:val="en-US" w:eastAsia="zh-CN"/>
                    </w:rPr>
                    <w:t>预处理，计入</w:t>
                  </w:r>
                  <w:r>
                    <w:rPr>
                      <w:rFonts w:hint="eastAsia" w:cs="Times New Roman"/>
                      <w:sz w:val="21"/>
                      <w:szCs w:val="21"/>
                      <w:lang w:val="en-US" w:eastAsia="zh-CN"/>
                    </w:rPr>
                    <w:t>水基岩屑</w:t>
                  </w:r>
                  <w:r>
                    <w:rPr>
                      <w:rFonts w:hint="eastAsia" w:ascii="Times New Roman" w:hAnsi="Times New Roman" w:eastAsia="宋体" w:cs="Times New Roman"/>
                      <w:sz w:val="21"/>
                      <w:szCs w:val="21"/>
                      <w:lang w:val="en-US" w:eastAsia="zh-CN"/>
                    </w:rPr>
                    <w:t>压滤废水。</w:t>
                  </w:r>
                </w:p>
              </w:tc>
              <w:tc>
                <w:tcPr>
                  <w:tcW w:w="1029" w:type="pct"/>
                  <w:vAlign w:val="center"/>
                </w:tcPr>
                <w:p w14:paraId="61F81F12">
                  <w:pPr>
                    <w:pStyle w:val="12"/>
                    <w:rPr>
                      <w:rFonts w:hint="eastAsia" w:cs="Times New Roman"/>
                      <w:sz w:val="21"/>
                      <w:szCs w:val="21"/>
                      <w:lang w:val="en-US" w:eastAsia="zh-CN"/>
                    </w:rPr>
                  </w:pPr>
                  <w:r>
                    <w:rPr>
                      <w:rFonts w:hint="eastAsia" w:cs="Times New Roman"/>
                      <w:sz w:val="21"/>
                      <w:szCs w:val="21"/>
                      <w:lang w:val="en-US" w:eastAsia="zh-CN"/>
                    </w:rPr>
                    <w:t>随工艺调整，调整废水治理措施</w:t>
                  </w:r>
                </w:p>
              </w:tc>
            </w:tr>
            <w:tr w14:paraId="7878E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jc w:val="center"/>
              </w:trPr>
              <w:tc>
                <w:tcPr>
                  <w:tcW w:w="389" w:type="pct"/>
                  <w:vAlign w:val="center"/>
                </w:tcPr>
                <w:p w14:paraId="214716D4">
                  <w:pPr>
                    <w:pStyle w:val="12"/>
                    <w:rPr>
                      <w:rFonts w:hint="default" w:cs="Times New Roman"/>
                      <w:sz w:val="21"/>
                      <w:szCs w:val="21"/>
                      <w:lang w:val="en-US" w:eastAsia="zh-CN"/>
                    </w:rPr>
                  </w:pPr>
                  <w:r>
                    <w:rPr>
                      <w:rFonts w:hint="eastAsia" w:cs="Times New Roman"/>
                      <w:sz w:val="21"/>
                      <w:szCs w:val="21"/>
                      <w:lang w:val="en-US" w:eastAsia="zh-CN"/>
                    </w:rPr>
                    <w:t>固废</w:t>
                  </w:r>
                </w:p>
              </w:tc>
              <w:tc>
                <w:tcPr>
                  <w:tcW w:w="1702" w:type="pct"/>
                  <w:vAlign w:val="center"/>
                </w:tcPr>
                <w:p w14:paraId="2F14A6C0">
                  <w:pPr>
                    <w:pStyle w:val="12"/>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生活垃圾由环卫处置；不合格品返回搅拌阶段重新利用；废模具由厂界回收更换；布袋除尘器集尘作为原料利用；废布袋由废品回收站处置。</w:t>
                  </w:r>
                </w:p>
                <w:p w14:paraId="40B9BBA3">
                  <w:pPr>
                    <w:pStyle w:val="12"/>
                    <w:rPr>
                      <w:rFonts w:hint="default"/>
                      <w:sz w:val="21"/>
                      <w:szCs w:val="21"/>
                      <w:lang w:val="en-US" w:eastAsia="zh-CN"/>
                    </w:rPr>
                  </w:pPr>
                  <w:r>
                    <w:rPr>
                      <w:rFonts w:hint="eastAsia" w:ascii="Times New Roman" w:hAnsi="Times New Roman" w:eastAsia="宋体" w:cs="Times New Roman"/>
                      <w:sz w:val="21"/>
                      <w:szCs w:val="21"/>
                      <w:lang w:val="en-US" w:eastAsia="zh-CN"/>
                    </w:rPr>
                    <w:t>废液压油由厂家更换带走；废机油、废机油桶、沾油废</w:t>
                  </w:r>
                  <w:r>
                    <w:rPr>
                      <w:rFonts w:hint="eastAsia" w:cs="Times New Roman"/>
                      <w:sz w:val="21"/>
                      <w:szCs w:val="21"/>
                      <w:lang w:val="en-US" w:eastAsia="zh-CN"/>
                    </w:rPr>
                    <w:t>物在</w:t>
                  </w:r>
                  <w:r>
                    <w:rPr>
                      <w:rFonts w:hint="eastAsia" w:ascii="Times New Roman" w:hAnsi="Times New Roman" w:eastAsia="宋体" w:cs="Times New Roman"/>
                      <w:sz w:val="21"/>
                      <w:szCs w:val="21"/>
                      <w:lang w:val="en-US" w:eastAsia="zh-CN"/>
                    </w:rPr>
                    <w:t>危废暂存间内暂存，委托资质单位清运处置。</w:t>
                  </w:r>
                </w:p>
              </w:tc>
              <w:tc>
                <w:tcPr>
                  <w:tcW w:w="1878" w:type="pct"/>
                  <w:vAlign w:val="center"/>
                </w:tcPr>
                <w:p w14:paraId="0E6879BA">
                  <w:pPr>
                    <w:pStyle w:val="12"/>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生活垃圾由环卫处置；制砖阶段不合格品返回搅拌阶段重新利用；废模具由厂界回收更换；布袋除尘器</w:t>
                  </w:r>
                  <w:r>
                    <w:rPr>
                      <w:rFonts w:hint="eastAsia" w:cs="Times New Roman"/>
                      <w:sz w:val="21"/>
                      <w:szCs w:val="21"/>
                      <w:lang w:val="en-US" w:eastAsia="zh-CN"/>
                    </w:rPr>
                    <w:t>及旋风除尘器</w:t>
                  </w:r>
                  <w:r>
                    <w:rPr>
                      <w:rFonts w:hint="eastAsia" w:ascii="Times New Roman" w:hAnsi="Times New Roman" w:eastAsia="宋体" w:cs="Times New Roman"/>
                      <w:sz w:val="21"/>
                      <w:szCs w:val="21"/>
                      <w:lang w:val="en-US" w:eastAsia="zh-CN"/>
                    </w:rPr>
                    <w:t>集尘作为原料利用；废布袋由废品回收站处置；</w:t>
                  </w:r>
                  <w:r>
                    <w:rPr>
                      <w:sz w:val="21"/>
                      <w:szCs w:val="21"/>
                    </w:rPr>
                    <w:t>脱硫渣</w:t>
                  </w:r>
                  <w:r>
                    <w:rPr>
                      <w:rFonts w:hint="eastAsia"/>
                      <w:sz w:val="21"/>
                      <w:szCs w:val="21"/>
                      <w:lang w:val="en-US" w:eastAsia="zh-CN"/>
                    </w:rPr>
                    <w:t>外售相关建材企业综合利用；氟化钙污泥外售水泥厂制水泥；废包装厂家回收/外售废品站</w:t>
                  </w:r>
                  <w:r>
                    <w:rPr>
                      <w:rFonts w:hint="eastAsia" w:ascii="Times New Roman" w:hAnsi="Times New Roman" w:eastAsia="宋体" w:cs="Times New Roman"/>
                      <w:sz w:val="21"/>
                      <w:szCs w:val="21"/>
                      <w:lang w:val="en-US" w:eastAsia="zh-CN"/>
                    </w:rPr>
                    <w:t>。</w:t>
                  </w:r>
                </w:p>
                <w:p w14:paraId="544B01C1">
                  <w:pPr>
                    <w:pStyle w:val="12"/>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废液压油由厂家更换带走</w:t>
                  </w:r>
                  <w:r>
                    <w:rPr>
                      <w:rFonts w:hint="eastAsia" w:cs="Times New Roman"/>
                      <w:sz w:val="21"/>
                      <w:szCs w:val="21"/>
                      <w:lang w:val="en-US" w:eastAsia="zh-CN"/>
                    </w:rPr>
                    <w:t>，不在厂内暂存</w:t>
                  </w:r>
                  <w:r>
                    <w:rPr>
                      <w:rFonts w:hint="eastAsia" w:ascii="Times New Roman" w:hAnsi="Times New Roman" w:eastAsia="宋体" w:cs="Times New Roman"/>
                      <w:sz w:val="21"/>
                      <w:szCs w:val="21"/>
                      <w:lang w:val="en-US" w:eastAsia="zh-CN"/>
                    </w:rPr>
                    <w:t>；</w:t>
                  </w:r>
                  <w:r>
                    <w:rPr>
                      <w:rFonts w:hint="eastAsia" w:cs="Times New Roman"/>
                      <w:sz w:val="21"/>
                      <w:szCs w:val="21"/>
                      <w:lang w:val="en-US" w:eastAsia="zh-CN"/>
                    </w:rPr>
                    <w:t>废活性炭、</w:t>
                  </w:r>
                  <w:r>
                    <w:rPr>
                      <w:rFonts w:hint="eastAsia" w:ascii="Times New Roman" w:hAnsi="Times New Roman" w:eastAsia="宋体" w:cs="Times New Roman"/>
                      <w:sz w:val="21"/>
                      <w:szCs w:val="21"/>
                      <w:lang w:val="en-US" w:eastAsia="zh-CN"/>
                    </w:rPr>
                    <w:t>废机油、废机油桶、沾油废</w:t>
                  </w:r>
                  <w:r>
                    <w:rPr>
                      <w:rFonts w:hint="eastAsia" w:cs="Times New Roman"/>
                      <w:sz w:val="21"/>
                      <w:szCs w:val="21"/>
                      <w:lang w:val="en-US" w:eastAsia="zh-CN"/>
                    </w:rPr>
                    <w:t>物在</w:t>
                  </w:r>
                  <w:r>
                    <w:rPr>
                      <w:rFonts w:hint="eastAsia" w:ascii="Times New Roman" w:hAnsi="Times New Roman" w:eastAsia="宋体" w:cs="Times New Roman"/>
                      <w:sz w:val="21"/>
                      <w:szCs w:val="21"/>
                      <w:lang w:val="en-US" w:eastAsia="zh-CN"/>
                    </w:rPr>
                    <w:t>危废暂存间内</w:t>
                  </w:r>
                  <w:r>
                    <w:rPr>
                      <w:rFonts w:hint="eastAsia" w:cs="Times New Roman"/>
                      <w:sz w:val="21"/>
                      <w:szCs w:val="21"/>
                      <w:lang w:val="en-US" w:eastAsia="zh-CN"/>
                    </w:rPr>
                    <w:t>分类分区</w:t>
                  </w:r>
                  <w:r>
                    <w:rPr>
                      <w:rFonts w:hint="eastAsia" w:ascii="Times New Roman" w:hAnsi="Times New Roman" w:eastAsia="宋体" w:cs="Times New Roman"/>
                      <w:sz w:val="21"/>
                      <w:szCs w:val="21"/>
                      <w:lang w:val="en-US" w:eastAsia="zh-CN"/>
                    </w:rPr>
                    <w:t>暂存，委托资质单位清运处置。</w:t>
                  </w:r>
                </w:p>
              </w:tc>
              <w:tc>
                <w:tcPr>
                  <w:tcW w:w="1029" w:type="pct"/>
                  <w:vAlign w:val="center"/>
                </w:tcPr>
                <w:p w14:paraId="59715621">
                  <w:pPr>
                    <w:pStyle w:val="12"/>
                    <w:rPr>
                      <w:rFonts w:hint="default" w:cs="Times New Roman"/>
                      <w:sz w:val="21"/>
                      <w:szCs w:val="21"/>
                      <w:lang w:val="en-US" w:eastAsia="zh-CN"/>
                    </w:rPr>
                  </w:pPr>
                  <w:r>
                    <w:rPr>
                      <w:rFonts w:hint="eastAsia" w:ascii="Times New Roman" w:hAnsi="Times New Roman" w:eastAsia="宋体" w:cs="Times New Roman"/>
                      <w:sz w:val="21"/>
                      <w:szCs w:val="21"/>
                      <w:lang w:val="en-US" w:eastAsia="zh-CN"/>
                    </w:rPr>
                    <w:t>随</w:t>
                  </w:r>
                  <w:r>
                    <w:rPr>
                      <w:rFonts w:hint="eastAsia" w:cs="Times New Roman"/>
                      <w:sz w:val="21"/>
                      <w:szCs w:val="21"/>
                      <w:lang w:val="en-US" w:eastAsia="zh-CN"/>
                    </w:rPr>
                    <w:t>生产工艺及废水治理措施调整</w:t>
                  </w:r>
                </w:p>
              </w:tc>
            </w:tr>
          </w:tbl>
          <w:p w14:paraId="654B812D">
            <w:pPr>
              <w:adjustRightInd w:val="0"/>
              <w:spacing w:line="360" w:lineRule="auto"/>
              <w:ind w:firstLine="480" w:firstLineChars="200"/>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szCs w:val="24"/>
                <w:lang w:eastAsia="zh-CN"/>
              </w:rPr>
              <w:t>根据《环境影响评价法》</w:t>
            </w:r>
            <w:r>
              <w:rPr>
                <w:rFonts w:hint="eastAsia"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lang w:eastAsia="zh-CN"/>
              </w:rPr>
              <w:t>《建设项目环境保护管理条例》</w:t>
            </w:r>
            <w:r>
              <w:rPr>
                <w:rFonts w:hint="eastAsia" w:ascii="Times New Roman" w:hAnsi="Times New Roman" w:eastAsia="宋体" w:cs="Times New Roman"/>
                <w:color w:val="auto"/>
                <w:sz w:val="24"/>
                <w:szCs w:val="24"/>
                <w:lang w:val="en-US" w:eastAsia="zh-CN"/>
              </w:rPr>
              <w:t>和</w:t>
            </w:r>
            <w:r>
              <w:rPr>
                <w:rFonts w:hint="default" w:ascii="Times New Roman" w:hAnsi="Times New Roman" w:eastAsia="宋体" w:cs="Times New Roman"/>
                <w:color w:val="auto"/>
                <w:sz w:val="24"/>
                <w:szCs w:val="24"/>
                <w:lang w:eastAsia="zh-CN"/>
              </w:rPr>
              <w:t>《污染影响类建设项目重大变动清单（试行）》（环办环评函〔2020〕688号）有关规定</w:t>
            </w:r>
            <w:r>
              <w:rPr>
                <w:rFonts w:hint="eastAsia" w:eastAsia="宋体" w:cs="Times New Roman"/>
                <w:color w:val="auto"/>
                <w:sz w:val="24"/>
                <w:szCs w:val="24"/>
                <w:lang w:eastAsia="zh-CN"/>
              </w:rPr>
              <w:t>，建设项目的性质、规模、地点、生产工艺和环境保护措施五个因素中的一项或一项以上发生重大变动，且可能导致环境影响显著变化（特别是不利环境影响加重）的，界定为重大变动。</w:t>
            </w:r>
            <w:r>
              <w:rPr>
                <w:rFonts w:hint="eastAsia" w:eastAsia="宋体" w:cs="Times New Roman"/>
                <w:color w:val="auto"/>
                <w:sz w:val="24"/>
                <w:szCs w:val="24"/>
                <w:lang w:val="en-US" w:eastAsia="zh-CN"/>
              </w:rPr>
              <w:t>确定项目变动性质如下：</w:t>
            </w:r>
          </w:p>
          <w:p w14:paraId="54C41F9A">
            <w:pPr>
              <w:keepNext w:val="0"/>
              <w:keepLines w:val="0"/>
              <w:pageBreakBefore w:val="0"/>
              <w:widowControl/>
              <w:kinsoku/>
              <w:wordWrap/>
              <w:overflowPunct/>
              <w:topLinePunct w:val="0"/>
              <w:autoSpaceDE/>
              <w:autoSpaceDN/>
              <w:bidi w:val="0"/>
              <w:adjustRightInd w:val="0"/>
              <w:snapToGrid w:val="0"/>
              <w:spacing w:line="240" w:lineRule="auto"/>
              <w:ind w:firstLine="422" w:firstLineChars="200"/>
              <w:jc w:val="center"/>
              <w:textAlignment w:val="auto"/>
              <w:rPr>
                <w:rFonts w:hint="default" w:ascii="Times New Roman" w:hAnsi="Times New Roman" w:cs="Times New Roman"/>
                <w:b/>
                <w:bCs/>
                <w:color w:val="auto"/>
                <w:kern w:val="0"/>
                <w:sz w:val="21"/>
                <w:szCs w:val="21"/>
                <w:lang w:val="en-US" w:eastAsia="zh-CN"/>
              </w:rPr>
            </w:pPr>
            <w:r>
              <w:rPr>
                <w:rFonts w:hint="eastAsia" w:ascii="Times New Roman" w:hAnsi="Times New Roman" w:cs="Times New Roman"/>
                <w:b/>
                <w:bCs/>
                <w:color w:val="auto"/>
                <w:kern w:val="0"/>
                <w:sz w:val="21"/>
                <w:szCs w:val="21"/>
                <w:lang w:val="en-US" w:eastAsia="zh-CN"/>
              </w:rPr>
              <w:t>表2-2  建设项目变动情况对照表</w:t>
            </w:r>
          </w:p>
          <w:tbl>
            <w:tblPr>
              <w:tblStyle w:val="27"/>
              <w:tblW w:w="4995" w:type="pct"/>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3" w:type="dxa"/>
                <w:bottom w:w="0" w:type="dxa"/>
                <w:right w:w="23" w:type="dxa"/>
              </w:tblCellMar>
            </w:tblPr>
            <w:tblGrid>
              <w:gridCol w:w="707"/>
              <w:gridCol w:w="2507"/>
              <w:gridCol w:w="1970"/>
              <w:gridCol w:w="2260"/>
              <w:gridCol w:w="1012"/>
              <w:gridCol w:w="824"/>
            </w:tblGrid>
            <w:tr w14:paraId="2028E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trPr>
              <w:tc>
                <w:tcPr>
                  <w:tcW w:w="381" w:type="pct"/>
                  <w:tcBorders>
                    <w:tl2br w:val="nil"/>
                    <w:tr2bl w:val="nil"/>
                  </w:tcBorders>
                  <w:noWrap w:val="0"/>
                  <w:vAlign w:val="center"/>
                </w:tcPr>
                <w:p w14:paraId="4529B017">
                  <w:pPr>
                    <w:pStyle w:val="45"/>
                    <w:bidi w:val="0"/>
                    <w:rPr>
                      <w:rFonts w:hint="default"/>
                      <w:lang w:val="en-US" w:eastAsia="zh-CN"/>
                    </w:rPr>
                  </w:pPr>
                  <w:r>
                    <w:rPr>
                      <w:rFonts w:hint="eastAsia"/>
                      <w:lang w:val="en-US" w:eastAsia="zh-CN"/>
                    </w:rPr>
                    <w:t>类别</w:t>
                  </w:r>
                </w:p>
              </w:tc>
              <w:tc>
                <w:tcPr>
                  <w:tcW w:w="1350" w:type="pct"/>
                  <w:tcBorders>
                    <w:tl2br w:val="nil"/>
                    <w:tr2bl w:val="nil"/>
                  </w:tcBorders>
                  <w:noWrap w:val="0"/>
                  <w:vAlign w:val="center"/>
                </w:tcPr>
                <w:p w14:paraId="7BF48B9C">
                  <w:pPr>
                    <w:pStyle w:val="45"/>
                    <w:bidi w:val="0"/>
                    <w:rPr>
                      <w:rFonts w:hint="default"/>
                      <w:lang w:val="en-US" w:eastAsia="zh-CN"/>
                    </w:rPr>
                  </w:pPr>
                  <w:r>
                    <w:rPr>
                      <w:rFonts w:hint="eastAsia"/>
                      <w:lang w:val="en-US" w:eastAsia="zh-CN"/>
                    </w:rPr>
                    <w:t>属于重大变动情况</w:t>
                  </w:r>
                </w:p>
              </w:tc>
              <w:tc>
                <w:tcPr>
                  <w:tcW w:w="1061" w:type="pct"/>
                  <w:tcBorders>
                    <w:tl2br w:val="nil"/>
                    <w:tr2bl w:val="nil"/>
                  </w:tcBorders>
                  <w:noWrap w:val="0"/>
                  <w:vAlign w:val="center"/>
                </w:tcPr>
                <w:p w14:paraId="3FAD4CC9">
                  <w:pPr>
                    <w:pStyle w:val="45"/>
                    <w:bidi w:val="0"/>
                    <w:rPr>
                      <w:rFonts w:hint="default"/>
                      <w:lang w:val="en-US" w:eastAsia="zh-CN"/>
                    </w:rPr>
                  </w:pPr>
                  <w:r>
                    <w:rPr>
                      <w:rFonts w:hint="eastAsia"/>
                      <w:lang w:val="en-US" w:eastAsia="zh-CN"/>
                    </w:rPr>
                    <w:t>变更前</w:t>
                  </w:r>
                </w:p>
              </w:tc>
              <w:tc>
                <w:tcPr>
                  <w:tcW w:w="1217" w:type="pct"/>
                  <w:tcBorders>
                    <w:tl2br w:val="nil"/>
                    <w:tr2bl w:val="nil"/>
                  </w:tcBorders>
                  <w:noWrap w:val="0"/>
                  <w:vAlign w:val="center"/>
                </w:tcPr>
                <w:p w14:paraId="4CDB3F62">
                  <w:pPr>
                    <w:pStyle w:val="45"/>
                    <w:bidi w:val="0"/>
                    <w:rPr>
                      <w:rFonts w:hint="eastAsia"/>
                      <w:lang w:val="en-US" w:eastAsia="zh-CN"/>
                    </w:rPr>
                  </w:pPr>
                  <w:r>
                    <w:rPr>
                      <w:rFonts w:hint="eastAsia"/>
                      <w:lang w:val="en-US" w:eastAsia="zh-CN"/>
                    </w:rPr>
                    <w:t>变更后</w:t>
                  </w:r>
                </w:p>
              </w:tc>
              <w:tc>
                <w:tcPr>
                  <w:tcW w:w="545" w:type="pct"/>
                  <w:tcBorders>
                    <w:tl2br w:val="nil"/>
                    <w:tr2bl w:val="nil"/>
                  </w:tcBorders>
                  <w:noWrap w:val="0"/>
                  <w:vAlign w:val="center"/>
                </w:tcPr>
                <w:p w14:paraId="7B5F61B5">
                  <w:pPr>
                    <w:pStyle w:val="45"/>
                    <w:bidi w:val="0"/>
                    <w:rPr>
                      <w:rFonts w:hint="default"/>
                      <w:lang w:val="en-US" w:eastAsia="zh-CN"/>
                    </w:rPr>
                  </w:pPr>
                  <w:r>
                    <w:rPr>
                      <w:rFonts w:hint="eastAsia"/>
                      <w:lang w:val="en-US" w:eastAsia="zh-CN"/>
                    </w:rPr>
                    <w:t>变动情况</w:t>
                  </w:r>
                </w:p>
              </w:tc>
              <w:tc>
                <w:tcPr>
                  <w:tcW w:w="444" w:type="pct"/>
                  <w:tcBorders>
                    <w:tl2br w:val="nil"/>
                    <w:tr2bl w:val="nil"/>
                  </w:tcBorders>
                  <w:noWrap w:val="0"/>
                  <w:vAlign w:val="center"/>
                </w:tcPr>
                <w:p w14:paraId="0AE23A6C">
                  <w:pPr>
                    <w:pStyle w:val="45"/>
                    <w:bidi w:val="0"/>
                    <w:rPr>
                      <w:rFonts w:hint="default"/>
                      <w:lang w:val="en-US" w:eastAsia="zh-CN"/>
                    </w:rPr>
                  </w:pPr>
                  <w:r>
                    <w:rPr>
                      <w:rFonts w:hint="eastAsia"/>
                      <w:lang w:val="en-US" w:eastAsia="zh-CN"/>
                    </w:rPr>
                    <w:t>是否属于重大变动</w:t>
                  </w:r>
                </w:p>
              </w:tc>
            </w:tr>
            <w:tr w14:paraId="1A60C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trPr>
              <w:tc>
                <w:tcPr>
                  <w:tcW w:w="381" w:type="pct"/>
                  <w:tcBorders>
                    <w:tl2br w:val="nil"/>
                    <w:tr2bl w:val="nil"/>
                  </w:tcBorders>
                  <w:noWrap w:val="0"/>
                  <w:vAlign w:val="center"/>
                </w:tcPr>
                <w:p w14:paraId="53A013D7">
                  <w:pPr>
                    <w:pStyle w:val="12"/>
                    <w:bidi w:val="0"/>
                    <w:rPr>
                      <w:rFonts w:hint="default"/>
                      <w:lang w:val="en-US" w:eastAsia="zh-CN"/>
                    </w:rPr>
                  </w:pPr>
                  <w:r>
                    <w:rPr>
                      <w:rFonts w:hint="eastAsia"/>
                      <w:lang w:val="en-US" w:eastAsia="zh-CN"/>
                    </w:rPr>
                    <w:t>性质</w:t>
                  </w:r>
                </w:p>
              </w:tc>
              <w:tc>
                <w:tcPr>
                  <w:tcW w:w="1350" w:type="pct"/>
                  <w:tcBorders>
                    <w:tl2br w:val="nil"/>
                    <w:tr2bl w:val="nil"/>
                  </w:tcBorders>
                  <w:noWrap w:val="0"/>
                  <w:vAlign w:val="center"/>
                </w:tcPr>
                <w:p w14:paraId="13AFEBAC">
                  <w:pPr>
                    <w:pStyle w:val="12"/>
                    <w:bidi w:val="0"/>
                    <w:rPr>
                      <w:rFonts w:hint="default"/>
                      <w:lang w:val="en-US" w:eastAsia="zh-CN"/>
                    </w:rPr>
                  </w:pPr>
                  <w:r>
                    <w:rPr>
                      <w:rFonts w:hint="eastAsia"/>
                      <w:lang w:val="en-US" w:eastAsia="zh-CN"/>
                    </w:rPr>
                    <w:t>1、</w:t>
                  </w:r>
                  <w:r>
                    <w:rPr>
                      <w:rFonts w:hint="default"/>
                      <w:lang w:val="en-US" w:eastAsia="zh-CN"/>
                    </w:rPr>
                    <w:t>建设项目开发、使用功能发生变化的</w:t>
                  </w:r>
                </w:p>
              </w:tc>
              <w:tc>
                <w:tcPr>
                  <w:tcW w:w="1061" w:type="pct"/>
                  <w:tcBorders>
                    <w:tl2br w:val="nil"/>
                    <w:tr2bl w:val="nil"/>
                  </w:tcBorders>
                  <w:noWrap w:val="0"/>
                  <w:vAlign w:val="center"/>
                </w:tcPr>
                <w:p w14:paraId="546260B9">
                  <w:pPr>
                    <w:pStyle w:val="12"/>
                    <w:bidi w:val="0"/>
                    <w:rPr>
                      <w:rFonts w:hint="default"/>
                      <w:lang w:val="en-US" w:eastAsia="zh-CN"/>
                    </w:rPr>
                  </w:pPr>
                  <w:r>
                    <w:rPr>
                      <w:rFonts w:hint="eastAsia"/>
                      <w:lang w:val="en-US" w:eastAsia="zh-CN"/>
                    </w:rPr>
                    <w:t>水基岩屑</w:t>
                  </w:r>
                  <w:r>
                    <w:rPr>
                      <w:rFonts w:hint="eastAsia" w:ascii="Times New Roman" w:hAnsi="Times New Roman" w:eastAsia="宋体"/>
                      <w:lang w:val="en-US" w:eastAsia="zh-CN"/>
                    </w:rPr>
                    <w:t>综合利用</w:t>
                  </w:r>
                </w:p>
              </w:tc>
              <w:tc>
                <w:tcPr>
                  <w:tcW w:w="1217" w:type="pct"/>
                  <w:tcBorders>
                    <w:tl2br w:val="nil"/>
                    <w:tr2bl w:val="nil"/>
                  </w:tcBorders>
                  <w:noWrap w:val="0"/>
                  <w:vAlign w:val="center"/>
                </w:tcPr>
                <w:p w14:paraId="6DD0358F">
                  <w:pPr>
                    <w:pStyle w:val="12"/>
                    <w:bidi w:val="0"/>
                    <w:rPr>
                      <w:rFonts w:hint="default"/>
                      <w:lang w:val="en-US" w:eastAsia="zh-CN"/>
                    </w:rPr>
                  </w:pPr>
                  <w:r>
                    <w:rPr>
                      <w:rFonts w:hint="eastAsia"/>
                      <w:lang w:val="en-US" w:eastAsia="zh-CN"/>
                    </w:rPr>
                    <w:t>水基岩屑和热脱附干渣综合利用</w:t>
                  </w:r>
                </w:p>
              </w:tc>
              <w:tc>
                <w:tcPr>
                  <w:tcW w:w="545" w:type="pct"/>
                  <w:tcBorders>
                    <w:tl2br w:val="nil"/>
                    <w:tr2bl w:val="nil"/>
                  </w:tcBorders>
                  <w:noWrap w:val="0"/>
                  <w:vAlign w:val="center"/>
                </w:tcPr>
                <w:p w14:paraId="6A40E64D">
                  <w:pPr>
                    <w:pStyle w:val="12"/>
                    <w:bidi w:val="0"/>
                    <w:rPr>
                      <w:rFonts w:hint="default"/>
                      <w:lang w:val="en-US" w:eastAsia="zh-CN"/>
                    </w:rPr>
                  </w:pPr>
                  <w:r>
                    <w:rPr>
                      <w:rFonts w:hint="eastAsia"/>
                      <w:lang w:val="en-US" w:eastAsia="zh-CN"/>
                    </w:rPr>
                    <w:t>无变动</w:t>
                  </w:r>
                </w:p>
              </w:tc>
              <w:tc>
                <w:tcPr>
                  <w:tcW w:w="444" w:type="pct"/>
                  <w:tcBorders>
                    <w:tl2br w:val="nil"/>
                    <w:tr2bl w:val="nil"/>
                  </w:tcBorders>
                  <w:noWrap w:val="0"/>
                  <w:vAlign w:val="center"/>
                </w:tcPr>
                <w:p w14:paraId="1DC768E0">
                  <w:pPr>
                    <w:pStyle w:val="12"/>
                    <w:bidi w:val="0"/>
                    <w:rPr>
                      <w:rFonts w:hint="default"/>
                      <w:lang w:val="en-US" w:eastAsia="zh-CN"/>
                    </w:rPr>
                  </w:pPr>
                  <w:r>
                    <w:rPr>
                      <w:rFonts w:hint="eastAsia"/>
                      <w:lang w:val="en-US" w:eastAsia="zh-CN"/>
                    </w:rPr>
                    <w:t>否</w:t>
                  </w:r>
                </w:p>
              </w:tc>
            </w:tr>
            <w:tr w14:paraId="763C9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trPr>
              <w:tc>
                <w:tcPr>
                  <w:tcW w:w="381" w:type="pct"/>
                  <w:vMerge w:val="restart"/>
                  <w:tcBorders>
                    <w:tl2br w:val="nil"/>
                    <w:tr2bl w:val="nil"/>
                  </w:tcBorders>
                  <w:noWrap w:val="0"/>
                  <w:vAlign w:val="center"/>
                </w:tcPr>
                <w:p w14:paraId="16F2EC5D">
                  <w:pPr>
                    <w:pStyle w:val="12"/>
                    <w:bidi w:val="0"/>
                    <w:rPr>
                      <w:rFonts w:hint="default"/>
                      <w:lang w:val="en-US" w:eastAsia="zh-CN"/>
                    </w:rPr>
                  </w:pPr>
                  <w:r>
                    <w:rPr>
                      <w:rFonts w:hint="default"/>
                      <w:lang w:val="en-US" w:eastAsia="zh-CN"/>
                    </w:rPr>
                    <w:t>规模</w:t>
                  </w:r>
                </w:p>
              </w:tc>
              <w:tc>
                <w:tcPr>
                  <w:tcW w:w="1350" w:type="pct"/>
                  <w:tcBorders>
                    <w:tl2br w:val="nil"/>
                    <w:tr2bl w:val="nil"/>
                  </w:tcBorders>
                  <w:noWrap w:val="0"/>
                  <w:vAlign w:val="center"/>
                </w:tcPr>
                <w:p w14:paraId="282C4CF9">
                  <w:pPr>
                    <w:pStyle w:val="12"/>
                    <w:bidi w:val="0"/>
                    <w:rPr>
                      <w:rFonts w:hint="default"/>
                      <w:lang w:val="en-US" w:eastAsia="zh-CN"/>
                    </w:rPr>
                  </w:pPr>
                  <w:r>
                    <w:rPr>
                      <w:rFonts w:hint="eastAsia"/>
                      <w:lang w:val="en-US" w:eastAsia="zh-CN"/>
                    </w:rPr>
                    <w:t>2、</w:t>
                  </w:r>
                  <w:r>
                    <w:rPr>
                      <w:rFonts w:hint="default"/>
                      <w:lang w:val="en-US" w:eastAsia="zh-CN"/>
                    </w:rPr>
                    <w:t>生产、处置或储存能力增大30%及以上的</w:t>
                  </w:r>
                  <w:r>
                    <w:rPr>
                      <w:rFonts w:hint="eastAsia"/>
                      <w:lang w:val="en-US" w:eastAsia="zh-CN"/>
                    </w:rPr>
                    <w:t>。</w:t>
                  </w:r>
                </w:p>
              </w:tc>
              <w:tc>
                <w:tcPr>
                  <w:tcW w:w="1061" w:type="pct"/>
                  <w:tcBorders>
                    <w:tl2br w:val="nil"/>
                    <w:tr2bl w:val="nil"/>
                  </w:tcBorders>
                  <w:noWrap w:val="0"/>
                  <w:vAlign w:val="center"/>
                </w:tcPr>
                <w:p w14:paraId="4F3B6F56">
                  <w:pPr>
                    <w:pStyle w:val="12"/>
                    <w:bidi w:val="0"/>
                    <w:rPr>
                      <w:rFonts w:hint="default"/>
                      <w:lang w:val="en-US" w:eastAsia="zh-CN"/>
                    </w:rPr>
                  </w:pPr>
                  <w:r>
                    <w:rPr>
                      <w:rFonts w:hint="eastAsia" w:ascii="Times New Roman" w:hAnsi="Times New Roman" w:eastAsia="宋体" w:cs="Times New Roman"/>
                      <w:lang w:val="en-US" w:eastAsia="zh-CN"/>
                    </w:rPr>
                    <w:t>综合利用水基岩屑</w:t>
                  </w:r>
                  <w:r>
                    <w:rPr>
                      <w:rFonts w:hint="default" w:ascii="Times New Roman" w:hAnsi="Times New Roman" w:eastAsia="宋体" w:cs="Times New Roman"/>
                      <w:lang w:val="en-US" w:eastAsia="zh-CN"/>
                    </w:rPr>
                    <w:t>30</w:t>
                  </w:r>
                  <w:r>
                    <w:rPr>
                      <w:rFonts w:hint="eastAsia" w:ascii="Times New Roman" w:hAnsi="Times New Roman" w:eastAsia="宋体" w:cs="Times New Roman"/>
                      <w:lang w:val="en-US" w:eastAsia="zh-CN"/>
                    </w:rPr>
                    <w:t>万</w:t>
                  </w:r>
                  <w:r>
                    <w:rPr>
                      <w:rFonts w:hint="default" w:ascii="Times New Roman" w:hAnsi="Times New Roman" w:eastAsia="宋体" w:cs="Times New Roman"/>
                      <w:lang w:val="en-US" w:eastAsia="zh-CN"/>
                    </w:rPr>
                    <w:t>t/a</w:t>
                  </w:r>
                  <w:r>
                    <w:rPr>
                      <w:rFonts w:hint="eastAsia" w:ascii="Times New Roman" w:hAnsi="Times New Roman" w:eastAsia="宋体" w:cs="Times New Roman"/>
                      <w:lang w:val="en-US" w:eastAsia="zh-CN"/>
                    </w:rPr>
                    <w:t>，年产</w:t>
                  </w:r>
                  <w:r>
                    <w:rPr>
                      <w:rFonts w:hint="eastAsia" w:cs="Times New Roman"/>
                      <w:lang w:val="en-US" w:eastAsia="zh-CN"/>
                    </w:rPr>
                    <w:t>水稳层骨料</w:t>
                  </w:r>
                  <w:r>
                    <w:rPr>
                      <w:rFonts w:hint="eastAsia" w:ascii="Times New Roman" w:hAnsi="Times New Roman" w:eastAsia="宋体" w:cs="Times New Roman"/>
                      <w:lang w:val="en-US" w:eastAsia="zh-CN"/>
                    </w:rPr>
                    <w:t>约</w:t>
                  </w:r>
                  <w:r>
                    <w:rPr>
                      <w:rFonts w:hint="default" w:ascii="Times New Roman" w:hAnsi="Times New Roman" w:eastAsia="宋体" w:cs="Times New Roman"/>
                      <w:lang w:val="en-US" w:eastAsia="zh-CN"/>
                    </w:rPr>
                    <w:t>22</w:t>
                  </w:r>
                  <w:r>
                    <w:rPr>
                      <w:rFonts w:hint="eastAsia" w:ascii="Times New Roman" w:hAnsi="Times New Roman" w:eastAsia="宋体" w:cs="Times New Roman"/>
                      <w:lang w:val="en-US" w:eastAsia="zh-CN"/>
                    </w:rPr>
                    <w:t>万</w:t>
                  </w:r>
                  <w:r>
                    <w:rPr>
                      <w:rFonts w:hint="default" w:ascii="Times New Roman" w:hAnsi="Times New Roman" w:eastAsia="宋体" w:cs="Times New Roman"/>
                      <w:lang w:val="en-US" w:eastAsia="zh-CN"/>
                    </w:rPr>
                    <w:t>t</w:t>
                  </w:r>
                  <w:r>
                    <w:rPr>
                      <w:rFonts w:hint="eastAsia" w:ascii="Times New Roman" w:hAnsi="Times New Roman" w:eastAsia="宋体" w:cs="Times New Roman"/>
                      <w:lang w:val="en-US" w:eastAsia="zh-CN"/>
                    </w:rPr>
                    <w:t>，年产免烧建筑基材约</w:t>
                  </w:r>
                  <w:r>
                    <w:rPr>
                      <w:rFonts w:hint="default" w:ascii="Times New Roman" w:hAnsi="Times New Roman" w:eastAsia="宋体" w:cs="Times New Roman"/>
                      <w:lang w:val="en-US" w:eastAsia="zh-CN"/>
                    </w:rPr>
                    <w:t>27606.9278t</w:t>
                  </w:r>
                  <w:r>
                    <w:rPr>
                      <w:rFonts w:hint="eastAsia" w:ascii="Times New Roman" w:hAnsi="Times New Roman" w:eastAsia="宋体" w:cs="Times New Roman"/>
                      <w:lang w:val="en-US" w:eastAsia="zh-CN"/>
                    </w:rPr>
                    <w:t>，年产水泥掺和料约</w:t>
                  </w:r>
                  <w:r>
                    <w:rPr>
                      <w:rFonts w:hint="default" w:ascii="Times New Roman" w:hAnsi="Times New Roman" w:eastAsia="宋体" w:cs="Times New Roman"/>
                      <w:lang w:val="en-US" w:eastAsia="zh-CN"/>
                    </w:rPr>
                    <w:t>26762.3628t</w:t>
                  </w:r>
                  <w:r>
                    <w:rPr>
                      <w:rFonts w:hint="eastAsia" w:ascii="Times New Roman" w:hAnsi="Times New Roman" w:eastAsia="宋体" w:cs="Times New Roman"/>
                      <w:lang w:val="en-US" w:eastAsia="zh-CN"/>
                    </w:rPr>
                    <w:t>。</w:t>
                  </w:r>
                </w:p>
              </w:tc>
              <w:tc>
                <w:tcPr>
                  <w:tcW w:w="1217" w:type="pct"/>
                  <w:tcBorders>
                    <w:tl2br w:val="nil"/>
                    <w:tr2bl w:val="nil"/>
                  </w:tcBorders>
                  <w:noWrap w:val="0"/>
                  <w:vAlign w:val="center"/>
                </w:tcPr>
                <w:p w14:paraId="2326D393">
                  <w:pPr>
                    <w:pStyle w:val="12"/>
                    <w:bidi w:val="0"/>
                    <w:rPr>
                      <w:rFonts w:hint="default"/>
                      <w:lang w:val="en-US" w:eastAsia="zh-CN"/>
                    </w:rPr>
                  </w:pPr>
                  <w:r>
                    <w:rPr>
                      <w:rFonts w:hint="eastAsia" w:ascii="Times New Roman" w:hAnsi="Times New Roman" w:eastAsia="宋体" w:cs="Times New Roman"/>
                      <w:lang w:val="en-US" w:eastAsia="zh-CN"/>
                    </w:rPr>
                    <w:t>综合利用水基岩屑</w:t>
                  </w:r>
                  <w:r>
                    <w:rPr>
                      <w:rFonts w:hint="default" w:ascii="Times New Roman" w:hAnsi="Times New Roman" w:eastAsia="宋体" w:cs="Times New Roman"/>
                      <w:lang w:val="en-US" w:eastAsia="zh-CN"/>
                    </w:rPr>
                    <w:t>30</w:t>
                  </w:r>
                  <w:r>
                    <w:rPr>
                      <w:rFonts w:hint="eastAsia" w:ascii="Times New Roman" w:hAnsi="Times New Roman" w:eastAsia="宋体" w:cs="Times New Roman"/>
                      <w:lang w:val="en-US" w:eastAsia="zh-CN"/>
                    </w:rPr>
                    <w:t>万</w:t>
                  </w:r>
                  <w:r>
                    <w:rPr>
                      <w:rFonts w:hint="default" w:ascii="Times New Roman" w:hAnsi="Times New Roman" w:eastAsia="宋体" w:cs="Times New Roman"/>
                      <w:lang w:val="en-US" w:eastAsia="zh-CN"/>
                    </w:rPr>
                    <w:t>t/a</w:t>
                  </w:r>
                  <w:r>
                    <w:rPr>
                      <w:rFonts w:hint="eastAsia" w:cs="Times New Roman"/>
                      <w:lang w:val="en-US" w:eastAsia="zh-CN"/>
                    </w:rPr>
                    <w:t>和热脱附干渣4.2万t/a</w:t>
                  </w:r>
                  <w:r>
                    <w:rPr>
                      <w:rFonts w:hint="eastAsia" w:ascii="Times New Roman" w:hAnsi="Times New Roman" w:eastAsia="宋体" w:cs="Times New Roman"/>
                      <w:lang w:val="en-US" w:eastAsia="zh-CN"/>
                    </w:rPr>
                    <w:t>，</w:t>
                  </w:r>
                  <w:r>
                    <w:rPr>
                      <w:rFonts w:hint="eastAsia" w:cs="Times New Roman"/>
                      <w:lang w:val="en-US" w:eastAsia="zh-CN"/>
                    </w:rPr>
                    <w:t>年产水稳层骨料12万t、免烧砌块</w:t>
                  </w:r>
                  <w:r>
                    <w:rPr>
                      <w:rFonts w:hint="eastAsia" w:ascii="Times New Roman" w:hAnsi="Times New Roman" w:eastAsia="宋体" w:cs="Times New Roman"/>
                      <w:lang w:val="en-US" w:eastAsia="zh-CN"/>
                    </w:rPr>
                    <w:t>约</w:t>
                  </w:r>
                  <w:r>
                    <w:rPr>
                      <w:rFonts w:hint="eastAsia" w:cs="Times New Roman"/>
                      <w:lang w:val="en-US" w:eastAsia="zh-CN"/>
                    </w:rPr>
                    <w:t>22万</w:t>
                  </w:r>
                  <w:r>
                    <w:rPr>
                      <w:rFonts w:hint="default" w:ascii="Times New Roman" w:hAnsi="Times New Roman" w:eastAsia="宋体" w:cs="Times New Roman"/>
                      <w:lang w:val="en-US" w:eastAsia="zh-CN"/>
                    </w:rPr>
                    <w:t>t</w:t>
                  </w:r>
                  <w:r>
                    <w:rPr>
                      <w:rFonts w:hint="eastAsia" w:ascii="Times New Roman" w:hAnsi="Times New Roman" w:eastAsia="宋体" w:cs="Times New Roman"/>
                      <w:lang w:val="en-US" w:eastAsia="zh-CN"/>
                    </w:rPr>
                    <w:t>。</w:t>
                  </w:r>
                </w:p>
              </w:tc>
              <w:tc>
                <w:tcPr>
                  <w:tcW w:w="545" w:type="pct"/>
                  <w:tcBorders>
                    <w:tl2br w:val="nil"/>
                    <w:tr2bl w:val="nil"/>
                  </w:tcBorders>
                  <w:noWrap w:val="0"/>
                  <w:vAlign w:val="center"/>
                </w:tcPr>
                <w:p w14:paraId="5E79ED1A">
                  <w:pPr>
                    <w:pStyle w:val="12"/>
                    <w:bidi w:val="0"/>
                    <w:rPr>
                      <w:rFonts w:hint="default"/>
                      <w:lang w:val="en-US" w:eastAsia="zh-CN"/>
                    </w:rPr>
                  </w:pPr>
                  <w:r>
                    <w:rPr>
                      <w:rFonts w:hint="eastAsia"/>
                      <w:lang w:val="en-US" w:eastAsia="zh-CN"/>
                    </w:rPr>
                    <w:t>产品方案调整，</w:t>
                  </w:r>
                  <w:r>
                    <w:rPr>
                      <w:rFonts w:hint="eastAsia" w:ascii="Times New Roman" w:hAnsi="Times New Roman" w:eastAsia="宋体" w:cs="Times New Roman"/>
                      <w:lang w:val="en-US" w:eastAsia="zh-CN"/>
                    </w:rPr>
                    <w:t>免烧建筑基材</w:t>
                  </w:r>
                  <w:r>
                    <w:rPr>
                      <w:rFonts w:hint="eastAsia" w:cs="Times New Roman"/>
                      <w:lang w:val="en-US" w:eastAsia="zh-CN"/>
                    </w:rPr>
                    <w:t>产能增加。</w:t>
                  </w:r>
                </w:p>
              </w:tc>
              <w:tc>
                <w:tcPr>
                  <w:tcW w:w="444" w:type="pct"/>
                  <w:tcBorders>
                    <w:tl2br w:val="nil"/>
                    <w:tr2bl w:val="nil"/>
                  </w:tcBorders>
                  <w:noWrap w:val="0"/>
                  <w:vAlign w:val="center"/>
                </w:tcPr>
                <w:p w14:paraId="465557C7">
                  <w:pPr>
                    <w:pStyle w:val="12"/>
                    <w:bidi w:val="0"/>
                    <w:rPr>
                      <w:rFonts w:hint="default"/>
                      <w:lang w:val="en-US" w:eastAsia="zh-CN"/>
                    </w:rPr>
                  </w:pPr>
                  <w:r>
                    <w:rPr>
                      <w:rFonts w:hint="eastAsia"/>
                      <w:lang w:val="en-US" w:eastAsia="zh-CN"/>
                    </w:rPr>
                    <w:t>是</w:t>
                  </w:r>
                </w:p>
              </w:tc>
            </w:tr>
            <w:tr w14:paraId="290F8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trPr>
              <w:tc>
                <w:tcPr>
                  <w:tcW w:w="381" w:type="pct"/>
                  <w:vMerge w:val="continue"/>
                  <w:tcBorders>
                    <w:tl2br w:val="nil"/>
                    <w:tr2bl w:val="nil"/>
                  </w:tcBorders>
                  <w:noWrap w:val="0"/>
                  <w:vAlign w:val="center"/>
                </w:tcPr>
                <w:p w14:paraId="0C5D0B3F">
                  <w:pPr>
                    <w:pStyle w:val="12"/>
                    <w:bidi w:val="0"/>
                    <w:rPr>
                      <w:rFonts w:hint="default"/>
                      <w:lang w:val="en-US" w:eastAsia="zh-CN"/>
                    </w:rPr>
                  </w:pPr>
                </w:p>
              </w:tc>
              <w:tc>
                <w:tcPr>
                  <w:tcW w:w="1350" w:type="pct"/>
                  <w:tcBorders>
                    <w:tl2br w:val="nil"/>
                    <w:tr2bl w:val="nil"/>
                  </w:tcBorders>
                  <w:noWrap w:val="0"/>
                  <w:vAlign w:val="center"/>
                </w:tcPr>
                <w:p w14:paraId="2AE944AE">
                  <w:pPr>
                    <w:pStyle w:val="12"/>
                    <w:bidi w:val="0"/>
                    <w:rPr>
                      <w:rFonts w:hint="default"/>
                      <w:lang w:val="en-US" w:eastAsia="zh-CN"/>
                    </w:rPr>
                  </w:pPr>
                  <w:r>
                    <w:rPr>
                      <w:rFonts w:hint="eastAsia"/>
                      <w:lang w:val="en-US" w:eastAsia="zh-CN"/>
                    </w:rPr>
                    <w:t>3、</w:t>
                  </w:r>
                  <w:r>
                    <w:rPr>
                      <w:rFonts w:hint="default"/>
                      <w:lang w:val="en-US" w:eastAsia="zh-CN"/>
                    </w:rPr>
                    <w:t>生产、处置或储存能力增大，导致废水第一类污染物排放量增加的。</w:t>
                  </w:r>
                </w:p>
              </w:tc>
              <w:tc>
                <w:tcPr>
                  <w:tcW w:w="1061" w:type="pct"/>
                  <w:tcBorders>
                    <w:tl2br w:val="nil"/>
                    <w:tr2bl w:val="nil"/>
                  </w:tcBorders>
                  <w:noWrap w:val="0"/>
                  <w:vAlign w:val="center"/>
                </w:tcPr>
                <w:p w14:paraId="576B7FA5">
                  <w:pPr>
                    <w:pStyle w:val="12"/>
                    <w:rPr>
                      <w:rFonts w:hint="eastAsia" w:ascii="Times New Roman" w:hAnsi="Times New Roman" w:eastAsia="宋体" w:cs="Times New Roman"/>
                      <w:lang w:val="en-US" w:eastAsia="zh-CN"/>
                    </w:rPr>
                  </w:pPr>
                  <w:r>
                    <w:rPr>
                      <w:rFonts w:hint="eastAsia" w:cs="Times New Roman"/>
                      <w:lang w:val="en-US" w:eastAsia="zh-CN"/>
                    </w:rPr>
                    <w:t>水基岩屑堆存区</w:t>
                  </w:r>
                  <w:r>
                    <w:rPr>
                      <w:rFonts w:hint="eastAsia" w:ascii="Times New Roman" w:hAnsi="Times New Roman" w:eastAsia="宋体" w:cs="Times New Roman"/>
                      <w:lang w:val="en-US" w:eastAsia="zh-CN"/>
                    </w:rPr>
                    <w:t>渗滤液：随</w:t>
                  </w:r>
                  <w:r>
                    <w:rPr>
                      <w:rFonts w:hint="eastAsia" w:cs="Times New Roman"/>
                      <w:lang w:val="en-US" w:eastAsia="zh-CN"/>
                    </w:rPr>
                    <w:t>水基岩屑</w:t>
                  </w:r>
                  <w:r>
                    <w:rPr>
                      <w:rFonts w:hint="eastAsia" w:ascii="Times New Roman" w:hAnsi="Times New Roman" w:eastAsia="宋体" w:cs="Times New Roman"/>
                      <w:lang w:val="en-US" w:eastAsia="zh-CN"/>
                    </w:rPr>
                    <w:t>一并进入烘干系统；</w:t>
                  </w:r>
                </w:p>
                <w:p w14:paraId="62222176">
                  <w:pPr>
                    <w:pStyle w:val="12"/>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生活污水：预处理后排入园区管网，送至星光污水处理厂处理；</w:t>
                  </w:r>
                </w:p>
                <w:p w14:paraId="73D0F3BE">
                  <w:pPr>
                    <w:pStyle w:val="12"/>
                    <w:bidi w:val="0"/>
                    <w:rPr>
                      <w:rFonts w:hint="default"/>
                      <w:lang w:val="en-US" w:eastAsia="zh-CN"/>
                    </w:rPr>
                  </w:pPr>
                  <w:r>
                    <w:rPr>
                      <w:rFonts w:hint="eastAsia" w:ascii="Times New Roman" w:hAnsi="Times New Roman" w:eastAsia="宋体" w:cs="Times New Roman"/>
                      <w:lang w:val="en-US" w:eastAsia="zh-CN"/>
                    </w:rPr>
                    <w:t>地面冲洗水、车辆清洗废水：沉淀后回用。</w:t>
                  </w:r>
                </w:p>
              </w:tc>
              <w:tc>
                <w:tcPr>
                  <w:tcW w:w="1217" w:type="pct"/>
                  <w:tcBorders>
                    <w:tl2br w:val="nil"/>
                    <w:tr2bl w:val="nil"/>
                  </w:tcBorders>
                  <w:noWrap w:val="0"/>
                  <w:vAlign w:val="center"/>
                </w:tcPr>
                <w:p w14:paraId="2D693400">
                  <w:pPr>
                    <w:pStyle w:val="12"/>
                    <w:rPr>
                      <w:rFonts w:hint="default" w:ascii="Times New Roman" w:hAnsi="Times New Roman" w:eastAsia="宋体" w:cs="Times New Roman"/>
                      <w:lang w:val="en-US" w:eastAsia="zh-CN"/>
                    </w:rPr>
                  </w:pPr>
                  <w:r>
                    <w:rPr>
                      <w:rFonts w:hint="eastAsia" w:cs="Times New Roman"/>
                      <w:lang w:val="en-US" w:eastAsia="zh-CN"/>
                    </w:rPr>
                    <w:t>水基岩屑</w:t>
                  </w:r>
                  <w:r>
                    <w:rPr>
                      <w:rFonts w:hint="eastAsia" w:ascii="Times New Roman" w:hAnsi="Times New Roman" w:eastAsia="宋体" w:cs="Times New Roman"/>
                      <w:lang w:val="en-US" w:eastAsia="zh-CN"/>
                    </w:rPr>
                    <w:t>压滤废水：</w:t>
                  </w:r>
                  <w:r>
                    <w:rPr>
                      <w:rFonts w:hint="eastAsia" w:cs="Times New Roman"/>
                      <w:lang w:val="en-US" w:eastAsia="zh-CN"/>
                    </w:rPr>
                    <w:t>部分回用于生产，剩余部分委托四川洁安环境科技有限公司处理</w:t>
                  </w:r>
                  <w:r>
                    <w:rPr>
                      <w:rFonts w:hint="eastAsia" w:ascii="Times New Roman" w:hAnsi="Times New Roman" w:eastAsia="宋体" w:cs="Times New Roman"/>
                      <w:lang w:val="en-US" w:eastAsia="zh-CN"/>
                    </w:rPr>
                    <w:t>；</w:t>
                  </w:r>
                </w:p>
                <w:p w14:paraId="118C3192">
                  <w:pPr>
                    <w:pStyle w:val="12"/>
                    <w:rPr>
                      <w:rFonts w:hint="eastAsia" w:ascii="Times New Roman" w:hAnsi="Times New Roman" w:eastAsia="宋体" w:cs="Times New Roman"/>
                      <w:lang w:val="en-US" w:eastAsia="zh-CN"/>
                    </w:rPr>
                  </w:pPr>
                  <w:r>
                    <w:rPr>
                      <w:rFonts w:hint="eastAsia" w:cs="Times New Roman"/>
                      <w:lang w:val="en-US" w:eastAsia="zh-CN"/>
                    </w:rPr>
                    <w:t>水基岩屑堆存区</w:t>
                  </w:r>
                  <w:r>
                    <w:rPr>
                      <w:rFonts w:hint="eastAsia" w:ascii="Times New Roman" w:hAnsi="Times New Roman" w:eastAsia="宋体" w:cs="Times New Roman"/>
                      <w:lang w:val="en-US" w:eastAsia="zh-CN"/>
                    </w:rPr>
                    <w:t>渗滤液：随</w:t>
                  </w:r>
                  <w:r>
                    <w:rPr>
                      <w:rFonts w:hint="eastAsia" w:cs="Times New Roman"/>
                      <w:lang w:val="en-US" w:eastAsia="zh-CN"/>
                    </w:rPr>
                    <w:t>水基岩屑</w:t>
                  </w:r>
                  <w:r>
                    <w:rPr>
                      <w:rFonts w:hint="eastAsia" w:ascii="Times New Roman" w:hAnsi="Times New Roman" w:eastAsia="宋体" w:cs="Times New Roman"/>
                      <w:lang w:val="en-US" w:eastAsia="zh-CN"/>
                    </w:rPr>
                    <w:t>一并进入</w:t>
                  </w:r>
                  <w:r>
                    <w:rPr>
                      <w:rFonts w:hint="eastAsia" w:cs="Times New Roman"/>
                      <w:lang w:val="en-US" w:eastAsia="zh-CN"/>
                    </w:rPr>
                    <w:t>煅烧</w:t>
                  </w:r>
                  <w:r>
                    <w:rPr>
                      <w:rFonts w:hint="eastAsia" w:ascii="Times New Roman" w:hAnsi="Times New Roman" w:eastAsia="宋体" w:cs="Times New Roman"/>
                      <w:lang w:val="en-US" w:eastAsia="zh-CN"/>
                    </w:rPr>
                    <w:t>系统；</w:t>
                  </w:r>
                </w:p>
                <w:p w14:paraId="4AB219AE">
                  <w:pPr>
                    <w:pStyle w:val="12"/>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生活污水：预处理后送至星光污水处理厂处理；</w:t>
                  </w:r>
                </w:p>
                <w:p w14:paraId="64931C96">
                  <w:pPr>
                    <w:pStyle w:val="12"/>
                    <w:bidi w:val="0"/>
                    <w:rPr>
                      <w:rFonts w:hint="default"/>
                      <w:lang w:val="en-US" w:eastAsia="zh-CN"/>
                    </w:rPr>
                  </w:pPr>
                  <w:r>
                    <w:rPr>
                      <w:rFonts w:hint="eastAsia" w:ascii="Times New Roman" w:hAnsi="Times New Roman" w:eastAsia="宋体" w:cs="Times New Roman"/>
                      <w:lang w:val="en-US" w:eastAsia="zh-CN"/>
                    </w:rPr>
                    <w:t>地面冲洗水、车辆清洗废水：排入水基岩屑储存池，后续随</w:t>
                  </w:r>
                  <w:r>
                    <w:rPr>
                      <w:rFonts w:hint="eastAsia" w:cs="Times New Roman"/>
                      <w:lang w:val="en-US" w:eastAsia="zh-CN"/>
                    </w:rPr>
                    <w:t>水基岩屑</w:t>
                  </w:r>
                  <w:r>
                    <w:rPr>
                      <w:rFonts w:hint="eastAsia" w:ascii="Times New Roman" w:hAnsi="Times New Roman" w:eastAsia="宋体" w:cs="Times New Roman"/>
                      <w:lang w:val="en-US" w:eastAsia="zh-CN"/>
                    </w:rPr>
                    <w:t>预处理，计入</w:t>
                  </w:r>
                  <w:r>
                    <w:rPr>
                      <w:rFonts w:hint="eastAsia" w:cs="Times New Roman"/>
                      <w:lang w:val="en-US" w:eastAsia="zh-CN"/>
                    </w:rPr>
                    <w:t>水基岩屑</w:t>
                  </w:r>
                  <w:r>
                    <w:rPr>
                      <w:rFonts w:hint="eastAsia" w:ascii="Times New Roman" w:hAnsi="Times New Roman" w:eastAsia="宋体" w:cs="Times New Roman"/>
                      <w:lang w:val="en-US" w:eastAsia="zh-CN"/>
                    </w:rPr>
                    <w:t>压滤废水。</w:t>
                  </w:r>
                </w:p>
              </w:tc>
              <w:tc>
                <w:tcPr>
                  <w:tcW w:w="545" w:type="pct"/>
                  <w:tcBorders>
                    <w:tl2br w:val="nil"/>
                    <w:tr2bl w:val="nil"/>
                  </w:tcBorders>
                  <w:noWrap w:val="0"/>
                  <w:vAlign w:val="center"/>
                </w:tcPr>
                <w:p w14:paraId="1D859DF0">
                  <w:pPr>
                    <w:pStyle w:val="12"/>
                    <w:bidi w:val="0"/>
                    <w:rPr>
                      <w:rFonts w:hint="default"/>
                      <w:lang w:val="en-US" w:eastAsia="zh-CN"/>
                    </w:rPr>
                  </w:pPr>
                  <w:r>
                    <w:rPr>
                      <w:rFonts w:hint="eastAsia"/>
                      <w:lang w:val="en-US" w:eastAsia="zh-CN"/>
                    </w:rPr>
                    <w:t>工艺调整，新增水基岩屑压滤废水，但不外排</w:t>
                  </w:r>
                </w:p>
              </w:tc>
              <w:tc>
                <w:tcPr>
                  <w:tcW w:w="444" w:type="pct"/>
                  <w:tcBorders>
                    <w:tl2br w:val="nil"/>
                    <w:tr2bl w:val="nil"/>
                  </w:tcBorders>
                  <w:noWrap w:val="0"/>
                  <w:vAlign w:val="center"/>
                </w:tcPr>
                <w:p w14:paraId="06B09C11">
                  <w:pPr>
                    <w:pStyle w:val="12"/>
                    <w:bidi w:val="0"/>
                    <w:rPr>
                      <w:rFonts w:hint="default"/>
                      <w:lang w:val="en-US" w:eastAsia="zh-CN"/>
                    </w:rPr>
                  </w:pPr>
                  <w:r>
                    <w:rPr>
                      <w:rFonts w:hint="eastAsia"/>
                      <w:lang w:val="en-US" w:eastAsia="zh-CN"/>
                    </w:rPr>
                    <w:t>否</w:t>
                  </w:r>
                </w:p>
              </w:tc>
            </w:tr>
            <w:tr w14:paraId="08D9B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90" w:hRule="atLeast"/>
              </w:trPr>
              <w:tc>
                <w:tcPr>
                  <w:tcW w:w="381" w:type="pct"/>
                  <w:vMerge w:val="continue"/>
                  <w:tcBorders>
                    <w:tl2br w:val="nil"/>
                    <w:tr2bl w:val="nil"/>
                  </w:tcBorders>
                  <w:noWrap w:val="0"/>
                  <w:vAlign w:val="center"/>
                </w:tcPr>
                <w:p w14:paraId="5B96F377">
                  <w:pPr>
                    <w:pStyle w:val="12"/>
                    <w:bidi w:val="0"/>
                    <w:rPr>
                      <w:rFonts w:hint="default"/>
                      <w:lang w:val="en-US" w:eastAsia="zh-CN"/>
                    </w:rPr>
                  </w:pPr>
                </w:p>
              </w:tc>
              <w:tc>
                <w:tcPr>
                  <w:tcW w:w="1350" w:type="pct"/>
                  <w:tcBorders>
                    <w:tl2br w:val="nil"/>
                    <w:tr2bl w:val="nil"/>
                  </w:tcBorders>
                  <w:noWrap w:val="0"/>
                  <w:vAlign w:val="center"/>
                </w:tcPr>
                <w:p w14:paraId="17BC517F">
                  <w:pPr>
                    <w:pStyle w:val="12"/>
                    <w:bidi w:val="0"/>
                    <w:rPr>
                      <w:rFonts w:hint="default"/>
                      <w:lang w:val="en-US" w:eastAsia="zh-CN"/>
                    </w:rPr>
                  </w:pPr>
                  <w:r>
                    <w:rPr>
                      <w:rFonts w:hint="default"/>
                      <w:lang w:val="en-US" w:eastAsia="zh-CN"/>
                    </w:rPr>
                    <w:t>4</w:t>
                  </w:r>
                  <w:r>
                    <w:rPr>
                      <w:rFonts w:hint="eastAsia"/>
                      <w:lang w:val="en-US" w:eastAsia="zh-CN"/>
                    </w:rPr>
                    <w:t>、</w:t>
                  </w:r>
                  <w:r>
                    <w:rPr>
                      <w:rFonts w:hint="default"/>
                      <w:lang w:val="en-US" w:eastAsia="zh-CN"/>
                    </w:rPr>
                    <w:t>位于环境质量不达标区的建设项目生产、处置或储存能力增大，导致相应污染物排放量增加的</w:t>
                  </w:r>
                  <w:r>
                    <w:rPr>
                      <w:rFonts w:hint="eastAsia"/>
                      <w:lang w:val="en-US" w:eastAsia="zh-CN"/>
                    </w:rPr>
                    <w:t>（</w:t>
                  </w:r>
                  <w:r>
                    <w:rPr>
                      <w:rFonts w:hint="default"/>
                      <w:lang w:val="en-US" w:eastAsia="zh-CN"/>
                    </w:rPr>
                    <w:t>细颗粒物不达标区，相应污染物为二氧化硫、氮氧化物、可吸入颗粒物、挥发性有机物；臭氧不达标区，相应污染物为氮氧化物、挥发性有机物；其他大气、水污染物因子不达标区，相应污染物为超标污染因子</w:t>
                  </w:r>
                  <w:r>
                    <w:rPr>
                      <w:rFonts w:hint="eastAsia"/>
                      <w:lang w:val="en-US" w:eastAsia="zh-CN"/>
                    </w:rPr>
                    <w:t>）；</w:t>
                  </w:r>
                  <w:r>
                    <w:rPr>
                      <w:rFonts w:hint="default"/>
                      <w:lang w:val="en-US" w:eastAsia="zh-CN"/>
                    </w:rPr>
                    <w:t>位于达标区的建设项目生产、处置或储存能力增大，导致污染物排放量增加10%及以上的。</w:t>
                  </w:r>
                </w:p>
              </w:tc>
              <w:tc>
                <w:tcPr>
                  <w:tcW w:w="1061" w:type="pct"/>
                  <w:tcBorders>
                    <w:tl2br w:val="nil"/>
                    <w:tr2bl w:val="nil"/>
                  </w:tcBorders>
                  <w:noWrap w:val="0"/>
                  <w:vAlign w:val="center"/>
                </w:tcPr>
                <w:p w14:paraId="26A1BFC8">
                  <w:pPr>
                    <w:pStyle w:val="12"/>
                    <w:bidi w:val="0"/>
                    <w:rPr>
                      <w:rFonts w:hint="default"/>
                      <w:lang w:val="en-US" w:eastAsia="zh-CN"/>
                    </w:rPr>
                  </w:pPr>
                  <w:r>
                    <w:rPr>
                      <w:rFonts w:hint="eastAsia"/>
                      <w:lang w:val="en-US" w:eastAsia="zh-CN"/>
                    </w:rPr>
                    <w:t>项目</w:t>
                  </w:r>
                  <w:r>
                    <w:rPr>
                      <w:rFonts w:hint="default"/>
                      <w:lang w:val="en-US" w:eastAsia="zh-CN"/>
                    </w:rPr>
                    <w:t>位于达标区</w:t>
                  </w:r>
                  <w:r>
                    <w:rPr>
                      <w:rFonts w:hint="eastAsia"/>
                      <w:lang w:val="en-US" w:eastAsia="zh-CN"/>
                    </w:rPr>
                    <w:t>，废气妥善处置。</w:t>
                  </w:r>
                </w:p>
              </w:tc>
              <w:tc>
                <w:tcPr>
                  <w:tcW w:w="1217" w:type="pct"/>
                  <w:tcBorders>
                    <w:tl2br w:val="nil"/>
                    <w:tr2bl w:val="nil"/>
                  </w:tcBorders>
                  <w:noWrap w:val="0"/>
                  <w:vAlign w:val="center"/>
                </w:tcPr>
                <w:p w14:paraId="49BD702F">
                  <w:pPr>
                    <w:pStyle w:val="12"/>
                    <w:bidi w:val="0"/>
                    <w:rPr>
                      <w:rFonts w:hint="default"/>
                      <w:lang w:val="en-US" w:eastAsia="zh-CN"/>
                    </w:rPr>
                  </w:pPr>
                  <w:r>
                    <w:rPr>
                      <w:rFonts w:hint="eastAsia"/>
                      <w:lang w:val="en-US" w:eastAsia="zh-CN"/>
                    </w:rPr>
                    <w:t>项目</w:t>
                  </w:r>
                  <w:r>
                    <w:rPr>
                      <w:rFonts w:hint="default"/>
                      <w:lang w:val="en-US" w:eastAsia="zh-CN"/>
                    </w:rPr>
                    <w:t>位于达标区</w:t>
                  </w:r>
                  <w:r>
                    <w:rPr>
                      <w:rFonts w:hint="eastAsia"/>
                      <w:lang w:val="en-US" w:eastAsia="zh-CN"/>
                    </w:rPr>
                    <w:t>，因工艺调整，废气治理措施调整，污染物排放量增加。</w:t>
                  </w:r>
                </w:p>
              </w:tc>
              <w:tc>
                <w:tcPr>
                  <w:tcW w:w="545" w:type="pct"/>
                  <w:tcBorders>
                    <w:tl2br w:val="nil"/>
                    <w:tr2bl w:val="nil"/>
                  </w:tcBorders>
                  <w:noWrap w:val="0"/>
                  <w:vAlign w:val="center"/>
                </w:tcPr>
                <w:p w14:paraId="5513FF19">
                  <w:pPr>
                    <w:pStyle w:val="12"/>
                    <w:bidi w:val="0"/>
                    <w:rPr>
                      <w:rFonts w:hint="default"/>
                      <w:lang w:val="en-US" w:eastAsia="zh-CN"/>
                    </w:rPr>
                  </w:pPr>
                  <w:r>
                    <w:rPr>
                      <w:rFonts w:hint="eastAsia"/>
                      <w:lang w:val="en-US" w:eastAsia="zh-CN"/>
                    </w:rPr>
                    <w:t>污染物排放量增加10%以上</w:t>
                  </w:r>
                </w:p>
              </w:tc>
              <w:tc>
                <w:tcPr>
                  <w:tcW w:w="444" w:type="pct"/>
                  <w:tcBorders>
                    <w:tl2br w:val="nil"/>
                    <w:tr2bl w:val="nil"/>
                  </w:tcBorders>
                  <w:noWrap w:val="0"/>
                  <w:vAlign w:val="center"/>
                </w:tcPr>
                <w:p w14:paraId="2407C691">
                  <w:pPr>
                    <w:pStyle w:val="12"/>
                    <w:bidi w:val="0"/>
                    <w:rPr>
                      <w:rFonts w:hint="default"/>
                      <w:lang w:val="en-US" w:eastAsia="zh-CN"/>
                    </w:rPr>
                  </w:pPr>
                  <w:r>
                    <w:rPr>
                      <w:rFonts w:hint="eastAsia"/>
                      <w:lang w:val="en-US" w:eastAsia="zh-CN"/>
                    </w:rPr>
                    <w:t>是</w:t>
                  </w:r>
                </w:p>
              </w:tc>
            </w:tr>
            <w:tr w14:paraId="6E608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trPr>
              <w:tc>
                <w:tcPr>
                  <w:tcW w:w="381" w:type="pct"/>
                  <w:tcBorders>
                    <w:tl2br w:val="nil"/>
                    <w:tr2bl w:val="nil"/>
                  </w:tcBorders>
                  <w:noWrap w:val="0"/>
                  <w:vAlign w:val="center"/>
                </w:tcPr>
                <w:p w14:paraId="522D78AC">
                  <w:pPr>
                    <w:pStyle w:val="12"/>
                    <w:bidi w:val="0"/>
                    <w:rPr>
                      <w:rFonts w:hint="default"/>
                      <w:lang w:val="en-US" w:eastAsia="zh-CN"/>
                    </w:rPr>
                  </w:pPr>
                  <w:r>
                    <w:rPr>
                      <w:rFonts w:hint="default"/>
                      <w:lang w:val="en-US" w:eastAsia="zh-CN"/>
                    </w:rPr>
                    <w:t>地点</w:t>
                  </w:r>
                </w:p>
              </w:tc>
              <w:tc>
                <w:tcPr>
                  <w:tcW w:w="1350" w:type="pct"/>
                  <w:tcBorders>
                    <w:tl2br w:val="nil"/>
                    <w:tr2bl w:val="nil"/>
                  </w:tcBorders>
                  <w:noWrap w:val="0"/>
                  <w:vAlign w:val="center"/>
                </w:tcPr>
                <w:p w14:paraId="6E6BF0C2">
                  <w:pPr>
                    <w:pStyle w:val="12"/>
                    <w:bidi w:val="0"/>
                    <w:rPr>
                      <w:rFonts w:hint="default"/>
                      <w:lang w:val="en-US" w:eastAsia="zh-CN"/>
                    </w:rPr>
                  </w:pPr>
                  <w:r>
                    <w:rPr>
                      <w:rFonts w:hint="eastAsia"/>
                      <w:lang w:val="en-US" w:eastAsia="zh-CN"/>
                    </w:rPr>
                    <w:t>5、</w:t>
                  </w:r>
                  <w:r>
                    <w:rPr>
                      <w:rFonts w:hint="default"/>
                      <w:lang w:val="en-US" w:eastAsia="zh-CN"/>
                    </w:rPr>
                    <w:t>重新选址；在原厂址附近调整</w:t>
                  </w:r>
                  <w:r>
                    <w:rPr>
                      <w:rFonts w:hint="eastAsia"/>
                      <w:lang w:val="en-US" w:eastAsia="zh-CN"/>
                    </w:rPr>
                    <w:t>（</w:t>
                  </w:r>
                  <w:r>
                    <w:rPr>
                      <w:rFonts w:hint="default"/>
                      <w:lang w:val="en-US" w:eastAsia="zh-CN"/>
                    </w:rPr>
                    <w:t>包括总平面布置变化</w:t>
                  </w:r>
                  <w:r>
                    <w:rPr>
                      <w:rFonts w:hint="eastAsia"/>
                      <w:lang w:val="en-US" w:eastAsia="zh-CN"/>
                    </w:rPr>
                    <w:t>）</w:t>
                  </w:r>
                  <w:r>
                    <w:rPr>
                      <w:rFonts w:hint="default"/>
                      <w:lang w:val="en-US" w:eastAsia="zh-CN"/>
                    </w:rPr>
                    <w:t>导致环境防护距离范围变化且新增敏感点的。</w:t>
                  </w:r>
                </w:p>
              </w:tc>
              <w:tc>
                <w:tcPr>
                  <w:tcW w:w="1061" w:type="pct"/>
                  <w:tcBorders>
                    <w:tl2br w:val="nil"/>
                    <w:tr2bl w:val="nil"/>
                  </w:tcBorders>
                  <w:noWrap w:val="0"/>
                  <w:vAlign w:val="center"/>
                </w:tcPr>
                <w:p w14:paraId="77E06F95">
                  <w:pPr>
                    <w:pStyle w:val="12"/>
                    <w:bidi w:val="0"/>
                    <w:rPr>
                      <w:rFonts w:hint="default"/>
                      <w:lang w:val="en-US" w:eastAsia="zh-CN"/>
                    </w:rPr>
                  </w:pPr>
                  <w:r>
                    <w:rPr>
                      <w:rFonts w:hint="eastAsia"/>
                      <w:lang w:val="en-US" w:eastAsia="zh-CN"/>
                    </w:rPr>
                    <w:t>租用1号、3号车间建设</w:t>
                  </w:r>
                </w:p>
              </w:tc>
              <w:tc>
                <w:tcPr>
                  <w:tcW w:w="1217" w:type="pct"/>
                  <w:tcBorders>
                    <w:tl2br w:val="nil"/>
                    <w:tr2bl w:val="nil"/>
                  </w:tcBorders>
                  <w:noWrap w:val="0"/>
                  <w:vAlign w:val="center"/>
                </w:tcPr>
                <w:p w14:paraId="5124C3E2">
                  <w:pPr>
                    <w:pStyle w:val="12"/>
                    <w:bidi w:val="0"/>
                    <w:rPr>
                      <w:rFonts w:hint="default"/>
                      <w:lang w:val="en-US" w:eastAsia="zh-CN"/>
                    </w:rPr>
                  </w:pPr>
                  <w:r>
                    <w:rPr>
                      <w:rFonts w:hint="eastAsia"/>
                      <w:lang w:val="en-US" w:eastAsia="zh-CN"/>
                    </w:rPr>
                    <w:t>租用1号、2号、3号车间建设</w:t>
                  </w:r>
                </w:p>
              </w:tc>
              <w:tc>
                <w:tcPr>
                  <w:tcW w:w="545" w:type="pct"/>
                  <w:tcBorders>
                    <w:tl2br w:val="nil"/>
                    <w:tr2bl w:val="nil"/>
                  </w:tcBorders>
                  <w:noWrap w:val="0"/>
                  <w:vAlign w:val="center"/>
                </w:tcPr>
                <w:p w14:paraId="2CE2709D">
                  <w:pPr>
                    <w:pStyle w:val="12"/>
                    <w:bidi w:val="0"/>
                    <w:rPr>
                      <w:rFonts w:hint="default" w:eastAsia="宋体"/>
                      <w:lang w:val="en-US" w:eastAsia="zh-CN"/>
                    </w:rPr>
                  </w:pPr>
                  <w:r>
                    <w:rPr>
                      <w:rFonts w:hint="eastAsia"/>
                      <w:lang w:val="en-US" w:eastAsia="zh-CN"/>
                    </w:rPr>
                    <w:t>厂址调整，新增车间，属重新选址</w:t>
                  </w:r>
                  <w:r>
                    <w:rPr>
                      <w:rFonts w:hint="eastAsia"/>
                      <w:lang w:eastAsia="zh-CN"/>
                    </w:rPr>
                    <w:t>，</w:t>
                  </w:r>
                  <w:r>
                    <w:rPr>
                      <w:rFonts w:hint="eastAsia"/>
                      <w:lang w:val="en-US" w:eastAsia="zh-CN"/>
                    </w:rPr>
                    <w:t>原环评未设置卫生防护距离</w:t>
                  </w:r>
                </w:p>
              </w:tc>
              <w:tc>
                <w:tcPr>
                  <w:tcW w:w="444" w:type="pct"/>
                  <w:tcBorders>
                    <w:tl2br w:val="nil"/>
                    <w:tr2bl w:val="nil"/>
                  </w:tcBorders>
                  <w:noWrap w:val="0"/>
                  <w:vAlign w:val="center"/>
                </w:tcPr>
                <w:p w14:paraId="63F6A133">
                  <w:pPr>
                    <w:pStyle w:val="12"/>
                    <w:bidi w:val="0"/>
                    <w:rPr>
                      <w:rFonts w:hint="default"/>
                      <w:lang w:val="en-US" w:eastAsia="zh-CN"/>
                    </w:rPr>
                  </w:pPr>
                  <w:r>
                    <w:rPr>
                      <w:rFonts w:hint="eastAsia"/>
                      <w:lang w:val="en-US" w:eastAsia="zh-CN"/>
                    </w:rPr>
                    <w:t>是</w:t>
                  </w:r>
                </w:p>
              </w:tc>
            </w:tr>
            <w:tr w14:paraId="490BD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trPr>
              <w:tc>
                <w:tcPr>
                  <w:tcW w:w="381" w:type="pct"/>
                  <w:vMerge w:val="restart"/>
                  <w:tcBorders>
                    <w:tl2br w:val="nil"/>
                    <w:tr2bl w:val="nil"/>
                  </w:tcBorders>
                  <w:noWrap w:val="0"/>
                  <w:vAlign w:val="center"/>
                </w:tcPr>
                <w:p w14:paraId="3F730BEE">
                  <w:pPr>
                    <w:pStyle w:val="12"/>
                    <w:bidi w:val="0"/>
                    <w:rPr>
                      <w:rFonts w:hint="default"/>
                      <w:lang w:val="en-US" w:eastAsia="zh-CN"/>
                    </w:rPr>
                  </w:pPr>
                  <w:r>
                    <w:rPr>
                      <w:rFonts w:hint="default"/>
                      <w:lang w:val="en-US" w:eastAsia="zh-CN"/>
                    </w:rPr>
                    <w:t>生产工艺</w:t>
                  </w:r>
                </w:p>
              </w:tc>
              <w:tc>
                <w:tcPr>
                  <w:tcW w:w="1350" w:type="pct"/>
                  <w:tcBorders>
                    <w:tl2br w:val="nil"/>
                    <w:tr2bl w:val="nil"/>
                  </w:tcBorders>
                  <w:noWrap w:val="0"/>
                  <w:vAlign w:val="center"/>
                </w:tcPr>
                <w:p w14:paraId="604A790B">
                  <w:pPr>
                    <w:pStyle w:val="12"/>
                    <w:bidi w:val="0"/>
                    <w:rPr>
                      <w:rFonts w:hint="default"/>
                      <w:lang w:val="en-US" w:eastAsia="zh-CN"/>
                    </w:rPr>
                  </w:pPr>
                  <w:r>
                    <w:rPr>
                      <w:rFonts w:hint="default"/>
                      <w:lang w:val="en-US" w:eastAsia="zh-CN"/>
                    </w:rPr>
                    <w:t>6</w:t>
                  </w:r>
                  <w:r>
                    <w:rPr>
                      <w:rFonts w:hint="eastAsia"/>
                      <w:lang w:val="en-US" w:eastAsia="zh-CN"/>
                    </w:rPr>
                    <w:t>、</w:t>
                  </w:r>
                  <w:r>
                    <w:rPr>
                      <w:rFonts w:hint="default"/>
                      <w:lang w:val="en-US" w:eastAsia="zh-CN"/>
                    </w:rPr>
                    <w:t>新增产品品种或生产工艺</w:t>
                  </w:r>
                  <w:r>
                    <w:rPr>
                      <w:rFonts w:hint="eastAsia"/>
                      <w:lang w:val="en-US" w:eastAsia="zh-CN"/>
                    </w:rPr>
                    <w:t>（</w:t>
                  </w:r>
                  <w:r>
                    <w:rPr>
                      <w:rFonts w:hint="default"/>
                      <w:lang w:val="en-US" w:eastAsia="zh-CN"/>
                    </w:rPr>
                    <w:t>含主要生产装置、设备及配套设施</w:t>
                  </w:r>
                  <w:r>
                    <w:rPr>
                      <w:rFonts w:hint="eastAsia"/>
                      <w:lang w:val="en-US" w:eastAsia="zh-CN"/>
                    </w:rPr>
                    <w:t>）</w:t>
                  </w:r>
                  <w:r>
                    <w:rPr>
                      <w:rFonts w:hint="default"/>
                      <w:lang w:val="en-US" w:eastAsia="zh-CN"/>
                    </w:rPr>
                    <w:t>、主要原辅材料、燃料变化，导致以下情形之一：</w:t>
                  </w:r>
                </w:p>
                <w:p w14:paraId="06B3BEDC">
                  <w:pPr>
                    <w:pStyle w:val="12"/>
                    <w:bidi w:val="0"/>
                    <w:rPr>
                      <w:rFonts w:hint="eastAsia"/>
                      <w:lang w:val="en-US" w:eastAsia="zh-CN"/>
                    </w:rPr>
                  </w:pPr>
                  <w:r>
                    <w:rPr>
                      <w:rFonts w:hint="default"/>
                      <w:lang w:val="en-US" w:eastAsia="zh-CN"/>
                    </w:rPr>
                    <w:t>(1)新增排放污染物种类的(毒性、挥发性降低的除外)</w:t>
                  </w:r>
                  <w:r>
                    <w:rPr>
                      <w:rFonts w:hint="eastAsia"/>
                      <w:lang w:val="en-US" w:eastAsia="zh-CN"/>
                    </w:rPr>
                    <w:t>；</w:t>
                  </w:r>
                </w:p>
                <w:p w14:paraId="0C16CCE3">
                  <w:pPr>
                    <w:pStyle w:val="12"/>
                    <w:bidi w:val="0"/>
                    <w:rPr>
                      <w:rFonts w:hint="default"/>
                      <w:lang w:val="en-US" w:eastAsia="zh-CN"/>
                    </w:rPr>
                  </w:pPr>
                  <w:r>
                    <w:rPr>
                      <w:rFonts w:hint="default"/>
                      <w:lang w:val="en-US" w:eastAsia="zh-CN"/>
                    </w:rPr>
                    <w:t>(2)位于环境质量不达标区的建设项目相应污染物排放量增加的；</w:t>
                  </w:r>
                </w:p>
                <w:p w14:paraId="29FF1ED0">
                  <w:pPr>
                    <w:pStyle w:val="12"/>
                    <w:bidi w:val="0"/>
                    <w:rPr>
                      <w:rFonts w:hint="default"/>
                      <w:lang w:val="en-US" w:eastAsia="zh-CN"/>
                    </w:rPr>
                  </w:pPr>
                  <w:r>
                    <w:rPr>
                      <w:rFonts w:hint="default"/>
                      <w:lang w:val="en-US" w:eastAsia="zh-CN"/>
                    </w:rPr>
                    <w:t>(3)废水第一类污染物排放量增加的；</w:t>
                  </w:r>
                </w:p>
                <w:p w14:paraId="56523673">
                  <w:pPr>
                    <w:pStyle w:val="12"/>
                    <w:bidi w:val="0"/>
                    <w:rPr>
                      <w:rFonts w:hint="default"/>
                      <w:lang w:val="en-US" w:eastAsia="zh-CN"/>
                    </w:rPr>
                  </w:pPr>
                  <w:r>
                    <w:rPr>
                      <w:rFonts w:hint="default"/>
                      <w:lang w:val="en-US" w:eastAsia="zh-CN"/>
                    </w:rPr>
                    <w:t>(4)其他污染物排放量增加10%及以上的。</w:t>
                  </w:r>
                </w:p>
              </w:tc>
              <w:tc>
                <w:tcPr>
                  <w:tcW w:w="1061" w:type="pct"/>
                  <w:tcBorders>
                    <w:tl2br w:val="nil"/>
                    <w:tr2bl w:val="nil"/>
                  </w:tcBorders>
                  <w:noWrap w:val="0"/>
                  <w:vAlign w:val="center"/>
                </w:tcPr>
                <w:p w14:paraId="4D44BC81">
                  <w:pPr>
                    <w:pStyle w:val="12"/>
                    <w:rPr>
                      <w:rFonts w:hint="eastAsia" w:ascii="Times New Roman" w:hAnsi="Times New Roman" w:eastAsia="宋体" w:cs="Times New Roman"/>
                      <w:lang w:val="en-US" w:eastAsia="zh-CN"/>
                    </w:rPr>
                  </w:pPr>
                  <w:r>
                    <w:rPr>
                      <w:rFonts w:hint="eastAsia" w:cs="Times New Roman"/>
                      <w:lang w:val="en-US" w:eastAsia="zh-CN"/>
                    </w:rPr>
                    <w:t>水稳层骨料</w:t>
                  </w:r>
                  <w:r>
                    <w:rPr>
                      <w:rFonts w:hint="eastAsia" w:ascii="Times New Roman" w:hAnsi="Times New Roman" w:eastAsia="宋体" w:cs="Times New Roman"/>
                      <w:lang w:val="en-US" w:eastAsia="zh-CN"/>
                    </w:rPr>
                    <w:t>及水泥掺和料生产：采用预处理（投加粉煤灰降低含水率）+烘干工艺；</w:t>
                  </w:r>
                </w:p>
                <w:p w14:paraId="44CE5A22">
                  <w:pPr>
                    <w:pStyle w:val="12"/>
                    <w:bidi w:val="0"/>
                    <w:rPr>
                      <w:rFonts w:hint="default"/>
                      <w:lang w:val="en-US" w:eastAsia="zh-CN"/>
                    </w:rPr>
                  </w:pPr>
                  <w:r>
                    <w:rPr>
                      <w:rFonts w:hint="eastAsia" w:ascii="Times New Roman" w:hAnsi="Times New Roman" w:eastAsia="宋体" w:cs="Times New Roman"/>
                      <w:lang w:val="en-US" w:eastAsia="zh-CN"/>
                    </w:rPr>
                    <w:t>免烧建筑基材：以烘干后物料为主要原料，采用</w:t>
                  </w:r>
                  <w:r>
                    <w:rPr>
                      <w:rFonts w:hint="eastAsia" w:cs="Times New Roman"/>
                      <w:lang w:val="en-US" w:eastAsia="zh-CN"/>
                    </w:rPr>
                    <w:t>球磨</w:t>
                  </w:r>
                  <w:r>
                    <w:rPr>
                      <w:rFonts w:hint="eastAsia" w:ascii="Times New Roman" w:hAnsi="Times New Roman" w:eastAsia="宋体" w:cs="Times New Roman"/>
                      <w:lang w:val="en-US" w:eastAsia="zh-CN"/>
                    </w:rPr>
                    <w:t>+配料+搅拌+压制成型+码垛养护工艺</w:t>
                  </w:r>
                </w:p>
              </w:tc>
              <w:tc>
                <w:tcPr>
                  <w:tcW w:w="1217" w:type="pct"/>
                  <w:tcBorders>
                    <w:tl2br w:val="nil"/>
                    <w:tr2bl w:val="nil"/>
                  </w:tcBorders>
                  <w:noWrap w:val="0"/>
                  <w:vAlign w:val="center"/>
                </w:tcPr>
                <w:p w14:paraId="786A1872">
                  <w:pPr>
                    <w:pStyle w:val="12"/>
                    <w:rPr>
                      <w:rFonts w:hint="eastAsia" w:ascii="Times New Roman" w:hAnsi="Times New Roman" w:eastAsia="宋体" w:cs="Times New Roman"/>
                      <w:lang w:val="en-US" w:eastAsia="zh-CN"/>
                    </w:rPr>
                  </w:pPr>
                  <w:r>
                    <w:rPr>
                      <w:rFonts w:hint="eastAsia" w:cs="Times New Roman"/>
                      <w:lang w:val="en-US" w:eastAsia="zh-CN"/>
                    </w:rPr>
                    <w:t>水稳层骨料</w:t>
                  </w:r>
                  <w:r>
                    <w:rPr>
                      <w:rFonts w:hint="eastAsia" w:ascii="Times New Roman" w:hAnsi="Times New Roman" w:eastAsia="宋体" w:cs="Times New Roman"/>
                      <w:lang w:val="en-US" w:eastAsia="zh-CN"/>
                    </w:rPr>
                    <w:t>生产：采用预处理（投加絮凝剂+压滤脱水）+煅烧工艺；</w:t>
                  </w:r>
                </w:p>
                <w:p w14:paraId="14AB2A3D">
                  <w:pPr>
                    <w:pStyle w:val="12"/>
                    <w:bidi w:val="0"/>
                    <w:rPr>
                      <w:rFonts w:hint="default"/>
                      <w:lang w:val="en-US" w:eastAsia="zh-CN"/>
                    </w:rPr>
                  </w:pPr>
                  <w:r>
                    <w:rPr>
                      <w:rFonts w:hint="eastAsia" w:cs="Times New Roman"/>
                      <w:lang w:val="en-US" w:eastAsia="zh-CN"/>
                    </w:rPr>
                    <w:t>免烧砌块</w:t>
                  </w:r>
                  <w:r>
                    <w:rPr>
                      <w:rFonts w:hint="eastAsia" w:ascii="Times New Roman" w:hAnsi="Times New Roman" w:eastAsia="宋体" w:cs="Times New Roman"/>
                      <w:lang w:val="en-US" w:eastAsia="zh-CN"/>
                    </w:rPr>
                    <w:t>：以煅烧后物料为主要原料，采用配料+</w:t>
                  </w:r>
                  <w:r>
                    <w:rPr>
                      <w:rFonts w:hint="eastAsia" w:cs="Times New Roman"/>
                      <w:lang w:val="en-US" w:eastAsia="zh-CN"/>
                    </w:rPr>
                    <w:t>轮辊混合+</w:t>
                  </w:r>
                  <w:r>
                    <w:rPr>
                      <w:rFonts w:hint="eastAsia" w:ascii="Times New Roman" w:hAnsi="Times New Roman" w:eastAsia="宋体" w:cs="Times New Roman"/>
                      <w:lang w:val="en-US" w:eastAsia="zh-CN"/>
                    </w:rPr>
                    <w:t>搅拌+压制成型+</w:t>
                  </w:r>
                  <w:r>
                    <w:rPr>
                      <w:rFonts w:hint="eastAsia" w:cs="Times New Roman"/>
                      <w:lang w:val="en-US" w:eastAsia="zh-CN"/>
                    </w:rPr>
                    <w:t>蒸汽</w:t>
                  </w:r>
                  <w:r>
                    <w:rPr>
                      <w:rFonts w:hint="eastAsia" w:ascii="Times New Roman" w:hAnsi="Times New Roman" w:eastAsia="宋体" w:cs="Times New Roman"/>
                      <w:lang w:val="en-US" w:eastAsia="zh-CN"/>
                    </w:rPr>
                    <w:t>养护工艺</w:t>
                  </w:r>
                </w:p>
              </w:tc>
              <w:tc>
                <w:tcPr>
                  <w:tcW w:w="545" w:type="pct"/>
                  <w:tcBorders>
                    <w:tl2br w:val="nil"/>
                    <w:tr2bl w:val="nil"/>
                  </w:tcBorders>
                  <w:noWrap w:val="0"/>
                  <w:vAlign w:val="center"/>
                </w:tcPr>
                <w:p w14:paraId="0A3F81C0">
                  <w:pPr>
                    <w:pStyle w:val="12"/>
                    <w:bidi w:val="0"/>
                    <w:rPr>
                      <w:rFonts w:hint="default"/>
                      <w:lang w:val="en-US" w:eastAsia="zh-CN"/>
                    </w:rPr>
                  </w:pPr>
                  <w:r>
                    <w:rPr>
                      <w:rFonts w:hint="eastAsia"/>
                      <w:lang w:val="en-US" w:eastAsia="zh-CN"/>
                    </w:rPr>
                    <w:t>工艺调整，新增污染物排放种类（二噁英）、废水其他污染物排放量增加10%以上。</w:t>
                  </w:r>
                </w:p>
              </w:tc>
              <w:tc>
                <w:tcPr>
                  <w:tcW w:w="444" w:type="pct"/>
                  <w:tcBorders>
                    <w:tl2br w:val="nil"/>
                    <w:tr2bl w:val="nil"/>
                  </w:tcBorders>
                  <w:noWrap w:val="0"/>
                  <w:vAlign w:val="center"/>
                </w:tcPr>
                <w:p w14:paraId="109A58E6">
                  <w:pPr>
                    <w:pStyle w:val="12"/>
                    <w:bidi w:val="0"/>
                    <w:rPr>
                      <w:rFonts w:hint="default"/>
                      <w:lang w:val="en-US" w:eastAsia="zh-CN"/>
                    </w:rPr>
                  </w:pPr>
                  <w:r>
                    <w:rPr>
                      <w:rFonts w:hint="eastAsia"/>
                      <w:lang w:val="en-US" w:eastAsia="zh-CN"/>
                    </w:rPr>
                    <w:t>是</w:t>
                  </w:r>
                </w:p>
              </w:tc>
            </w:tr>
            <w:tr w14:paraId="6BE40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trPr>
              <w:tc>
                <w:tcPr>
                  <w:tcW w:w="381" w:type="pct"/>
                  <w:vMerge w:val="continue"/>
                  <w:tcBorders>
                    <w:tl2br w:val="nil"/>
                    <w:tr2bl w:val="nil"/>
                  </w:tcBorders>
                  <w:noWrap w:val="0"/>
                  <w:vAlign w:val="center"/>
                </w:tcPr>
                <w:p w14:paraId="4F57F162">
                  <w:pPr>
                    <w:pStyle w:val="12"/>
                    <w:bidi w:val="0"/>
                    <w:rPr>
                      <w:rFonts w:hint="default"/>
                      <w:lang w:val="en-US" w:eastAsia="zh-CN"/>
                    </w:rPr>
                  </w:pPr>
                </w:p>
              </w:tc>
              <w:tc>
                <w:tcPr>
                  <w:tcW w:w="1350" w:type="pct"/>
                  <w:tcBorders>
                    <w:tl2br w:val="nil"/>
                    <w:tr2bl w:val="nil"/>
                  </w:tcBorders>
                  <w:noWrap w:val="0"/>
                  <w:vAlign w:val="center"/>
                </w:tcPr>
                <w:p w14:paraId="0BC4A55F">
                  <w:pPr>
                    <w:pStyle w:val="12"/>
                    <w:bidi w:val="0"/>
                    <w:rPr>
                      <w:rFonts w:hint="default"/>
                      <w:lang w:val="en-US" w:eastAsia="zh-CN"/>
                    </w:rPr>
                  </w:pPr>
                  <w:r>
                    <w:rPr>
                      <w:rFonts w:hint="default"/>
                      <w:lang w:val="en-US" w:eastAsia="zh-CN"/>
                    </w:rPr>
                    <w:t>7</w:t>
                  </w:r>
                  <w:r>
                    <w:rPr>
                      <w:rFonts w:hint="eastAsia"/>
                      <w:lang w:val="en-US" w:eastAsia="zh-CN"/>
                    </w:rPr>
                    <w:t>、</w:t>
                  </w:r>
                  <w:r>
                    <w:rPr>
                      <w:rFonts w:hint="default"/>
                      <w:lang w:val="en-US" w:eastAsia="zh-CN"/>
                    </w:rPr>
                    <w:t>物料运输、装卸、贮存方式变化，导致大气污染物无组织排放量增加10%及以上的。</w:t>
                  </w:r>
                </w:p>
              </w:tc>
              <w:tc>
                <w:tcPr>
                  <w:tcW w:w="1061" w:type="pct"/>
                  <w:tcBorders>
                    <w:tl2br w:val="nil"/>
                    <w:tr2bl w:val="nil"/>
                  </w:tcBorders>
                  <w:noWrap w:val="0"/>
                  <w:vAlign w:val="center"/>
                </w:tcPr>
                <w:p w14:paraId="73849CF9">
                  <w:pPr>
                    <w:pStyle w:val="12"/>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烘干后物料、水泥筒仓粉尘厂房内无组织排放；</w:t>
                  </w:r>
                </w:p>
                <w:p w14:paraId="3439AB9A">
                  <w:pPr>
                    <w:pStyle w:val="12"/>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砂石卸料粉尘、堆场粉尘经喷雾降尘后无组织排放；</w:t>
                  </w:r>
                </w:p>
                <w:p w14:paraId="79D6FB9F">
                  <w:pPr>
                    <w:pStyle w:val="12"/>
                    <w:bidi w:val="0"/>
                    <w:rPr>
                      <w:rFonts w:hint="default"/>
                      <w:lang w:val="en-US" w:eastAsia="zh-CN"/>
                    </w:rPr>
                  </w:pPr>
                  <w:r>
                    <w:rPr>
                      <w:rFonts w:hint="eastAsia" w:ascii="Times New Roman" w:hAnsi="Times New Roman" w:eastAsia="宋体" w:cs="Times New Roman"/>
                      <w:lang w:val="en-US" w:eastAsia="zh-CN"/>
                    </w:rPr>
                    <w:t>粉煤灰卸料、投料粉尘无组织排放；</w:t>
                  </w:r>
                </w:p>
              </w:tc>
              <w:tc>
                <w:tcPr>
                  <w:tcW w:w="1217" w:type="pct"/>
                  <w:tcBorders>
                    <w:tl2br w:val="nil"/>
                    <w:tr2bl w:val="nil"/>
                  </w:tcBorders>
                  <w:noWrap w:val="0"/>
                  <w:vAlign w:val="center"/>
                </w:tcPr>
                <w:p w14:paraId="6D56D7F3">
                  <w:pPr>
                    <w:pStyle w:val="12"/>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水泥筒仓粉尘</w:t>
                  </w:r>
                  <w:r>
                    <w:rPr>
                      <w:rFonts w:hint="eastAsia" w:cs="Times New Roman"/>
                      <w:lang w:val="en-US" w:eastAsia="zh-CN"/>
                    </w:rPr>
                    <w:t>经筒仓顶部自带布袋除尘器处理后于</w:t>
                  </w:r>
                  <w:r>
                    <w:rPr>
                      <w:rFonts w:hint="eastAsia" w:ascii="Times New Roman" w:hAnsi="Times New Roman" w:eastAsia="宋体" w:cs="Times New Roman"/>
                      <w:lang w:val="en-US" w:eastAsia="zh-CN"/>
                    </w:rPr>
                    <w:t>厂房内无组织排放；</w:t>
                  </w:r>
                </w:p>
                <w:p w14:paraId="01B15015">
                  <w:pPr>
                    <w:pStyle w:val="12"/>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砂石卸料粉尘、堆场粉尘经喷雾降尘后无组织排放；</w:t>
                  </w:r>
                </w:p>
                <w:p w14:paraId="16C2F9CB">
                  <w:pPr>
                    <w:pStyle w:val="12"/>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絮凝剂投料粉尘于投料口设置围挡，厂房内无组织排放；</w:t>
                  </w:r>
                </w:p>
                <w:p w14:paraId="73823047">
                  <w:pPr>
                    <w:pStyle w:val="12"/>
                    <w:rPr>
                      <w:rFonts w:hint="eastAsia" w:cs="Times New Roman"/>
                      <w:lang w:val="en-US" w:eastAsia="zh-CN"/>
                    </w:rPr>
                  </w:pPr>
                  <w:r>
                    <w:rPr>
                      <w:rFonts w:hint="eastAsia" w:cs="Times New Roman"/>
                      <w:lang w:val="en-US" w:eastAsia="zh-CN"/>
                    </w:rPr>
                    <w:t>煅烧后</w:t>
                  </w:r>
                  <w:r>
                    <w:rPr>
                      <w:rFonts w:hint="eastAsia" w:ascii="Times New Roman" w:hAnsi="Times New Roman" w:eastAsia="宋体" w:cs="Times New Roman"/>
                      <w:lang w:val="en-US" w:eastAsia="zh-CN"/>
                    </w:rPr>
                    <w:t>物料卸料、装载粉尘无组织排放</w:t>
                  </w:r>
                  <w:r>
                    <w:rPr>
                      <w:rFonts w:hint="eastAsia" w:cs="Times New Roman"/>
                      <w:lang w:val="en-US" w:eastAsia="zh-CN"/>
                    </w:rPr>
                    <w:t>；</w:t>
                  </w:r>
                </w:p>
                <w:p w14:paraId="1AB2E053">
                  <w:pPr>
                    <w:pStyle w:val="12"/>
                    <w:bidi w:val="0"/>
                    <w:rPr>
                      <w:rFonts w:hint="default"/>
                      <w:lang w:val="en-US" w:eastAsia="zh-CN"/>
                    </w:rPr>
                  </w:pPr>
                  <w:r>
                    <w:rPr>
                      <w:rFonts w:hint="eastAsia" w:ascii="Times New Roman" w:hAnsi="Times New Roman" w:eastAsia="宋体" w:cs="Times New Roman"/>
                      <w:lang w:val="en-US" w:eastAsia="zh-CN"/>
                    </w:rPr>
                    <w:t>水泥筒仓粉尘</w:t>
                  </w:r>
                  <w:r>
                    <w:rPr>
                      <w:rFonts w:hint="eastAsia" w:cs="Times New Roman"/>
                      <w:lang w:val="en-US" w:eastAsia="zh-CN"/>
                    </w:rPr>
                    <w:t>经筒仓顶部自带布袋除尘器处理后于</w:t>
                  </w:r>
                  <w:r>
                    <w:rPr>
                      <w:rFonts w:hint="eastAsia" w:ascii="Times New Roman" w:hAnsi="Times New Roman" w:eastAsia="宋体" w:cs="Times New Roman"/>
                      <w:lang w:val="en-US" w:eastAsia="zh-CN"/>
                    </w:rPr>
                    <w:t>厂房内无组织排放</w:t>
                  </w:r>
                  <w:r>
                    <w:rPr>
                      <w:rFonts w:hint="eastAsia" w:cs="Times New Roman"/>
                      <w:lang w:val="en-US" w:eastAsia="zh-CN"/>
                    </w:rPr>
                    <w:t>。</w:t>
                  </w:r>
                </w:p>
              </w:tc>
              <w:tc>
                <w:tcPr>
                  <w:tcW w:w="545" w:type="pct"/>
                  <w:tcBorders>
                    <w:tl2br w:val="nil"/>
                    <w:tr2bl w:val="nil"/>
                  </w:tcBorders>
                  <w:noWrap w:val="0"/>
                  <w:vAlign w:val="center"/>
                </w:tcPr>
                <w:p w14:paraId="05A8BFEA">
                  <w:pPr>
                    <w:pStyle w:val="12"/>
                    <w:bidi w:val="0"/>
                    <w:rPr>
                      <w:rFonts w:hint="default"/>
                      <w:lang w:val="en-US" w:eastAsia="zh-CN"/>
                    </w:rPr>
                  </w:pPr>
                  <w:r>
                    <w:rPr>
                      <w:rFonts w:hint="eastAsia"/>
                      <w:lang w:val="en-US" w:eastAsia="zh-CN"/>
                    </w:rPr>
                    <w:t>取消粉煤灰使用，水泥贮存方式变化，无组织排放量总体增加量低于10%。</w:t>
                  </w:r>
                </w:p>
              </w:tc>
              <w:tc>
                <w:tcPr>
                  <w:tcW w:w="444" w:type="pct"/>
                  <w:tcBorders>
                    <w:tl2br w:val="nil"/>
                    <w:tr2bl w:val="nil"/>
                  </w:tcBorders>
                  <w:noWrap w:val="0"/>
                  <w:vAlign w:val="center"/>
                </w:tcPr>
                <w:p w14:paraId="7EA2CF3A">
                  <w:pPr>
                    <w:pStyle w:val="12"/>
                    <w:bidi w:val="0"/>
                    <w:rPr>
                      <w:rFonts w:hint="default"/>
                      <w:lang w:val="en-US" w:eastAsia="zh-CN"/>
                    </w:rPr>
                  </w:pPr>
                  <w:r>
                    <w:rPr>
                      <w:rFonts w:hint="eastAsia"/>
                      <w:lang w:val="en-US" w:eastAsia="zh-CN"/>
                    </w:rPr>
                    <w:t>否</w:t>
                  </w:r>
                </w:p>
              </w:tc>
            </w:tr>
            <w:tr w14:paraId="073D3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trPr>
              <w:tc>
                <w:tcPr>
                  <w:tcW w:w="381" w:type="pct"/>
                  <w:vMerge w:val="restart"/>
                  <w:tcBorders>
                    <w:tl2br w:val="nil"/>
                    <w:tr2bl w:val="nil"/>
                  </w:tcBorders>
                  <w:noWrap w:val="0"/>
                  <w:vAlign w:val="center"/>
                </w:tcPr>
                <w:p w14:paraId="2CD58DB1">
                  <w:pPr>
                    <w:pStyle w:val="12"/>
                    <w:bidi w:val="0"/>
                    <w:rPr>
                      <w:rFonts w:hint="default"/>
                      <w:lang w:val="en-US" w:eastAsia="zh-CN"/>
                    </w:rPr>
                  </w:pPr>
                  <w:r>
                    <w:rPr>
                      <w:rFonts w:hint="default"/>
                      <w:lang w:val="en-US" w:eastAsia="zh-CN"/>
                    </w:rPr>
                    <w:t>环境保护措施</w:t>
                  </w:r>
                </w:p>
              </w:tc>
              <w:tc>
                <w:tcPr>
                  <w:tcW w:w="1350" w:type="pct"/>
                  <w:tcBorders>
                    <w:tl2br w:val="nil"/>
                    <w:tr2bl w:val="nil"/>
                  </w:tcBorders>
                  <w:noWrap w:val="0"/>
                  <w:vAlign w:val="center"/>
                </w:tcPr>
                <w:p w14:paraId="227A5E4D">
                  <w:pPr>
                    <w:pStyle w:val="12"/>
                    <w:bidi w:val="0"/>
                    <w:rPr>
                      <w:rFonts w:hint="default"/>
                      <w:lang w:val="en-US" w:eastAsia="zh-CN"/>
                    </w:rPr>
                  </w:pPr>
                  <w:r>
                    <w:rPr>
                      <w:rFonts w:hint="default"/>
                      <w:lang w:val="en-US" w:eastAsia="zh-CN"/>
                    </w:rPr>
                    <w:t>8</w:t>
                  </w:r>
                  <w:r>
                    <w:rPr>
                      <w:rFonts w:hint="eastAsia"/>
                      <w:lang w:val="en-US" w:eastAsia="zh-CN"/>
                    </w:rPr>
                    <w:t>、</w:t>
                  </w:r>
                  <w:r>
                    <w:rPr>
                      <w:rFonts w:hint="default"/>
                      <w:lang w:val="en-US" w:eastAsia="zh-CN"/>
                    </w:rPr>
                    <w:t>废气、废水污染防治措施变化，导致第6条中所列情形之一(废气无组织排放改为有组织排放、污染防治措施强化或改进的除外)或大气污染物无组织排放量增加10%及以上的。</w:t>
                  </w:r>
                </w:p>
              </w:tc>
              <w:tc>
                <w:tcPr>
                  <w:tcW w:w="1061" w:type="pct"/>
                  <w:tcBorders>
                    <w:tl2br w:val="nil"/>
                    <w:tr2bl w:val="nil"/>
                  </w:tcBorders>
                  <w:noWrap w:val="0"/>
                  <w:vAlign w:val="center"/>
                </w:tcPr>
                <w:p w14:paraId="5328F0BF">
                  <w:pPr>
                    <w:pStyle w:val="12"/>
                    <w:bidi w:val="0"/>
                    <w:rPr>
                      <w:rFonts w:hint="default"/>
                      <w:lang w:val="en-US" w:eastAsia="zh-CN"/>
                    </w:rPr>
                  </w:pPr>
                  <w:r>
                    <w:rPr>
                      <w:rFonts w:hint="eastAsia"/>
                      <w:lang w:val="en-US" w:eastAsia="zh-CN"/>
                    </w:rPr>
                    <w:t>详见表2-1</w:t>
                  </w:r>
                </w:p>
              </w:tc>
              <w:tc>
                <w:tcPr>
                  <w:tcW w:w="1217" w:type="pct"/>
                  <w:tcBorders>
                    <w:tl2br w:val="nil"/>
                    <w:tr2bl w:val="nil"/>
                  </w:tcBorders>
                  <w:noWrap w:val="0"/>
                  <w:vAlign w:val="center"/>
                </w:tcPr>
                <w:p w14:paraId="524D49F4">
                  <w:pPr>
                    <w:pStyle w:val="12"/>
                    <w:bidi w:val="0"/>
                    <w:rPr>
                      <w:rFonts w:hint="default"/>
                      <w:lang w:val="en-US" w:eastAsia="zh-CN"/>
                    </w:rPr>
                  </w:pPr>
                  <w:r>
                    <w:rPr>
                      <w:rFonts w:hint="eastAsia"/>
                      <w:lang w:val="en-US" w:eastAsia="zh-CN"/>
                    </w:rPr>
                    <w:t>废气、废水治理措施随工艺调整。</w:t>
                  </w:r>
                </w:p>
              </w:tc>
              <w:tc>
                <w:tcPr>
                  <w:tcW w:w="545" w:type="pct"/>
                  <w:tcBorders>
                    <w:tl2br w:val="nil"/>
                    <w:tr2bl w:val="nil"/>
                  </w:tcBorders>
                  <w:noWrap w:val="0"/>
                  <w:vAlign w:val="center"/>
                </w:tcPr>
                <w:p w14:paraId="48A47DB1">
                  <w:pPr>
                    <w:pStyle w:val="12"/>
                    <w:bidi w:val="0"/>
                    <w:rPr>
                      <w:rFonts w:hint="default"/>
                      <w:lang w:val="en-US" w:eastAsia="zh-CN"/>
                    </w:rPr>
                  </w:pPr>
                  <w:r>
                    <w:rPr>
                      <w:rFonts w:hint="eastAsia"/>
                      <w:lang w:val="en-US" w:eastAsia="zh-CN"/>
                    </w:rPr>
                    <w:t>工艺调整，新增污染物排放种类（二噁英）、废水其他污染物排放量增加10%以上。</w:t>
                  </w:r>
                </w:p>
              </w:tc>
              <w:tc>
                <w:tcPr>
                  <w:tcW w:w="444" w:type="pct"/>
                  <w:tcBorders>
                    <w:tl2br w:val="nil"/>
                    <w:tr2bl w:val="nil"/>
                  </w:tcBorders>
                  <w:noWrap w:val="0"/>
                  <w:vAlign w:val="center"/>
                </w:tcPr>
                <w:p w14:paraId="589BC020">
                  <w:pPr>
                    <w:pStyle w:val="12"/>
                    <w:bidi w:val="0"/>
                    <w:rPr>
                      <w:rFonts w:hint="default"/>
                      <w:lang w:val="en-US" w:eastAsia="zh-CN"/>
                    </w:rPr>
                  </w:pPr>
                  <w:r>
                    <w:rPr>
                      <w:rFonts w:hint="eastAsia"/>
                      <w:lang w:val="en-US" w:eastAsia="zh-CN"/>
                    </w:rPr>
                    <w:t>是</w:t>
                  </w:r>
                </w:p>
              </w:tc>
            </w:tr>
            <w:tr w14:paraId="50B94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456" w:hRule="atLeast"/>
              </w:trPr>
              <w:tc>
                <w:tcPr>
                  <w:tcW w:w="381" w:type="pct"/>
                  <w:vMerge w:val="continue"/>
                  <w:tcBorders>
                    <w:tl2br w:val="nil"/>
                    <w:tr2bl w:val="nil"/>
                  </w:tcBorders>
                  <w:noWrap w:val="0"/>
                  <w:vAlign w:val="center"/>
                </w:tcPr>
                <w:p w14:paraId="2AE119B5">
                  <w:pPr>
                    <w:pStyle w:val="12"/>
                    <w:bidi w:val="0"/>
                    <w:rPr>
                      <w:rFonts w:hint="default"/>
                      <w:lang w:val="en-US" w:eastAsia="zh-CN"/>
                    </w:rPr>
                  </w:pPr>
                </w:p>
              </w:tc>
              <w:tc>
                <w:tcPr>
                  <w:tcW w:w="1350" w:type="pct"/>
                  <w:tcBorders>
                    <w:tl2br w:val="nil"/>
                    <w:tr2bl w:val="nil"/>
                  </w:tcBorders>
                  <w:noWrap w:val="0"/>
                  <w:vAlign w:val="center"/>
                </w:tcPr>
                <w:p w14:paraId="727D3720">
                  <w:pPr>
                    <w:pStyle w:val="12"/>
                    <w:bidi w:val="0"/>
                    <w:rPr>
                      <w:rFonts w:hint="default"/>
                      <w:lang w:val="en-US" w:eastAsia="zh-CN"/>
                    </w:rPr>
                  </w:pPr>
                  <w:r>
                    <w:rPr>
                      <w:rFonts w:hint="default"/>
                      <w:lang w:val="en-US" w:eastAsia="zh-CN"/>
                    </w:rPr>
                    <w:t>9</w:t>
                  </w:r>
                  <w:r>
                    <w:rPr>
                      <w:rFonts w:hint="eastAsia"/>
                      <w:lang w:val="en-US" w:eastAsia="zh-CN"/>
                    </w:rPr>
                    <w:t>、</w:t>
                  </w:r>
                  <w:r>
                    <w:rPr>
                      <w:rFonts w:hint="default"/>
                      <w:lang w:val="en-US" w:eastAsia="zh-CN"/>
                    </w:rPr>
                    <w:t>新增废水直接排放口；废水由间接排放改为直接排放；废水直接排放口位置变化，导致不利环境影响加重的。</w:t>
                  </w:r>
                </w:p>
              </w:tc>
              <w:tc>
                <w:tcPr>
                  <w:tcW w:w="1061" w:type="pct"/>
                  <w:tcBorders>
                    <w:tl2br w:val="nil"/>
                    <w:tr2bl w:val="nil"/>
                  </w:tcBorders>
                  <w:noWrap w:val="0"/>
                  <w:vAlign w:val="center"/>
                </w:tcPr>
                <w:p w14:paraId="56994F2B">
                  <w:pPr>
                    <w:pStyle w:val="12"/>
                    <w:bidi w:val="0"/>
                    <w:rPr>
                      <w:rFonts w:hint="default"/>
                      <w:lang w:val="en-US" w:eastAsia="zh-CN"/>
                    </w:rPr>
                  </w:pPr>
                  <w:r>
                    <w:rPr>
                      <w:rFonts w:hint="eastAsia"/>
                      <w:lang w:val="en-US" w:eastAsia="zh-CN"/>
                    </w:rPr>
                    <w:t>设置1个废水总排口，仅排放生活污水</w:t>
                  </w:r>
                </w:p>
              </w:tc>
              <w:tc>
                <w:tcPr>
                  <w:tcW w:w="1217" w:type="pct"/>
                  <w:tcBorders>
                    <w:tl2br w:val="nil"/>
                    <w:tr2bl w:val="nil"/>
                  </w:tcBorders>
                  <w:noWrap w:val="0"/>
                  <w:vAlign w:val="center"/>
                </w:tcPr>
                <w:p w14:paraId="2A6E8238">
                  <w:pPr>
                    <w:pStyle w:val="12"/>
                    <w:bidi w:val="0"/>
                    <w:rPr>
                      <w:rFonts w:hint="default"/>
                      <w:lang w:val="en-US" w:eastAsia="zh-CN"/>
                    </w:rPr>
                  </w:pPr>
                  <w:r>
                    <w:rPr>
                      <w:rFonts w:hint="eastAsia"/>
                      <w:lang w:val="en-US" w:eastAsia="zh-CN"/>
                    </w:rPr>
                    <w:t>设置1个废水总排口，仅排放生活污水</w:t>
                  </w:r>
                </w:p>
              </w:tc>
              <w:tc>
                <w:tcPr>
                  <w:tcW w:w="545" w:type="pct"/>
                  <w:tcBorders>
                    <w:tl2br w:val="nil"/>
                    <w:tr2bl w:val="nil"/>
                  </w:tcBorders>
                  <w:noWrap w:val="0"/>
                  <w:vAlign w:val="center"/>
                </w:tcPr>
                <w:p w14:paraId="02DC8765">
                  <w:pPr>
                    <w:pStyle w:val="12"/>
                    <w:bidi w:val="0"/>
                    <w:rPr>
                      <w:rFonts w:hint="default"/>
                      <w:lang w:val="en-US" w:eastAsia="zh-CN"/>
                    </w:rPr>
                  </w:pPr>
                  <w:r>
                    <w:rPr>
                      <w:rFonts w:hint="eastAsia"/>
                      <w:lang w:val="en-US" w:eastAsia="zh-CN"/>
                    </w:rPr>
                    <w:t>无新增排口，排口位置不变</w:t>
                  </w:r>
                </w:p>
              </w:tc>
              <w:tc>
                <w:tcPr>
                  <w:tcW w:w="444" w:type="pct"/>
                  <w:tcBorders>
                    <w:tl2br w:val="nil"/>
                    <w:tr2bl w:val="nil"/>
                  </w:tcBorders>
                  <w:noWrap w:val="0"/>
                  <w:vAlign w:val="center"/>
                </w:tcPr>
                <w:p w14:paraId="2BC79BD7">
                  <w:pPr>
                    <w:pStyle w:val="12"/>
                    <w:bidi w:val="0"/>
                    <w:rPr>
                      <w:rFonts w:hint="eastAsia"/>
                      <w:lang w:val="en-US" w:eastAsia="zh-CN"/>
                    </w:rPr>
                  </w:pPr>
                  <w:r>
                    <w:rPr>
                      <w:rFonts w:hint="eastAsia"/>
                      <w:lang w:val="en-US" w:eastAsia="zh-CN"/>
                    </w:rPr>
                    <w:t>否</w:t>
                  </w:r>
                </w:p>
              </w:tc>
            </w:tr>
            <w:tr w14:paraId="2793D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456" w:hRule="atLeast"/>
              </w:trPr>
              <w:tc>
                <w:tcPr>
                  <w:tcW w:w="381" w:type="pct"/>
                  <w:vMerge w:val="continue"/>
                  <w:tcBorders>
                    <w:tl2br w:val="nil"/>
                    <w:tr2bl w:val="nil"/>
                  </w:tcBorders>
                  <w:noWrap w:val="0"/>
                  <w:vAlign w:val="center"/>
                </w:tcPr>
                <w:p w14:paraId="2E01E879">
                  <w:pPr>
                    <w:pStyle w:val="12"/>
                    <w:bidi w:val="0"/>
                    <w:rPr>
                      <w:rFonts w:hint="default"/>
                      <w:lang w:val="en-US" w:eastAsia="zh-CN"/>
                    </w:rPr>
                  </w:pPr>
                </w:p>
              </w:tc>
              <w:tc>
                <w:tcPr>
                  <w:tcW w:w="1350" w:type="pct"/>
                  <w:tcBorders>
                    <w:tl2br w:val="nil"/>
                    <w:tr2bl w:val="nil"/>
                  </w:tcBorders>
                  <w:noWrap w:val="0"/>
                  <w:vAlign w:val="center"/>
                </w:tcPr>
                <w:p w14:paraId="14CF279C">
                  <w:pPr>
                    <w:pStyle w:val="12"/>
                    <w:bidi w:val="0"/>
                    <w:rPr>
                      <w:rFonts w:hint="default"/>
                      <w:lang w:val="en-US" w:eastAsia="zh-CN"/>
                    </w:rPr>
                  </w:pPr>
                  <w:r>
                    <w:rPr>
                      <w:rFonts w:hint="default"/>
                      <w:lang w:val="en-US" w:eastAsia="zh-CN"/>
                    </w:rPr>
                    <w:t>10</w:t>
                  </w:r>
                  <w:r>
                    <w:rPr>
                      <w:rFonts w:hint="eastAsia"/>
                      <w:lang w:val="en-US" w:eastAsia="zh-CN"/>
                    </w:rPr>
                    <w:t>、</w:t>
                  </w:r>
                  <w:r>
                    <w:rPr>
                      <w:rFonts w:hint="default"/>
                      <w:lang w:val="en-US" w:eastAsia="zh-CN"/>
                    </w:rPr>
                    <w:t>新增废气主要排放口</w:t>
                  </w:r>
                  <w:r>
                    <w:rPr>
                      <w:rFonts w:hint="eastAsia"/>
                      <w:lang w:val="en-US" w:eastAsia="zh-CN"/>
                    </w:rPr>
                    <w:t>（</w:t>
                  </w:r>
                  <w:r>
                    <w:rPr>
                      <w:rFonts w:hint="default"/>
                      <w:lang w:val="en-US" w:eastAsia="zh-CN"/>
                    </w:rPr>
                    <w:t>废气无组织排放改为有组织排放的除外</w:t>
                  </w:r>
                  <w:r>
                    <w:rPr>
                      <w:rFonts w:hint="eastAsia"/>
                      <w:lang w:val="en-US" w:eastAsia="zh-CN"/>
                    </w:rPr>
                    <w:t>）；</w:t>
                  </w:r>
                  <w:r>
                    <w:rPr>
                      <w:rFonts w:hint="default"/>
                      <w:lang w:val="en-US" w:eastAsia="zh-CN"/>
                    </w:rPr>
                    <w:t>主要排放口排气筒高度降低10%及以上的。</w:t>
                  </w:r>
                </w:p>
              </w:tc>
              <w:tc>
                <w:tcPr>
                  <w:tcW w:w="1061" w:type="pct"/>
                  <w:tcBorders>
                    <w:tl2br w:val="nil"/>
                    <w:tr2bl w:val="nil"/>
                  </w:tcBorders>
                  <w:noWrap w:val="0"/>
                  <w:vAlign w:val="center"/>
                </w:tcPr>
                <w:p w14:paraId="2565880F">
                  <w:pPr>
                    <w:pStyle w:val="12"/>
                    <w:bidi w:val="0"/>
                    <w:rPr>
                      <w:rFonts w:hint="default"/>
                      <w:lang w:val="en-US" w:eastAsia="zh-CN"/>
                    </w:rPr>
                  </w:pPr>
                  <w:r>
                    <w:rPr>
                      <w:rFonts w:hint="eastAsia"/>
                      <w:lang w:val="en-US" w:eastAsia="zh-CN"/>
                    </w:rPr>
                    <w:t>设置2根15m高排气筒</w:t>
                  </w:r>
                </w:p>
              </w:tc>
              <w:tc>
                <w:tcPr>
                  <w:tcW w:w="1217" w:type="pct"/>
                  <w:tcBorders>
                    <w:tl2br w:val="nil"/>
                    <w:tr2bl w:val="nil"/>
                  </w:tcBorders>
                  <w:noWrap w:val="0"/>
                  <w:vAlign w:val="center"/>
                </w:tcPr>
                <w:p w14:paraId="72332C2E">
                  <w:pPr>
                    <w:pStyle w:val="12"/>
                    <w:bidi w:val="0"/>
                    <w:rPr>
                      <w:rFonts w:hint="default"/>
                      <w:lang w:val="en-US" w:eastAsia="zh-CN"/>
                    </w:rPr>
                  </w:pPr>
                  <w:r>
                    <w:rPr>
                      <w:rFonts w:hint="eastAsia"/>
                      <w:lang w:val="en-US" w:eastAsia="zh-CN"/>
                    </w:rPr>
                    <w:t>设置1根25m高排气筒，1根15m排气筒</w:t>
                  </w:r>
                </w:p>
              </w:tc>
              <w:tc>
                <w:tcPr>
                  <w:tcW w:w="545" w:type="pct"/>
                  <w:tcBorders>
                    <w:tl2br w:val="nil"/>
                    <w:tr2bl w:val="nil"/>
                  </w:tcBorders>
                  <w:noWrap w:val="0"/>
                  <w:vAlign w:val="center"/>
                </w:tcPr>
                <w:p w14:paraId="24B684F2">
                  <w:pPr>
                    <w:pStyle w:val="12"/>
                    <w:bidi w:val="0"/>
                    <w:rPr>
                      <w:rFonts w:hint="default"/>
                      <w:lang w:val="en-US" w:eastAsia="zh-CN"/>
                    </w:rPr>
                  </w:pPr>
                  <w:r>
                    <w:rPr>
                      <w:rFonts w:hint="eastAsia"/>
                      <w:lang w:val="en-US" w:eastAsia="zh-CN"/>
                    </w:rPr>
                    <w:t>排气筒位置、高度调整；数量不变</w:t>
                  </w:r>
                </w:p>
              </w:tc>
              <w:tc>
                <w:tcPr>
                  <w:tcW w:w="444" w:type="pct"/>
                  <w:tcBorders>
                    <w:tl2br w:val="nil"/>
                    <w:tr2bl w:val="nil"/>
                  </w:tcBorders>
                  <w:noWrap w:val="0"/>
                  <w:vAlign w:val="center"/>
                </w:tcPr>
                <w:p w14:paraId="7E0AFE15">
                  <w:pPr>
                    <w:pStyle w:val="12"/>
                    <w:bidi w:val="0"/>
                    <w:rPr>
                      <w:rFonts w:hint="eastAsia"/>
                      <w:lang w:val="en-US" w:eastAsia="zh-CN"/>
                    </w:rPr>
                  </w:pPr>
                  <w:r>
                    <w:rPr>
                      <w:rFonts w:hint="eastAsia"/>
                      <w:lang w:val="en-US" w:eastAsia="zh-CN"/>
                    </w:rPr>
                    <w:t>否</w:t>
                  </w:r>
                </w:p>
              </w:tc>
            </w:tr>
            <w:tr w14:paraId="637E0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456" w:hRule="atLeast"/>
              </w:trPr>
              <w:tc>
                <w:tcPr>
                  <w:tcW w:w="381" w:type="pct"/>
                  <w:vMerge w:val="continue"/>
                  <w:tcBorders>
                    <w:tl2br w:val="nil"/>
                    <w:tr2bl w:val="nil"/>
                  </w:tcBorders>
                  <w:noWrap w:val="0"/>
                  <w:vAlign w:val="center"/>
                </w:tcPr>
                <w:p w14:paraId="518AA566">
                  <w:pPr>
                    <w:pStyle w:val="12"/>
                    <w:bidi w:val="0"/>
                    <w:rPr>
                      <w:rFonts w:hint="default"/>
                      <w:lang w:val="en-US" w:eastAsia="zh-CN"/>
                    </w:rPr>
                  </w:pPr>
                </w:p>
              </w:tc>
              <w:tc>
                <w:tcPr>
                  <w:tcW w:w="1350" w:type="pct"/>
                  <w:tcBorders>
                    <w:tl2br w:val="nil"/>
                    <w:tr2bl w:val="nil"/>
                  </w:tcBorders>
                  <w:noWrap w:val="0"/>
                  <w:vAlign w:val="center"/>
                </w:tcPr>
                <w:p w14:paraId="3C44710D">
                  <w:pPr>
                    <w:pStyle w:val="12"/>
                    <w:bidi w:val="0"/>
                    <w:rPr>
                      <w:rFonts w:hint="default"/>
                      <w:lang w:val="en-US" w:eastAsia="zh-CN"/>
                    </w:rPr>
                  </w:pPr>
                  <w:r>
                    <w:rPr>
                      <w:rFonts w:hint="default"/>
                      <w:lang w:val="en-US" w:eastAsia="zh-CN"/>
                    </w:rPr>
                    <w:t>11</w:t>
                  </w:r>
                  <w:r>
                    <w:rPr>
                      <w:rFonts w:hint="eastAsia"/>
                      <w:lang w:val="en-US" w:eastAsia="zh-CN"/>
                    </w:rPr>
                    <w:t>、</w:t>
                  </w:r>
                  <w:r>
                    <w:rPr>
                      <w:rFonts w:hint="default"/>
                      <w:lang w:val="en-US" w:eastAsia="zh-CN"/>
                    </w:rPr>
                    <w:t>噪声、土壤或地下水污染防治措施变化，导致不利环境影响加重的。</w:t>
                  </w:r>
                </w:p>
              </w:tc>
              <w:tc>
                <w:tcPr>
                  <w:tcW w:w="1061" w:type="pct"/>
                  <w:tcBorders>
                    <w:tl2br w:val="nil"/>
                    <w:tr2bl w:val="nil"/>
                  </w:tcBorders>
                  <w:noWrap w:val="0"/>
                  <w:vAlign w:val="center"/>
                </w:tcPr>
                <w:p w14:paraId="4DB67D5F">
                  <w:pPr>
                    <w:pStyle w:val="12"/>
                    <w:bidi w:val="0"/>
                    <w:rPr>
                      <w:rFonts w:hint="default"/>
                      <w:lang w:val="en-US" w:eastAsia="zh-CN"/>
                    </w:rPr>
                  </w:pPr>
                  <w:r>
                    <w:rPr>
                      <w:rFonts w:hint="eastAsia"/>
                      <w:lang w:val="en-US" w:eastAsia="zh-CN"/>
                    </w:rPr>
                    <w:t>低噪设备、距离衰减、合理布局、定期维护设备；分区防渗。</w:t>
                  </w:r>
                </w:p>
              </w:tc>
              <w:tc>
                <w:tcPr>
                  <w:tcW w:w="1217" w:type="pct"/>
                  <w:tcBorders>
                    <w:tl2br w:val="nil"/>
                    <w:tr2bl w:val="nil"/>
                  </w:tcBorders>
                  <w:noWrap w:val="0"/>
                  <w:vAlign w:val="center"/>
                </w:tcPr>
                <w:p w14:paraId="4E9B151F">
                  <w:pPr>
                    <w:pStyle w:val="12"/>
                    <w:bidi w:val="0"/>
                    <w:rPr>
                      <w:rFonts w:hint="eastAsia"/>
                      <w:lang w:val="en-US" w:eastAsia="zh-CN"/>
                    </w:rPr>
                  </w:pPr>
                  <w:r>
                    <w:rPr>
                      <w:rFonts w:hint="eastAsia"/>
                      <w:lang w:val="en-US" w:eastAsia="zh-CN"/>
                    </w:rPr>
                    <w:t>低噪设备、距离衰减、合理布局、定期维护设备；分区防渗。</w:t>
                  </w:r>
                </w:p>
              </w:tc>
              <w:tc>
                <w:tcPr>
                  <w:tcW w:w="545" w:type="pct"/>
                  <w:tcBorders>
                    <w:tl2br w:val="nil"/>
                    <w:tr2bl w:val="nil"/>
                  </w:tcBorders>
                  <w:noWrap w:val="0"/>
                  <w:vAlign w:val="center"/>
                </w:tcPr>
                <w:p w14:paraId="7AC4A719">
                  <w:pPr>
                    <w:pStyle w:val="12"/>
                    <w:bidi w:val="0"/>
                    <w:rPr>
                      <w:rFonts w:hint="eastAsia"/>
                      <w:lang w:val="en-US" w:eastAsia="zh-CN"/>
                    </w:rPr>
                  </w:pPr>
                  <w:r>
                    <w:rPr>
                      <w:rFonts w:hint="eastAsia"/>
                      <w:lang w:val="en-US" w:eastAsia="zh-CN"/>
                    </w:rPr>
                    <w:t>无变动</w:t>
                  </w:r>
                </w:p>
              </w:tc>
              <w:tc>
                <w:tcPr>
                  <w:tcW w:w="444" w:type="pct"/>
                  <w:tcBorders>
                    <w:tl2br w:val="nil"/>
                    <w:tr2bl w:val="nil"/>
                  </w:tcBorders>
                  <w:noWrap w:val="0"/>
                  <w:vAlign w:val="center"/>
                </w:tcPr>
                <w:p w14:paraId="324A2A1E">
                  <w:pPr>
                    <w:pStyle w:val="12"/>
                    <w:bidi w:val="0"/>
                    <w:rPr>
                      <w:rFonts w:hint="eastAsia"/>
                      <w:lang w:val="en-US" w:eastAsia="zh-CN"/>
                    </w:rPr>
                  </w:pPr>
                  <w:r>
                    <w:rPr>
                      <w:rFonts w:hint="eastAsia"/>
                      <w:lang w:val="en-US" w:eastAsia="zh-CN"/>
                    </w:rPr>
                    <w:t>否</w:t>
                  </w:r>
                </w:p>
              </w:tc>
            </w:tr>
            <w:tr w14:paraId="6CA8C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456" w:hRule="atLeast"/>
              </w:trPr>
              <w:tc>
                <w:tcPr>
                  <w:tcW w:w="381" w:type="pct"/>
                  <w:vMerge w:val="continue"/>
                  <w:tcBorders>
                    <w:tl2br w:val="nil"/>
                    <w:tr2bl w:val="nil"/>
                  </w:tcBorders>
                  <w:noWrap w:val="0"/>
                  <w:vAlign w:val="center"/>
                </w:tcPr>
                <w:p w14:paraId="1CAB4E7D">
                  <w:pPr>
                    <w:pStyle w:val="12"/>
                    <w:bidi w:val="0"/>
                    <w:rPr>
                      <w:rFonts w:hint="default"/>
                      <w:lang w:val="en-US" w:eastAsia="zh-CN"/>
                    </w:rPr>
                  </w:pPr>
                </w:p>
              </w:tc>
              <w:tc>
                <w:tcPr>
                  <w:tcW w:w="1350" w:type="pct"/>
                  <w:tcBorders>
                    <w:tl2br w:val="nil"/>
                    <w:tr2bl w:val="nil"/>
                  </w:tcBorders>
                  <w:noWrap w:val="0"/>
                  <w:vAlign w:val="center"/>
                </w:tcPr>
                <w:p w14:paraId="488C4C6A">
                  <w:pPr>
                    <w:pStyle w:val="12"/>
                    <w:bidi w:val="0"/>
                    <w:rPr>
                      <w:rFonts w:hint="default"/>
                      <w:lang w:val="en-US" w:eastAsia="zh-CN"/>
                    </w:rPr>
                  </w:pPr>
                  <w:r>
                    <w:rPr>
                      <w:rFonts w:hint="default"/>
                      <w:lang w:val="en-US" w:eastAsia="zh-CN"/>
                    </w:rPr>
                    <w:t>12</w:t>
                  </w:r>
                  <w:r>
                    <w:rPr>
                      <w:rFonts w:hint="eastAsia"/>
                      <w:lang w:val="en-US" w:eastAsia="zh-CN"/>
                    </w:rPr>
                    <w:t>、</w:t>
                  </w:r>
                  <w:r>
                    <w:rPr>
                      <w:rFonts w:hint="default"/>
                      <w:lang w:val="en-US" w:eastAsia="zh-CN"/>
                    </w:rPr>
                    <w:t>固体废物利用处置方式由委托外单位利用处置改为自行利用处置的</w:t>
                  </w:r>
                  <w:r>
                    <w:rPr>
                      <w:rFonts w:hint="eastAsia"/>
                      <w:lang w:val="en-US" w:eastAsia="zh-CN"/>
                    </w:rPr>
                    <w:t>（</w:t>
                  </w:r>
                  <w:r>
                    <w:rPr>
                      <w:rFonts w:hint="default"/>
                      <w:lang w:val="en-US" w:eastAsia="zh-CN"/>
                    </w:rPr>
                    <w:t>自行利用处置设施单独开展环境影响评价的除外</w:t>
                  </w:r>
                  <w:r>
                    <w:rPr>
                      <w:rFonts w:hint="eastAsia"/>
                      <w:lang w:val="en-US" w:eastAsia="zh-CN"/>
                    </w:rPr>
                    <w:t>）；</w:t>
                  </w:r>
                  <w:r>
                    <w:rPr>
                      <w:rFonts w:hint="default"/>
                      <w:lang w:val="en-US" w:eastAsia="zh-CN"/>
                    </w:rPr>
                    <w:t>固体废物自行处置方式变化，导致不利环境影响加重的。</w:t>
                  </w:r>
                </w:p>
              </w:tc>
              <w:tc>
                <w:tcPr>
                  <w:tcW w:w="1061" w:type="pct"/>
                  <w:tcBorders>
                    <w:tl2br w:val="nil"/>
                    <w:tr2bl w:val="nil"/>
                  </w:tcBorders>
                  <w:noWrap w:val="0"/>
                  <w:vAlign w:val="center"/>
                </w:tcPr>
                <w:p w14:paraId="1A53FC6A">
                  <w:pPr>
                    <w:pStyle w:val="12"/>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生活垃圾由环卫处置；不合格品返回搅拌阶段重新利用；废模具由厂界回收更换；布袋除尘器集尘作为原料利用；废布袋由废品回收站处置。</w:t>
                  </w:r>
                </w:p>
                <w:p w14:paraId="3A28A457">
                  <w:pPr>
                    <w:pStyle w:val="12"/>
                    <w:ind w:firstLine="0" w:firstLineChars="0"/>
                    <w:rPr>
                      <w:rFonts w:hint="eastAsia"/>
                      <w:lang w:val="en-US" w:eastAsia="zh-CN"/>
                    </w:rPr>
                  </w:pPr>
                  <w:r>
                    <w:rPr>
                      <w:rFonts w:hint="eastAsia" w:ascii="Times New Roman" w:hAnsi="Times New Roman" w:eastAsia="宋体" w:cs="Times New Roman"/>
                      <w:lang w:val="en-US" w:eastAsia="zh-CN"/>
                    </w:rPr>
                    <w:t>废液压油由厂家更换带走；废机油、废机油桶、沾油废</w:t>
                  </w:r>
                  <w:r>
                    <w:rPr>
                      <w:rFonts w:hint="eastAsia" w:cs="Times New Roman"/>
                      <w:lang w:val="en-US" w:eastAsia="zh-CN"/>
                    </w:rPr>
                    <w:t>物在</w:t>
                  </w:r>
                  <w:r>
                    <w:rPr>
                      <w:rFonts w:hint="eastAsia" w:ascii="Times New Roman" w:hAnsi="Times New Roman" w:eastAsia="宋体" w:cs="Times New Roman"/>
                      <w:lang w:val="en-US" w:eastAsia="zh-CN"/>
                    </w:rPr>
                    <w:t>危废暂存间内暂存，委托资质单位清运处置。</w:t>
                  </w:r>
                </w:p>
              </w:tc>
              <w:tc>
                <w:tcPr>
                  <w:tcW w:w="1217" w:type="pct"/>
                  <w:tcBorders>
                    <w:tl2br w:val="nil"/>
                    <w:tr2bl w:val="nil"/>
                  </w:tcBorders>
                  <w:noWrap w:val="0"/>
                  <w:vAlign w:val="center"/>
                </w:tcPr>
                <w:p w14:paraId="63D59465">
                  <w:pPr>
                    <w:pStyle w:val="12"/>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生活垃圾由环卫处置；制砖阶段不合格品返回搅拌阶段重新利用；废模具由厂界回收更换；布袋除尘器</w:t>
                  </w:r>
                  <w:r>
                    <w:rPr>
                      <w:rFonts w:hint="eastAsia" w:cs="Times New Roman"/>
                      <w:lang w:val="en-US" w:eastAsia="zh-CN"/>
                    </w:rPr>
                    <w:t>及旋风除尘器</w:t>
                  </w:r>
                  <w:r>
                    <w:rPr>
                      <w:rFonts w:hint="eastAsia" w:ascii="Times New Roman" w:hAnsi="Times New Roman" w:eastAsia="宋体" w:cs="Times New Roman"/>
                      <w:lang w:val="en-US" w:eastAsia="zh-CN"/>
                    </w:rPr>
                    <w:t>集尘作为原料利用；废布袋由废品回收站处置；</w:t>
                  </w:r>
                  <w:r>
                    <w:t>脱硫渣</w:t>
                  </w:r>
                  <w:r>
                    <w:rPr>
                      <w:rFonts w:hint="eastAsia"/>
                      <w:lang w:val="en-US" w:eastAsia="zh-CN"/>
                    </w:rPr>
                    <w:t>外售相关建材企业综合利用；氟化钙污泥外售水泥厂制水泥</w:t>
                  </w:r>
                  <w:r>
                    <w:rPr>
                      <w:rFonts w:hint="eastAsia" w:ascii="Times New Roman" w:hAnsi="Times New Roman" w:eastAsia="宋体" w:cs="Times New Roman"/>
                      <w:lang w:val="en-US" w:eastAsia="zh-CN"/>
                    </w:rPr>
                    <w:t>。</w:t>
                  </w:r>
                </w:p>
                <w:p w14:paraId="4BDB297C">
                  <w:pPr>
                    <w:pStyle w:val="12"/>
                    <w:ind w:firstLine="0" w:firstLineChars="0"/>
                    <w:rPr>
                      <w:rFonts w:hint="eastAsia"/>
                      <w:lang w:val="en-US" w:eastAsia="zh-CN"/>
                    </w:rPr>
                  </w:pPr>
                  <w:r>
                    <w:rPr>
                      <w:rFonts w:hint="eastAsia" w:ascii="Times New Roman" w:hAnsi="Times New Roman" w:eastAsia="宋体" w:cs="Times New Roman"/>
                      <w:lang w:val="en-US" w:eastAsia="zh-CN"/>
                    </w:rPr>
                    <w:t>废液压油由厂家更换带走</w:t>
                  </w:r>
                  <w:r>
                    <w:rPr>
                      <w:rFonts w:hint="eastAsia" w:cs="Times New Roman"/>
                      <w:lang w:val="en-US" w:eastAsia="zh-CN"/>
                    </w:rPr>
                    <w:t>，不在厂内暂存</w:t>
                  </w:r>
                  <w:r>
                    <w:rPr>
                      <w:rFonts w:hint="eastAsia" w:ascii="Times New Roman" w:hAnsi="Times New Roman" w:eastAsia="宋体" w:cs="Times New Roman"/>
                      <w:lang w:val="en-US" w:eastAsia="zh-CN"/>
                    </w:rPr>
                    <w:t>；废机油、废机油桶、</w:t>
                  </w:r>
                  <w:r>
                    <w:rPr>
                      <w:rFonts w:hint="eastAsia" w:cs="Times New Roman"/>
                      <w:lang w:val="en-US" w:eastAsia="zh-CN"/>
                    </w:rPr>
                    <w:t>废活性炭、</w:t>
                  </w:r>
                  <w:r>
                    <w:rPr>
                      <w:rFonts w:hint="eastAsia" w:ascii="Times New Roman" w:hAnsi="Times New Roman" w:eastAsia="宋体" w:cs="Times New Roman"/>
                      <w:lang w:val="en-US" w:eastAsia="zh-CN"/>
                    </w:rPr>
                    <w:t>沾油废</w:t>
                  </w:r>
                  <w:r>
                    <w:rPr>
                      <w:rFonts w:hint="eastAsia" w:cs="Times New Roman"/>
                      <w:lang w:val="en-US" w:eastAsia="zh-CN"/>
                    </w:rPr>
                    <w:t>物在</w:t>
                  </w:r>
                  <w:r>
                    <w:rPr>
                      <w:rFonts w:hint="eastAsia" w:ascii="Times New Roman" w:hAnsi="Times New Roman" w:eastAsia="宋体" w:cs="Times New Roman"/>
                      <w:lang w:val="en-US" w:eastAsia="zh-CN"/>
                    </w:rPr>
                    <w:t>危废暂存间内暂存，委托资质单位清运处置。</w:t>
                  </w:r>
                </w:p>
              </w:tc>
              <w:tc>
                <w:tcPr>
                  <w:tcW w:w="545" w:type="pct"/>
                  <w:tcBorders>
                    <w:tl2br w:val="nil"/>
                    <w:tr2bl w:val="nil"/>
                  </w:tcBorders>
                  <w:noWrap w:val="0"/>
                  <w:vAlign w:val="center"/>
                </w:tcPr>
                <w:p w14:paraId="39021BCF">
                  <w:pPr>
                    <w:pStyle w:val="12"/>
                    <w:bidi w:val="0"/>
                    <w:rPr>
                      <w:rFonts w:hint="default"/>
                      <w:lang w:val="en-US" w:eastAsia="zh-CN"/>
                    </w:rPr>
                  </w:pPr>
                  <w:r>
                    <w:rPr>
                      <w:rFonts w:hint="eastAsia"/>
                      <w:lang w:val="en-US" w:eastAsia="zh-CN"/>
                    </w:rPr>
                    <w:t>新增</w:t>
                  </w:r>
                  <w:r>
                    <w:rPr>
                      <w:rFonts w:hint="eastAsia" w:ascii="Times New Roman" w:hAnsi="Times New Roman" w:eastAsia="宋体" w:cs="Times New Roman"/>
                      <w:lang w:val="en-US" w:eastAsia="zh-CN"/>
                    </w:rPr>
                    <w:t>处理后废物料，但固废均合理处置</w:t>
                  </w:r>
                </w:p>
              </w:tc>
              <w:tc>
                <w:tcPr>
                  <w:tcW w:w="444" w:type="pct"/>
                  <w:tcBorders>
                    <w:tl2br w:val="nil"/>
                    <w:tr2bl w:val="nil"/>
                  </w:tcBorders>
                  <w:noWrap w:val="0"/>
                  <w:vAlign w:val="center"/>
                </w:tcPr>
                <w:p w14:paraId="4F8C787D">
                  <w:pPr>
                    <w:pStyle w:val="12"/>
                    <w:bidi w:val="0"/>
                    <w:rPr>
                      <w:rFonts w:hint="default"/>
                      <w:lang w:val="en-US" w:eastAsia="zh-CN"/>
                    </w:rPr>
                  </w:pPr>
                  <w:r>
                    <w:rPr>
                      <w:rFonts w:hint="eastAsia"/>
                      <w:lang w:val="en-US" w:eastAsia="zh-CN"/>
                    </w:rPr>
                    <w:t>否，合理处置</w:t>
                  </w:r>
                </w:p>
              </w:tc>
            </w:tr>
            <w:tr w14:paraId="73B2B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456" w:hRule="atLeast"/>
              </w:trPr>
              <w:tc>
                <w:tcPr>
                  <w:tcW w:w="381" w:type="pct"/>
                  <w:vMerge w:val="continue"/>
                  <w:tcBorders>
                    <w:tl2br w:val="nil"/>
                    <w:tr2bl w:val="nil"/>
                  </w:tcBorders>
                  <w:noWrap w:val="0"/>
                  <w:vAlign w:val="center"/>
                </w:tcPr>
                <w:p w14:paraId="29A0E0CE">
                  <w:pPr>
                    <w:pStyle w:val="12"/>
                    <w:bidi w:val="0"/>
                    <w:rPr>
                      <w:rFonts w:hint="default"/>
                      <w:lang w:val="en-US" w:eastAsia="zh-CN"/>
                    </w:rPr>
                  </w:pPr>
                </w:p>
              </w:tc>
              <w:tc>
                <w:tcPr>
                  <w:tcW w:w="1350" w:type="pct"/>
                  <w:tcBorders>
                    <w:tl2br w:val="nil"/>
                    <w:tr2bl w:val="nil"/>
                  </w:tcBorders>
                  <w:noWrap w:val="0"/>
                  <w:vAlign w:val="center"/>
                </w:tcPr>
                <w:p w14:paraId="577257BA">
                  <w:pPr>
                    <w:pStyle w:val="12"/>
                    <w:bidi w:val="0"/>
                    <w:rPr>
                      <w:rFonts w:hint="default"/>
                      <w:lang w:val="en-US" w:eastAsia="zh-CN"/>
                    </w:rPr>
                  </w:pPr>
                  <w:r>
                    <w:rPr>
                      <w:rFonts w:hint="default"/>
                      <w:lang w:val="en-US" w:eastAsia="zh-CN"/>
                    </w:rPr>
                    <w:t>13</w:t>
                  </w:r>
                  <w:r>
                    <w:rPr>
                      <w:rFonts w:hint="eastAsia"/>
                      <w:lang w:val="en-US" w:eastAsia="zh-CN"/>
                    </w:rPr>
                    <w:t>、</w:t>
                  </w:r>
                  <w:r>
                    <w:rPr>
                      <w:rFonts w:hint="default"/>
                      <w:lang w:val="en-US" w:eastAsia="zh-CN"/>
                    </w:rPr>
                    <w:t>事故废水暂存能力或拦截设施变化，导致环境风险防范能力弱化或降低的。</w:t>
                  </w:r>
                </w:p>
              </w:tc>
              <w:tc>
                <w:tcPr>
                  <w:tcW w:w="1061" w:type="pct"/>
                  <w:tcBorders>
                    <w:tl2br w:val="nil"/>
                    <w:tr2bl w:val="nil"/>
                  </w:tcBorders>
                  <w:noWrap w:val="0"/>
                  <w:vAlign w:val="center"/>
                </w:tcPr>
                <w:p w14:paraId="0E9E1FF9">
                  <w:pPr>
                    <w:pStyle w:val="12"/>
                    <w:bidi w:val="0"/>
                    <w:rPr>
                      <w:rFonts w:hint="default"/>
                      <w:lang w:val="en-US" w:eastAsia="zh-CN"/>
                    </w:rPr>
                  </w:pPr>
                  <w:r>
                    <w:rPr>
                      <w:rFonts w:hint="eastAsia"/>
                      <w:lang w:val="en-US" w:eastAsia="zh-CN"/>
                    </w:rPr>
                    <w:t>无</w:t>
                  </w:r>
                </w:p>
              </w:tc>
              <w:tc>
                <w:tcPr>
                  <w:tcW w:w="1217" w:type="pct"/>
                  <w:tcBorders>
                    <w:tl2br w:val="nil"/>
                    <w:tr2bl w:val="nil"/>
                  </w:tcBorders>
                  <w:noWrap w:val="0"/>
                  <w:vAlign w:val="center"/>
                </w:tcPr>
                <w:p w14:paraId="3CB88775">
                  <w:pPr>
                    <w:pStyle w:val="12"/>
                    <w:bidi w:val="0"/>
                    <w:rPr>
                      <w:rFonts w:hint="default"/>
                      <w:lang w:val="en-US" w:eastAsia="zh-CN"/>
                    </w:rPr>
                  </w:pPr>
                  <w:r>
                    <w:rPr>
                      <w:rFonts w:hint="eastAsia"/>
                      <w:lang w:val="en-US" w:eastAsia="zh-CN"/>
                    </w:rPr>
                    <w:t>无</w:t>
                  </w:r>
                </w:p>
              </w:tc>
              <w:tc>
                <w:tcPr>
                  <w:tcW w:w="545" w:type="pct"/>
                  <w:tcBorders>
                    <w:tl2br w:val="nil"/>
                    <w:tr2bl w:val="nil"/>
                  </w:tcBorders>
                  <w:noWrap w:val="0"/>
                  <w:vAlign w:val="center"/>
                </w:tcPr>
                <w:p w14:paraId="1274A20B">
                  <w:pPr>
                    <w:pStyle w:val="12"/>
                    <w:bidi w:val="0"/>
                    <w:rPr>
                      <w:rFonts w:hint="eastAsia"/>
                      <w:lang w:val="en-US" w:eastAsia="zh-CN"/>
                    </w:rPr>
                  </w:pPr>
                  <w:r>
                    <w:rPr>
                      <w:rFonts w:hint="eastAsia"/>
                      <w:lang w:val="en-US" w:eastAsia="zh-CN"/>
                    </w:rPr>
                    <w:t>无变动</w:t>
                  </w:r>
                </w:p>
              </w:tc>
              <w:tc>
                <w:tcPr>
                  <w:tcW w:w="444" w:type="pct"/>
                  <w:tcBorders>
                    <w:tl2br w:val="nil"/>
                    <w:tr2bl w:val="nil"/>
                  </w:tcBorders>
                  <w:noWrap w:val="0"/>
                  <w:vAlign w:val="center"/>
                </w:tcPr>
                <w:p w14:paraId="7AF23DEF">
                  <w:pPr>
                    <w:pStyle w:val="12"/>
                    <w:bidi w:val="0"/>
                    <w:rPr>
                      <w:rFonts w:hint="eastAsia"/>
                      <w:lang w:val="en-US" w:eastAsia="zh-CN"/>
                    </w:rPr>
                  </w:pPr>
                  <w:r>
                    <w:rPr>
                      <w:rFonts w:hint="eastAsia"/>
                      <w:lang w:val="en-US" w:eastAsia="zh-CN"/>
                    </w:rPr>
                    <w:t>否</w:t>
                  </w:r>
                </w:p>
              </w:tc>
            </w:tr>
          </w:tbl>
          <w:p w14:paraId="5520BD75">
            <w:pPr>
              <w:keepNext w:val="0"/>
              <w:keepLines w:val="0"/>
              <w:widowControl/>
              <w:suppressLineNumbers w:val="0"/>
              <w:jc w:val="left"/>
              <w:rPr>
                <w:rFonts w:hint="eastAsia" w:ascii="宋体" w:hAnsi="宋体" w:eastAsia="宋体" w:cs="宋体"/>
                <w:color w:val="000000"/>
                <w:kern w:val="0"/>
                <w:sz w:val="24"/>
                <w:szCs w:val="24"/>
                <w:lang w:val="en-US" w:eastAsia="zh-CN" w:bidi="ar"/>
              </w:rPr>
            </w:pPr>
            <w:r>
              <w:rPr>
                <w:rFonts w:hint="eastAsia" w:ascii="Times New Roman" w:hAnsi="Times New Roman" w:eastAsia="宋体" w:cs="Times New Roman"/>
                <w:color w:val="auto"/>
                <w:sz w:val="24"/>
                <w:lang w:val="en-US" w:eastAsia="zh-CN"/>
              </w:rPr>
              <w:t>根据上表可知，本项目生产规模、地点、生产工艺、环保措施均发生重大变动。</w:t>
            </w:r>
            <w:r>
              <w:rPr>
                <w:rFonts w:hint="eastAsia" w:ascii="宋体" w:hAnsi="宋体" w:eastAsia="宋体" w:cs="宋体"/>
                <w:color w:val="000000"/>
                <w:kern w:val="0"/>
                <w:sz w:val="24"/>
                <w:szCs w:val="24"/>
                <w:lang w:val="en-US" w:eastAsia="zh-CN" w:bidi="ar"/>
              </w:rPr>
              <w:t>根据《中华人民共和国环境影响评价法》中“第二十四条、建设项目的环境影响评价文件经批准后，建设项目的性质、规模、地点、采用的生产工艺或者防治污染、防止生态破坏的措施发生重大变动的，建设单位应当重新报批建设项目的环境影响评价文件”。</w:t>
            </w:r>
          </w:p>
          <w:p w14:paraId="0CC0C2C1">
            <w:pPr>
              <w:rPr>
                <w:rFonts w:hint="eastAsia" w:cs="Times New Roman"/>
                <w:lang w:val="en-US" w:eastAsia="zh-CN"/>
              </w:rPr>
            </w:pPr>
            <w:r>
              <w:rPr>
                <w:rFonts w:hint="eastAsia"/>
                <w:lang w:val="en-US" w:eastAsia="zh-CN"/>
              </w:rPr>
              <w:t>综上，</w:t>
            </w:r>
            <w:r>
              <w:rPr>
                <w:rFonts w:cs="Times New Roman"/>
              </w:rPr>
              <w:t>根据《国民经济行业分类》（GB/T4754-2017）及第1号修改单，</w:t>
            </w:r>
            <w:r>
              <w:rPr>
                <w:rFonts w:hint="eastAsia" w:cs="Times New Roman"/>
                <w:lang w:val="en-US" w:eastAsia="zh-CN"/>
              </w:rPr>
              <w:t>本</w:t>
            </w:r>
            <w:r>
              <w:rPr>
                <w:rFonts w:cs="Times New Roman"/>
              </w:rPr>
              <w:t>项目属于</w:t>
            </w:r>
            <w:r>
              <w:rPr>
                <w:rFonts w:hint="eastAsia" w:ascii="宋体" w:hAnsi="宋体" w:eastAsia="宋体" w:cs="宋体"/>
              </w:rPr>
              <w:t>“</w:t>
            </w:r>
            <w:r>
              <w:rPr>
                <w:rFonts w:hint="eastAsia"/>
              </w:rPr>
              <w:t>N</w:t>
            </w:r>
            <w:r>
              <w:t>7723</w:t>
            </w:r>
            <w:r>
              <w:rPr>
                <w:rFonts w:hint="eastAsia"/>
              </w:rPr>
              <w:t>固体废物治理</w:t>
            </w:r>
            <w:r>
              <w:rPr>
                <w:rFonts w:hint="eastAsia"/>
                <w:lang w:eastAsia="zh-CN"/>
              </w:rPr>
              <w:t>、</w:t>
            </w:r>
            <w:r>
              <w:rPr>
                <w:rFonts w:hint="eastAsia"/>
              </w:rPr>
              <w:t>C</w:t>
            </w:r>
            <w:r>
              <w:t>3031</w:t>
            </w:r>
            <w:r>
              <w:rPr>
                <w:rFonts w:hint="eastAsia"/>
              </w:rPr>
              <w:t>黏土砖瓦及建筑砌块制造</w:t>
            </w:r>
            <w:r>
              <w:rPr>
                <w:rFonts w:hint="eastAsia"/>
                <w:lang w:eastAsia="zh-CN"/>
              </w:rPr>
              <w:t>、</w:t>
            </w:r>
            <w:r>
              <w:rPr>
                <w:rFonts w:hint="eastAsia"/>
              </w:rPr>
              <w:t>C</w:t>
            </w:r>
            <w:r>
              <w:t>3039</w:t>
            </w:r>
            <w:r>
              <w:rPr>
                <w:rFonts w:hint="eastAsia"/>
              </w:rPr>
              <w:t>其他建筑材料制造</w:t>
            </w:r>
            <w:r>
              <w:rPr>
                <w:rFonts w:hint="eastAsia" w:ascii="宋体" w:hAnsi="宋体" w:eastAsia="宋体" w:cs="宋体"/>
              </w:rPr>
              <w:t>”</w:t>
            </w:r>
            <w:r>
              <w:rPr>
                <w:rFonts w:hint="eastAsia" w:cs="Times New Roman"/>
                <w:lang w:eastAsia="zh-CN"/>
              </w:rPr>
              <w:t>。</w:t>
            </w:r>
            <w:r>
              <w:rPr>
                <w:rFonts w:cs="Times New Roman"/>
              </w:rPr>
              <w:t>依据《建设项目环境影响评价分类管理名录（2021年版）》（生态环境部令第16号），</w:t>
            </w:r>
            <w:r>
              <w:rPr>
                <w:rFonts w:hint="eastAsia" w:cs="Times New Roman"/>
                <w:lang w:val="en-US" w:eastAsia="zh-CN"/>
              </w:rPr>
              <w:t>本项目所属类别如下。</w:t>
            </w:r>
          </w:p>
          <w:p w14:paraId="432AEBA8">
            <w:pPr>
              <w:keepNext w:val="0"/>
              <w:keepLines w:val="0"/>
              <w:pageBreakBefore w:val="0"/>
              <w:widowControl/>
              <w:kinsoku/>
              <w:wordWrap/>
              <w:overflowPunct/>
              <w:topLinePunct w:val="0"/>
              <w:autoSpaceDE/>
              <w:autoSpaceDN/>
              <w:bidi w:val="0"/>
              <w:adjustRightInd w:val="0"/>
              <w:snapToGrid w:val="0"/>
              <w:spacing w:line="240" w:lineRule="auto"/>
              <w:ind w:firstLine="422" w:firstLineChars="200"/>
              <w:jc w:val="center"/>
              <w:textAlignment w:val="auto"/>
              <w:rPr>
                <w:rFonts w:hint="eastAsia" w:ascii="Times New Roman" w:hAnsi="Times New Roman" w:cs="Times New Roman"/>
                <w:b/>
                <w:bCs/>
                <w:color w:val="auto"/>
                <w:kern w:val="0"/>
                <w:sz w:val="21"/>
                <w:szCs w:val="21"/>
                <w:lang w:val="en-US" w:eastAsia="zh-CN"/>
              </w:rPr>
            </w:pPr>
            <w:r>
              <w:rPr>
                <w:rFonts w:hint="eastAsia" w:ascii="Times New Roman" w:hAnsi="Times New Roman" w:cs="Times New Roman"/>
                <w:b/>
                <w:bCs/>
                <w:color w:val="auto"/>
                <w:kern w:val="0"/>
                <w:sz w:val="21"/>
                <w:szCs w:val="21"/>
                <w:lang w:val="en-US" w:eastAsia="zh-CN"/>
              </w:rPr>
              <w:t>表2-</w:t>
            </w:r>
            <w:r>
              <w:rPr>
                <w:rFonts w:hint="eastAsia" w:cs="Times New Roman"/>
                <w:b/>
                <w:bCs/>
                <w:color w:val="auto"/>
                <w:kern w:val="0"/>
                <w:sz w:val="21"/>
                <w:szCs w:val="21"/>
                <w:lang w:val="en-US" w:eastAsia="zh-CN"/>
              </w:rPr>
              <w:t>3</w:t>
            </w:r>
            <w:r>
              <w:rPr>
                <w:rFonts w:hint="eastAsia" w:ascii="Times New Roman" w:hAnsi="Times New Roman" w:cs="Times New Roman"/>
                <w:b/>
                <w:bCs/>
                <w:color w:val="auto"/>
                <w:kern w:val="0"/>
                <w:sz w:val="21"/>
                <w:szCs w:val="21"/>
                <w:lang w:val="en-US" w:eastAsia="zh-CN"/>
              </w:rPr>
              <w:t xml:space="preserve">  建设项目环境影响评价分类名录（节选）</w:t>
            </w:r>
          </w:p>
          <w:tbl>
            <w:tblPr>
              <w:tblStyle w:val="46"/>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7"/>
              <w:gridCol w:w="1552"/>
              <w:gridCol w:w="2357"/>
              <w:gridCol w:w="2630"/>
              <w:gridCol w:w="876"/>
              <w:gridCol w:w="1238"/>
            </w:tblGrid>
            <w:tr w14:paraId="4999F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jc w:val="center"/>
              </w:trPr>
              <w:tc>
                <w:tcPr>
                  <w:tcW w:w="1174" w:type="pct"/>
                  <w:gridSpan w:val="2"/>
                  <w:vAlign w:val="center"/>
                </w:tcPr>
                <w:p w14:paraId="6DEF4D45">
                  <w:pPr>
                    <w:pStyle w:val="45"/>
                    <w:rPr>
                      <w:rFonts w:hint="eastAsia" w:cs="Times New Roman"/>
                      <w:lang w:val="en-US" w:eastAsia="zh-CN"/>
                    </w:rPr>
                  </w:pPr>
                  <w:r>
                    <w:rPr>
                      <w:rFonts w:hint="eastAsia" w:cs="Times New Roman"/>
                      <w:lang w:val="en-US" w:eastAsia="zh-CN"/>
                    </w:rPr>
                    <w:t>项目类别</w:t>
                  </w:r>
                </w:p>
              </w:tc>
              <w:tc>
                <w:tcPr>
                  <w:tcW w:w="1270" w:type="pct"/>
                  <w:vAlign w:val="center"/>
                </w:tcPr>
                <w:p w14:paraId="1A8859CC">
                  <w:pPr>
                    <w:pStyle w:val="45"/>
                    <w:rPr>
                      <w:rFonts w:hint="default" w:eastAsia="宋体" w:cs="Times New Roman"/>
                      <w:lang w:val="en-US" w:eastAsia="zh-CN"/>
                    </w:rPr>
                  </w:pPr>
                  <w:r>
                    <w:rPr>
                      <w:rFonts w:hint="eastAsia" w:cs="Times New Roman"/>
                      <w:lang w:val="en-US" w:eastAsia="zh-CN"/>
                    </w:rPr>
                    <w:t>报告书</w:t>
                  </w:r>
                </w:p>
              </w:tc>
              <w:tc>
                <w:tcPr>
                  <w:tcW w:w="1417" w:type="pct"/>
                  <w:vAlign w:val="center"/>
                </w:tcPr>
                <w:p w14:paraId="1CA5CC3C">
                  <w:pPr>
                    <w:pStyle w:val="45"/>
                    <w:rPr>
                      <w:rFonts w:hint="default" w:eastAsia="宋体" w:cs="Times New Roman"/>
                      <w:lang w:val="en-US" w:eastAsia="zh-CN"/>
                    </w:rPr>
                  </w:pPr>
                  <w:r>
                    <w:rPr>
                      <w:rFonts w:hint="eastAsia" w:cs="Times New Roman"/>
                      <w:lang w:val="en-US" w:eastAsia="zh-CN"/>
                    </w:rPr>
                    <w:t>报告表</w:t>
                  </w:r>
                </w:p>
              </w:tc>
              <w:tc>
                <w:tcPr>
                  <w:tcW w:w="470" w:type="pct"/>
                  <w:vAlign w:val="center"/>
                </w:tcPr>
                <w:p w14:paraId="5B6F8C8D">
                  <w:pPr>
                    <w:pStyle w:val="45"/>
                    <w:rPr>
                      <w:rFonts w:hint="default" w:eastAsia="宋体" w:cs="Times New Roman"/>
                      <w:lang w:val="en-US" w:eastAsia="zh-CN"/>
                    </w:rPr>
                  </w:pPr>
                  <w:r>
                    <w:rPr>
                      <w:rFonts w:hint="eastAsia" w:cs="Times New Roman"/>
                      <w:lang w:val="en-US" w:eastAsia="zh-CN"/>
                    </w:rPr>
                    <w:t>登记表</w:t>
                  </w:r>
                </w:p>
              </w:tc>
              <w:tc>
                <w:tcPr>
                  <w:tcW w:w="666" w:type="pct"/>
                  <w:vAlign w:val="center"/>
                </w:tcPr>
                <w:p w14:paraId="29B7EB45">
                  <w:pPr>
                    <w:pStyle w:val="45"/>
                    <w:rPr>
                      <w:rFonts w:hint="default" w:cs="Times New Roman"/>
                      <w:lang w:val="en-US" w:eastAsia="zh-CN"/>
                    </w:rPr>
                  </w:pPr>
                  <w:r>
                    <w:rPr>
                      <w:rFonts w:hint="eastAsia" w:cs="Times New Roman"/>
                      <w:lang w:val="en-US" w:eastAsia="zh-CN"/>
                    </w:rPr>
                    <w:t>本栏目环境敏感区含义</w:t>
                  </w:r>
                </w:p>
              </w:tc>
            </w:tr>
            <w:tr w14:paraId="3A440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jc w:val="center"/>
              </w:trPr>
              <w:tc>
                <w:tcPr>
                  <w:tcW w:w="4333" w:type="pct"/>
                  <w:gridSpan w:val="5"/>
                  <w:vAlign w:val="center"/>
                </w:tcPr>
                <w:p w14:paraId="015774B2">
                  <w:pPr>
                    <w:pStyle w:val="12"/>
                    <w:rPr>
                      <w:rFonts w:hint="default"/>
                      <w:lang w:val="en-US" w:eastAsia="zh-CN"/>
                    </w:rPr>
                  </w:pPr>
                  <w:r>
                    <w:rPr>
                      <w:rFonts w:hint="eastAsia"/>
                      <w:lang w:val="en-US" w:eastAsia="zh-CN"/>
                    </w:rPr>
                    <w:t>二十七、非金属矿物制品业 30</w:t>
                  </w:r>
                </w:p>
              </w:tc>
              <w:tc>
                <w:tcPr>
                  <w:tcW w:w="666" w:type="pct"/>
                  <w:vAlign w:val="center"/>
                </w:tcPr>
                <w:p w14:paraId="79C4BEF1">
                  <w:pPr>
                    <w:pStyle w:val="12"/>
                    <w:rPr>
                      <w:rFonts w:hint="eastAsia"/>
                      <w:lang w:val="en-US" w:eastAsia="zh-CN"/>
                    </w:rPr>
                  </w:pPr>
                </w:p>
              </w:tc>
            </w:tr>
            <w:tr w14:paraId="395E5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jc w:val="center"/>
              </w:trPr>
              <w:tc>
                <w:tcPr>
                  <w:tcW w:w="338" w:type="pct"/>
                  <w:vAlign w:val="center"/>
                </w:tcPr>
                <w:p w14:paraId="27F991BA">
                  <w:pPr>
                    <w:pStyle w:val="12"/>
                    <w:rPr>
                      <w:rFonts w:hint="default" w:eastAsia="宋体" w:cs="Times New Roman"/>
                      <w:lang w:val="en-US" w:eastAsia="zh-CN"/>
                    </w:rPr>
                  </w:pPr>
                  <w:r>
                    <w:rPr>
                      <w:rFonts w:hint="eastAsia" w:eastAsia="宋体" w:cs="Times New Roman"/>
                      <w:lang w:val="en-US" w:eastAsia="zh-CN"/>
                    </w:rPr>
                    <w:t>303</w:t>
                  </w:r>
                </w:p>
              </w:tc>
              <w:tc>
                <w:tcPr>
                  <w:tcW w:w="836" w:type="pct"/>
                  <w:vAlign w:val="center"/>
                </w:tcPr>
                <w:p w14:paraId="64955669">
                  <w:pPr>
                    <w:pStyle w:val="12"/>
                    <w:rPr>
                      <w:rFonts w:hint="default" w:eastAsia="宋体" w:cs="Times New Roman"/>
                      <w:lang w:val="en-US" w:eastAsia="zh-CN"/>
                    </w:rPr>
                  </w:pPr>
                  <w:r>
                    <w:rPr>
                      <w:rFonts w:hint="eastAsia" w:eastAsia="宋体" w:cs="Times New Roman"/>
                      <w:lang w:val="en-US" w:eastAsia="zh-CN"/>
                    </w:rPr>
                    <w:t>砖瓦、石材等建筑材料制造</w:t>
                  </w:r>
                </w:p>
              </w:tc>
              <w:tc>
                <w:tcPr>
                  <w:tcW w:w="1270" w:type="pct"/>
                  <w:vAlign w:val="center"/>
                </w:tcPr>
                <w:p w14:paraId="435211AD">
                  <w:pPr>
                    <w:pStyle w:val="12"/>
                    <w:rPr>
                      <w:rFonts w:hint="eastAsia" w:eastAsia="宋体" w:cs="Times New Roman"/>
                      <w:lang w:val="en-US" w:eastAsia="zh-CN"/>
                    </w:rPr>
                  </w:pPr>
                  <w:r>
                    <w:rPr>
                      <w:rFonts w:hint="eastAsia" w:cs="Times New Roman"/>
                      <w:lang w:val="en-US" w:eastAsia="zh-CN"/>
                    </w:rPr>
                    <w:t>/</w:t>
                  </w:r>
                </w:p>
              </w:tc>
              <w:tc>
                <w:tcPr>
                  <w:tcW w:w="1417" w:type="pct"/>
                  <w:vAlign w:val="center"/>
                </w:tcPr>
                <w:p w14:paraId="3047C681">
                  <w:pPr>
                    <w:pStyle w:val="12"/>
                    <w:ind w:firstLine="0" w:firstLineChars="0"/>
                    <w:rPr>
                      <w:rFonts w:hint="default" w:eastAsia="宋体" w:cs="Times New Roman"/>
                      <w:lang w:val="en-US" w:eastAsia="zh-CN"/>
                    </w:rPr>
                  </w:pPr>
                  <w:r>
                    <w:rPr>
                      <w:rFonts w:hint="eastAsia" w:ascii="Times New Roman" w:hAnsi="Times New Roman" w:eastAsia="宋体" w:cs="Times New Roman"/>
                      <w:b/>
                      <w:bCs/>
                      <w:lang w:val="en-US" w:eastAsia="zh-CN"/>
                    </w:rPr>
                    <w:t>粘土砖瓦及建筑砌块制造</w:t>
                  </w:r>
                  <w:r>
                    <w:rPr>
                      <w:rFonts w:hint="eastAsia" w:ascii="Times New Roman" w:hAnsi="Times New Roman" w:eastAsia="宋体" w:cs="Times New Roman"/>
                      <w:lang w:val="en-US" w:eastAsia="zh-CN"/>
                    </w:rPr>
                    <w:t>；建筑用石加工；防水建筑材料制造；隔热、隔音材料制造；</w:t>
                  </w:r>
                  <w:r>
                    <w:rPr>
                      <w:rFonts w:hint="eastAsia" w:ascii="Times New Roman" w:hAnsi="Times New Roman" w:eastAsia="宋体" w:cs="Times New Roman"/>
                      <w:b/>
                      <w:bCs/>
                      <w:lang w:val="en-US" w:eastAsia="zh-CN"/>
                    </w:rPr>
                    <w:t>其他建筑材料制造</w:t>
                  </w:r>
                  <w:r>
                    <w:rPr>
                      <w:rFonts w:hint="eastAsia" w:ascii="Times New Roman" w:hAnsi="Times New Roman" w:eastAsia="宋体" w:cs="Times New Roman"/>
                      <w:lang w:val="en-US" w:eastAsia="zh-CN"/>
                    </w:rPr>
                    <w:t>（含干粉砂浆搅拌站）以上均不含利用石材板材切割、打磨、成型的</w:t>
                  </w:r>
                </w:p>
              </w:tc>
              <w:tc>
                <w:tcPr>
                  <w:tcW w:w="470" w:type="pct"/>
                  <w:vAlign w:val="center"/>
                </w:tcPr>
                <w:p w14:paraId="69FCDCAC">
                  <w:pPr>
                    <w:pStyle w:val="12"/>
                    <w:rPr>
                      <w:rFonts w:hint="default"/>
                      <w:lang w:val="en-US" w:eastAsia="zh-CN"/>
                    </w:rPr>
                  </w:pPr>
                  <w:r>
                    <w:rPr>
                      <w:rFonts w:hint="eastAsia"/>
                      <w:lang w:val="en-US" w:eastAsia="zh-CN"/>
                    </w:rPr>
                    <w:t>/</w:t>
                  </w:r>
                </w:p>
              </w:tc>
              <w:tc>
                <w:tcPr>
                  <w:tcW w:w="666" w:type="pct"/>
                  <w:vAlign w:val="center"/>
                </w:tcPr>
                <w:p w14:paraId="5CB6FE3E">
                  <w:pPr>
                    <w:pStyle w:val="12"/>
                    <w:rPr>
                      <w:rFonts w:hint="default"/>
                      <w:lang w:val="en-US" w:eastAsia="zh-CN"/>
                    </w:rPr>
                  </w:pPr>
                  <w:r>
                    <w:rPr>
                      <w:rFonts w:hint="eastAsia"/>
                      <w:lang w:val="en-US" w:eastAsia="zh-CN"/>
                    </w:rPr>
                    <w:t>/</w:t>
                  </w:r>
                </w:p>
              </w:tc>
            </w:tr>
            <w:tr w14:paraId="3B55E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jc w:val="center"/>
              </w:trPr>
              <w:tc>
                <w:tcPr>
                  <w:tcW w:w="5000" w:type="pct"/>
                  <w:gridSpan w:val="6"/>
                  <w:vAlign w:val="center"/>
                </w:tcPr>
                <w:p w14:paraId="49C44554">
                  <w:pPr>
                    <w:pStyle w:val="12"/>
                    <w:rPr>
                      <w:rFonts w:hint="default"/>
                      <w:lang w:val="en-US" w:eastAsia="zh-CN"/>
                    </w:rPr>
                  </w:pPr>
                  <w:r>
                    <w:rPr>
                      <w:rFonts w:hint="eastAsia"/>
                      <w:lang w:val="en-US" w:eastAsia="zh-CN"/>
                    </w:rPr>
                    <w:t>四十七、生态保护和环境治理业</w:t>
                  </w:r>
                </w:p>
              </w:tc>
            </w:tr>
            <w:tr w14:paraId="3E86C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jc w:val="center"/>
              </w:trPr>
              <w:tc>
                <w:tcPr>
                  <w:tcW w:w="338" w:type="pct"/>
                  <w:vAlign w:val="center"/>
                </w:tcPr>
                <w:p w14:paraId="35E3FD4D">
                  <w:pPr>
                    <w:pStyle w:val="12"/>
                    <w:rPr>
                      <w:rFonts w:hint="default" w:cs="Times New Roman"/>
                      <w:lang w:val="en-US" w:eastAsia="zh-CN"/>
                    </w:rPr>
                  </w:pPr>
                  <w:r>
                    <w:rPr>
                      <w:rFonts w:hint="eastAsia" w:cs="Times New Roman"/>
                      <w:lang w:val="en-US" w:eastAsia="zh-CN"/>
                    </w:rPr>
                    <w:t>103</w:t>
                  </w:r>
                </w:p>
              </w:tc>
              <w:tc>
                <w:tcPr>
                  <w:tcW w:w="836" w:type="pct"/>
                  <w:vAlign w:val="center"/>
                </w:tcPr>
                <w:p w14:paraId="7130BF94">
                  <w:pPr>
                    <w:pStyle w:val="12"/>
                    <w:ind w:firstLine="0" w:firstLineChars="0"/>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一般工业固体废物（含污水处理污泥）、建筑施工废弃物处置及综合利用</w:t>
                  </w:r>
                </w:p>
              </w:tc>
              <w:tc>
                <w:tcPr>
                  <w:tcW w:w="1270" w:type="pct"/>
                  <w:vAlign w:val="center"/>
                </w:tcPr>
                <w:p w14:paraId="32882C54">
                  <w:pPr>
                    <w:pStyle w:val="12"/>
                    <w:ind w:firstLine="0" w:firstLineChars="0"/>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一般工业固体废物（含污水处理污泥）采取填埋、焚烧（水泥窑协同处置的改造项目除外）方式的</w:t>
                  </w:r>
                </w:p>
              </w:tc>
              <w:tc>
                <w:tcPr>
                  <w:tcW w:w="1417" w:type="pct"/>
                  <w:vAlign w:val="center"/>
                </w:tcPr>
                <w:p w14:paraId="0908C525">
                  <w:pPr>
                    <w:pStyle w:val="12"/>
                    <w:rPr>
                      <w:rFonts w:hint="default" w:cs="Times New Roman"/>
                      <w:lang w:val="en-US" w:eastAsia="zh-CN"/>
                    </w:rPr>
                  </w:pPr>
                  <w:r>
                    <w:rPr>
                      <w:rFonts w:hint="eastAsia" w:cs="Times New Roman"/>
                      <w:b/>
                      <w:bCs/>
                      <w:lang w:val="en-US" w:eastAsia="zh-CN"/>
                    </w:rPr>
                    <w:t>其他</w:t>
                  </w:r>
                </w:p>
              </w:tc>
              <w:tc>
                <w:tcPr>
                  <w:tcW w:w="470" w:type="pct"/>
                  <w:vAlign w:val="center"/>
                </w:tcPr>
                <w:p w14:paraId="28AB5432">
                  <w:pPr>
                    <w:pStyle w:val="12"/>
                    <w:ind w:firstLine="0" w:firstLineChars="0"/>
                    <w:rPr>
                      <w:rFonts w:hint="default"/>
                      <w:lang w:val="en-US" w:eastAsia="zh-CN"/>
                    </w:rPr>
                  </w:pPr>
                  <w:r>
                    <w:rPr>
                      <w:rFonts w:hint="eastAsia"/>
                      <w:lang w:val="en-US" w:eastAsia="zh-CN"/>
                    </w:rPr>
                    <w:t>/</w:t>
                  </w:r>
                </w:p>
              </w:tc>
              <w:tc>
                <w:tcPr>
                  <w:tcW w:w="666" w:type="pct"/>
                  <w:vAlign w:val="center"/>
                </w:tcPr>
                <w:p w14:paraId="5A5E4528">
                  <w:pPr>
                    <w:pStyle w:val="12"/>
                    <w:ind w:firstLine="0" w:firstLineChars="0"/>
                    <w:rPr>
                      <w:rFonts w:hint="default"/>
                      <w:lang w:val="en-US" w:eastAsia="zh-CN"/>
                    </w:rPr>
                  </w:pPr>
                  <w:r>
                    <w:rPr>
                      <w:rFonts w:hint="eastAsia"/>
                      <w:lang w:val="en-US" w:eastAsia="zh-CN"/>
                    </w:rPr>
                    <w:t>/</w:t>
                  </w:r>
                </w:p>
              </w:tc>
            </w:tr>
          </w:tbl>
          <w:p w14:paraId="01D6636E">
            <w:pPr>
              <w:keepNext w:val="0"/>
              <w:keepLines w:val="0"/>
              <w:pageBreakBefore w:val="0"/>
              <w:widowControl/>
              <w:suppressLineNumbers w:val="0"/>
              <w:kinsoku/>
              <w:wordWrap/>
              <w:overflowPunct/>
              <w:topLinePunct w:val="0"/>
              <w:autoSpaceDE/>
              <w:autoSpaceDN/>
              <w:bidi w:val="0"/>
              <w:adjustRightInd/>
              <w:snapToGrid/>
              <w:jc w:val="left"/>
              <w:textAlignment w:val="auto"/>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根据《建设项目环境影响评价分类管理名录》（</w:t>
            </w:r>
            <w:r>
              <w:rPr>
                <w:rFonts w:hint="default" w:ascii="Times New Roman" w:hAnsi="Times New Roman" w:eastAsia="宋体" w:cs="Times New Roman"/>
                <w:color w:val="000000"/>
                <w:kern w:val="0"/>
                <w:sz w:val="24"/>
                <w:szCs w:val="24"/>
                <w:lang w:val="en-US" w:eastAsia="zh-CN" w:bidi="ar"/>
              </w:rPr>
              <w:t>2021</w:t>
            </w:r>
            <w:r>
              <w:rPr>
                <w:rFonts w:hint="eastAsia" w:ascii="宋体" w:hAnsi="宋体" w:eastAsia="宋体" w:cs="宋体"/>
                <w:color w:val="000000"/>
                <w:kern w:val="0"/>
                <w:sz w:val="24"/>
                <w:szCs w:val="24"/>
                <w:lang w:val="en-US" w:eastAsia="zh-CN" w:bidi="ar"/>
              </w:rPr>
              <w:t>年版），建设内容涉及本名录中两个及以上项目类别的建设项目，其环境影响评价类别按照其中单项等级最高的确定，上述类别均为报告表，则应编制环境影响报告表。</w:t>
            </w:r>
            <w:r>
              <w:rPr>
                <w:rFonts w:hint="eastAsia" w:ascii="宋体" w:hAnsi="宋体" w:cs="宋体"/>
                <w:color w:val="000000"/>
                <w:kern w:val="0"/>
                <w:sz w:val="24"/>
                <w:szCs w:val="24"/>
                <w:lang w:val="en-US" w:eastAsia="zh-CN" w:bidi="ar"/>
              </w:rPr>
              <w:t>综上，</w:t>
            </w:r>
            <w:r>
              <w:rPr>
                <w:rFonts w:hint="eastAsia" w:ascii="宋体" w:hAnsi="宋体" w:eastAsia="宋体" w:cs="宋体"/>
                <w:color w:val="000000"/>
                <w:kern w:val="0"/>
                <w:sz w:val="24"/>
                <w:szCs w:val="24"/>
                <w:lang w:val="en-US" w:eastAsia="zh-CN" w:bidi="ar"/>
              </w:rPr>
              <w:t>巴中瑞成环保科技有限公司委托四川</w:t>
            </w:r>
            <w:r>
              <w:rPr>
                <w:rFonts w:hint="eastAsia" w:ascii="宋体" w:hAnsi="宋体" w:cs="宋体"/>
                <w:color w:val="000000"/>
                <w:kern w:val="0"/>
                <w:sz w:val="24"/>
                <w:szCs w:val="24"/>
                <w:lang w:val="en-US" w:eastAsia="zh-CN" w:bidi="ar"/>
              </w:rPr>
              <w:t>启创环保科技</w:t>
            </w:r>
            <w:r>
              <w:rPr>
                <w:rFonts w:hint="eastAsia" w:ascii="宋体" w:hAnsi="宋体" w:eastAsia="宋体" w:cs="宋体"/>
                <w:color w:val="000000"/>
                <w:kern w:val="0"/>
                <w:sz w:val="24"/>
                <w:szCs w:val="24"/>
                <w:lang w:val="en-US" w:eastAsia="zh-CN" w:bidi="ar"/>
              </w:rPr>
              <w:t>有限公司承担该项目环境影响报告表的编制工作，</w:t>
            </w:r>
            <w:r>
              <w:rPr>
                <w:rFonts w:hint="eastAsia" w:ascii="宋体" w:hAnsi="宋体" w:cs="宋体"/>
                <w:color w:val="000000"/>
                <w:kern w:val="0"/>
                <w:sz w:val="24"/>
                <w:szCs w:val="24"/>
                <w:lang w:val="en-US" w:eastAsia="zh-CN" w:bidi="ar"/>
              </w:rPr>
              <w:t>四川启创环保科技有限公司</w:t>
            </w:r>
            <w:r>
              <w:rPr>
                <w:rFonts w:hint="eastAsia" w:ascii="宋体" w:hAnsi="宋体" w:eastAsia="宋体" w:cs="宋体"/>
                <w:color w:val="000000"/>
                <w:kern w:val="0"/>
                <w:sz w:val="24"/>
                <w:szCs w:val="24"/>
                <w:lang w:val="en-US" w:eastAsia="zh-CN" w:bidi="ar"/>
              </w:rPr>
              <w:t>接受委托后，对项目进行了现场踏勘和资料收集工作，在充分掌握项目资料的基础上，依据国家相关环保法律法规及有关技术规范的规定和要求，编制完成了该项目的环境影响报告表。</w:t>
            </w:r>
          </w:p>
          <w:p w14:paraId="324701E6">
            <w:pPr>
              <w:pStyle w:val="3"/>
              <w:keepNext w:val="0"/>
              <w:keepLines w:val="0"/>
              <w:pageBreakBefore w:val="0"/>
              <w:kinsoku/>
              <w:wordWrap/>
              <w:overflowPunct/>
              <w:topLinePunct w:val="0"/>
              <w:autoSpaceDE/>
              <w:autoSpaceDN/>
              <w:bidi w:val="0"/>
              <w:adjustRightInd/>
              <w:snapToGrid/>
              <w:spacing w:before="0" w:beforeLines="0"/>
              <w:textAlignment w:val="auto"/>
            </w:pPr>
            <w:r>
              <w:t>2、项目概括</w:t>
            </w:r>
          </w:p>
          <w:p w14:paraId="2192F64F">
            <w:pPr>
              <w:keepNext w:val="0"/>
              <w:keepLines w:val="0"/>
              <w:pageBreakBefore w:val="0"/>
              <w:kinsoku/>
              <w:wordWrap/>
              <w:overflowPunct/>
              <w:topLinePunct w:val="0"/>
              <w:autoSpaceDE/>
              <w:autoSpaceDN/>
              <w:bidi w:val="0"/>
              <w:adjustRightInd/>
              <w:snapToGrid/>
              <w:ind w:firstLine="480"/>
              <w:textAlignment w:val="auto"/>
              <w:rPr>
                <w:rFonts w:cs="Times New Roman"/>
              </w:rPr>
            </w:pPr>
            <w:r>
              <w:rPr>
                <w:rFonts w:cs="Times New Roman"/>
              </w:rPr>
              <w:t>（1）项目名称：</w:t>
            </w:r>
            <w:r>
              <w:rPr>
                <w:rFonts w:hint="eastAsia" w:ascii="宋体" w:hAnsi="宋体" w:cs="宋体"/>
                <w:color w:val="000000"/>
                <w:kern w:val="0"/>
                <w:sz w:val="24"/>
                <w:szCs w:val="24"/>
                <w:lang w:val="en-US" w:eastAsia="zh-CN" w:bidi="ar"/>
              </w:rPr>
              <w:t>巴中瑞成环保科技有限公司水基岩屑综合利用及处理项目（重新报批）</w:t>
            </w:r>
          </w:p>
          <w:p w14:paraId="5F6A60B1">
            <w:pPr>
              <w:keepNext w:val="0"/>
              <w:keepLines w:val="0"/>
              <w:pageBreakBefore w:val="0"/>
              <w:kinsoku/>
              <w:wordWrap/>
              <w:overflowPunct/>
              <w:topLinePunct w:val="0"/>
              <w:autoSpaceDE/>
              <w:autoSpaceDN/>
              <w:bidi w:val="0"/>
              <w:adjustRightInd/>
              <w:snapToGrid/>
              <w:ind w:firstLine="480"/>
              <w:textAlignment w:val="auto"/>
              <w:rPr>
                <w:rFonts w:hint="default"/>
                <w:lang w:val="en-US" w:eastAsia="zh-CN"/>
              </w:rPr>
            </w:pPr>
            <w:r>
              <w:rPr>
                <w:rFonts w:cs="Times New Roman"/>
              </w:rPr>
              <w:t>（2）项目代码：</w:t>
            </w:r>
            <w:r>
              <w:rPr>
                <w:rFonts w:hint="eastAsia"/>
                <w:lang w:val="en-US" w:eastAsia="zh-CN"/>
              </w:rPr>
              <w:t>2407-511923-04-01-943048</w:t>
            </w:r>
          </w:p>
          <w:p w14:paraId="1DFFFD02">
            <w:pPr>
              <w:keepNext w:val="0"/>
              <w:keepLines w:val="0"/>
              <w:pageBreakBefore w:val="0"/>
              <w:kinsoku/>
              <w:wordWrap/>
              <w:overflowPunct/>
              <w:topLinePunct w:val="0"/>
              <w:autoSpaceDE/>
              <w:autoSpaceDN/>
              <w:bidi w:val="0"/>
              <w:adjustRightInd/>
              <w:snapToGrid/>
              <w:ind w:firstLine="480"/>
              <w:textAlignment w:val="auto"/>
              <w:rPr>
                <w:rFonts w:hint="eastAsia" w:eastAsia="宋体" w:cs="Times New Roman"/>
                <w:lang w:eastAsia="zh-CN"/>
              </w:rPr>
            </w:pPr>
            <w:r>
              <w:rPr>
                <w:rFonts w:cs="Times New Roman"/>
              </w:rPr>
              <w:t>（</w:t>
            </w:r>
            <w:r>
              <w:rPr>
                <w:rFonts w:hint="eastAsia" w:cs="Times New Roman"/>
                <w:lang w:val="en-US" w:eastAsia="zh-CN"/>
              </w:rPr>
              <w:t>3</w:t>
            </w:r>
            <w:r>
              <w:rPr>
                <w:rFonts w:cs="Times New Roman"/>
              </w:rPr>
              <w:t>）建设性质：新建</w:t>
            </w:r>
          </w:p>
          <w:p w14:paraId="0099F412">
            <w:pPr>
              <w:keepNext w:val="0"/>
              <w:keepLines w:val="0"/>
              <w:pageBreakBefore w:val="0"/>
              <w:kinsoku/>
              <w:wordWrap/>
              <w:overflowPunct/>
              <w:topLinePunct w:val="0"/>
              <w:autoSpaceDE/>
              <w:autoSpaceDN/>
              <w:bidi w:val="0"/>
              <w:adjustRightInd/>
              <w:snapToGrid/>
              <w:ind w:firstLine="480"/>
              <w:textAlignment w:val="auto"/>
              <w:rPr>
                <w:rFonts w:cs="Times New Roman"/>
              </w:rPr>
            </w:pPr>
            <w:r>
              <w:rPr>
                <w:rFonts w:cs="Times New Roman"/>
              </w:rPr>
              <w:t>（</w:t>
            </w:r>
            <w:r>
              <w:rPr>
                <w:rFonts w:hint="eastAsia" w:cs="Times New Roman"/>
                <w:lang w:val="en-US" w:eastAsia="zh-CN"/>
              </w:rPr>
              <w:t>4</w:t>
            </w:r>
            <w:r>
              <w:rPr>
                <w:rFonts w:cs="Times New Roman"/>
              </w:rPr>
              <w:t>）建设单位：</w:t>
            </w:r>
            <w:r>
              <w:rPr>
                <w:rFonts w:hint="eastAsia" w:ascii="宋体" w:hAnsi="宋体" w:eastAsia="宋体" w:cs="宋体"/>
                <w:color w:val="000000"/>
                <w:kern w:val="0"/>
                <w:sz w:val="24"/>
                <w:szCs w:val="24"/>
                <w:lang w:val="en-US" w:eastAsia="zh-CN" w:bidi="ar"/>
              </w:rPr>
              <w:t>巴中瑞成环保科技有限公司</w:t>
            </w:r>
          </w:p>
          <w:p w14:paraId="2D350ED0">
            <w:pPr>
              <w:keepNext w:val="0"/>
              <w:keepLines w:val="0"/>
              <w:pageBreakBefore w:val="0"/>
              <w:kinsoku/>
              <w:wordWrap/>
              <w:overflowPunct/>
              <w:topLinePunct w:val="0"/>
              <w:autoSpaceDE/>
              <w:autoSpaceDN/>
              <w:bidi w:val="0"/>
              <w:adjustRightInd/>
              <w:snapToGrid/>
              <w:ind w:firstLine="480"/>
              <w:textAlignment w:val="auto"/>
              <w:rPr>
                <w:rFonts w:cs="Times New Roman"/>
              </w:rPr>
            </w:pPr>
            <w:r>
              <w:rPr>
                <w:rFonts w:cs="Times New Roman"/>
              </w:rPr>
              <w:t>（</w:t>
            </w:r>
            <w:r>
              <w:rPr>
                <w:rFonts w:hint="eastAsia" w:cs="Times New Roman"/>
                <w:lang w:val="en-US" w:eastAsia="zh-CN"/>
              </w:rPr>
              <w:t>5</w:t>
            </w:r>
            <w:r>
              <w:rPr>
                <w:rFonts w:cs="Times New Roman"/>
              </w:rPr>
              <w:t>）建设地点：</w:t>
            </w:r>
            <w:r>
              <w:rPr>
                <w:rFonts w:hint="eastAsia"/>
              </w:rPr>
              <w:t>四川省平昌县星光工业园施迈路</w:t>
            </w:r>
            <w:r>
              <w:t>1</w:t>
            </w:r>
            <w:r>
              <w:rPr>
                <w:rFonts w:hint="eastAsia"/>
              </w:rPr>
              <w:t>号</w:t>
            </w:r>
            <w:r>
              <w:rPr>
                <w:rFonts w:hint="eastAsia"/>
                <w:sz w:val="24"/>
                <w:szCs w:val="24"/>
                <w:lang w:eastAsia="zh-CN"/>
              </w:rPr>
              <w:t>（</w:t>
            </w:r>
            <w:r>
              <w:rPr>
                <w:rFonts w:hint="eastAsia"/>
                <w:sz w:val="24"/>
                <w:szCs w:val="24"/>
                <w:lang w:val="en-US" w:eastAsia="zh-CN"/>
              </w:rPr>
              <w:t>1号厂房、2号厂房、3号厂房</w:t>
            </w:r>
            <w:r>
              <w:rPr>
                <w:rFonts w:hint="eastAsia"/>
                <w:sz w:val="24"/>
                <w:szCs w:val="24"/>
                <w:lang w:eastAsia="zh-CN"/>
              </w:rPr>
              <w:t>）</w:t>
            </w:r>
          </w:p>
          <w:p w14:paraId="678604D9">
            <w:pPr>
              <w:keepNext w:val="0"/>
              <w:keepLines w:val="0"/>
              <w:pageBreakBefore w:val="0"/>
              <w:kinsoku/>
              <w:wordWrap/>
              <w:overflowPunct/>
              <w:topLinePunct w:val="0"/>
              <w:autoSpaceDE/>
              <w:autoSpaceDN/>
              <w:bidi w:val="0"/>
              <w:adjustRightInd/>
              <w:snapToGrid/>
              <w:ind w:firstLine="480"/>
              <w:textAlignment w:val="auto"/>
              <w:rPr>
                <w:rFonts w:cs="Times New Roman"/>
              </w:rPr>
            </w:pPr>
            <w:r>
              <w:rPr>
                <w:rFonts w:cs="Times New Roman"/>
              </w:rPr>
              <w:t>（</w:t>
            </w:r>
            <w:r>
              <w:rPr>
                <w:rFonts w:hint="eastAsia" w:cs="Times New Roman"/>
                <w:lang w:val="en-US" w:eastAsia="zh-CN"/>
              </w:rPr>
              <w:t>6</w:t>
            </w:r>
            <w:r>
              <w:rPr>
                <w:rFonts w:cs="Times New Roman"/>
              </w:rPr>
              <w:t>）占地面积：</w:t>
            </w:r>
            <w:r>
              <w:rPr>
                <w:rFonts w:hint="eastAsia" w:cs="Times New Roman"/>
                <w:lang w:val="en-US" w:eastAsia="zh-CN"/>
              </w:rPr>
              <w:t>约10000</w:t>
            </w:r>
            <w:r>
              <w:rPr>
                <w:rFonts w:cs="Times New Roman"/>
              </w:rPr>
              <w:t>m</w:t>
            </w:r>
            <w:r>
              <w:rPr>
                <w:rFonts w:cs="Times New Roman"/>
                <w:vertAlign w:val="superscript"/>
              </w:rPr>
              <w:t>2</w:t>
            </w:r>
          </w:p>
          <w:p w14:paraId="1B74E285">
            <w:pPr>
              <w:keepNext w:val="0"/>
              <w:keepLines w:val="0"/>
              <w:pageBreakBefore w:val="0"/>
              <w:kinsoku/>
              <w:wordWrap/>
              <w:overflowPunct/>
              <w:topLinePunct w:val="0"/>
              <w:autoSpaceDE/>
              <w:autoSpaceDN/>
              <w:bidi w:val="0"/>
              <w:adjustRightInd/>
              <w:snapToGrid/>
              <w:ind w:firstLine="480"/>
              <w:textAlignment w:val="auto"/>
              <w:rPr>
                <w:rFonts w:cs="Times New Roman"/>
              </w:rPr>
            </w:pPr>
            <w:r>
              <w:rPr>
                <w:rFonts w:cs="Times New Roman"/>
              </w:rPr>
              <w:t>（</w:t>
            </w:r>
            <w:r>
              <w:rPr>
                <w:rFonts w:hint="eastAsia" w:cs="Times New Roman"/>
                <w:lang w:val="en-US" w:eastAsia="zh-CN"/>
              </w:rPr>
              <w:t>7</w:t>
            </w:r>
            <w:r>
              <w:rPr>
                <w:rFonts w:cs="Times New Roman"/>
              </w:rPr>
              <w:t>）总投资及资金来源：</w:t>
            </w:r>
            <w:r>
              <w:rPr>
                <w:rFonts w:hint="eastAsia" w:cs="Times New Roman"/>
                <w:lang w:val="en-US" w:eastAsia="zh-CN"/>
              </w:rPr>
              <w:t>3000</w:t>
            </w:r>
            <w:r>
              <w:rPr>
                <w:rFonts w:cs="Times New Roman"/>
              </w:rPr>
              <w:t>万元，自筹</w:t>
            </w:r>
          </w:p>
          <w:p w14:paraId="754C93CC">
            <w:pPr>
              <w:keepNext w:val="0"/>
              <w:keepLines w:val="0"/>
              <w:pageBreakBefore w:val="0"/>
              <w:kinsoku/>
              <w:wordWrap/>
              <w:overflowPunct/>
              <w:topLinePunct w:val="0"/>
              <w:autoSpaceDE/>
              <w:autoSpaceDN/>
              <w:bidi w:val="0"/>
              <w:adjustRightInd/>
              <w:snapToGrid/>
              <w:ind w:firstLine="480"/>
              <w:textAlignment w:val="auto"/>
              <w:rPr>
                <w:rFonts w:hint="eastAsia" w:cs="Times New Roman"/>
                <w:lang w:val="en-US" w:eastAsia="zh-CN"/>
              </w:rPr>
            </w:pPr>
            <w:r>
              <w:rPr>
                <w:rFonts w:hint="eastAsia" w:cs="Times New Roman"/>
                <w:lang w:eastAsia="zh-CN"/>
              </w:rPr>
              <w:t>（</w:t>
            </w:r>
            <w:r>
              <w:rPr>
                <w:rFonts w:hint="eastAsia" w:cs="Times New Roman"/>
                <w:lang w:val="en-US" w:eastAsia="zh-CN"/>
              </w:rPr>
              <w:t>8</w:t>
            </w:r>
            <w:r>
              <w:rPr>
                <w:rFonts w:hint="eastAsia" w:cs="Times New Roman"/>
                <w:lang w:eastAsia="zh-CN"/>
              </w:rPr>
              <w:t>）</w:t>
            </w:r>
            <w:r>
              <w:rPr>
                <w:rFonts w:hint="eastAsia" w:cs="Times New Roman"/>
                <w:lang w:val="en-US" w:eastAsia="zh-CN"/>
              </w:rPr>
              <w:t>现状情况：租用厂房（1号厂房、2号厂房、3号厂房）现状空置</w:t>
            </w:r>
          </w:p>
          <w:p w14:paraId="0CA87016">
            <w:pPr>
              <w:keepNext w:val="0"/>
              <w:keepLines w:val="0"/>
              <w:pageBreakBefore w:val="0"/>
              <w:kinsoku/>
              <w:wordWrap/>
              <w:overflowPunct/>
              <w:topLinePunct w:val="0"/>
              <w:autoSpaceDE/>
              <w:autoSpaceDN/>
              <w:bidi w:val="0"/>
              <w:adjustRightInd/>
              <w:snapToGrid/>
              <w:ind w:firstLine="480"/>
              <w:textAlignment w:val="auto"/>
              <w:rPr>
                <w:rFonts w:hint="eastAsia" w:cs="Times New Roman"/>
                <w:color w:val="000000"/>
                <w:kern w:val="0"/>
                <w:sz w:val="24"/>
                <w:szCs w:val="24"/>
                <w:lang w:val="en-US" w:eastAsia="zh-CN" w:bidi="ar"/>
              </w:rPr>
            </w:pPr>
            <w:r>
              <w:rPr>
                <w:rFonts w:hint="eastAsia" w:cs="Times New Roman"/>
                <w:lang w:val="en-US" w:eastAsia="zh-CN"/>
              </w:rPr>
              <w:t>（9）建设内容简述：</w:t>
            </w:r>
            <w:r>
              <w:rPr>
                <w:rFonts w:hint="default" w:ascii="Times New Roman" w:hAnsi="Times New Roman" w:eastAsia="宋体" w:cs="Times New Roman"/>
                <w:color w:val="000000"/>
                <w:kern w:val="0"/>
                <w:sz w:val="24"/>
                <w:szCs w:val="24"/>
                <w:lang w:val="en-US" w:eastAsia="zh-CN" w:bidi="ar"/>
              </w:rPr>
              <w:t>租用四川金联玉合电气有限公司已建厂区内已建厂房（1号、2号、3号厂房</w:t>
            </w:r>
            <w:r>
              <w:rPr>
                <w:rFonts w:hint="default" w:ascii="Times New Roman" w:hAnsi="Times New Roman" w:cs="Times New Roman"/>
                <w:color w:val="000000"/>
                <w:kern w:val="0"/>
                <w:sz w:val="24"/>
                <w:szCs w:val="24"/>
                <w:lang w:val="en-US" w:eastAsia="zh-CN" w:bidi="ar"/>
              </w:rPr>
              <w:t>，总计占地约1万m</w:t>
            </w:r>
            <w:r>
              <w:rPr>
                <w:rFonts w:hint="default" w:ascii="Times New Roman" w:hAnsi="Times New Roman" w:cs="Times New Roman"/>
                <w:color w:val="000000"/>
                <w:kern w:val="0"/>
                <w:sz w:val="24"/>
                <w:szCs w:val="24"/>
                <w:vertAlign w:val="superscript"/>
                <w:lang w:val="en-US" w:eastAsia="zh-CN" w:bidi="ar"/>
              </w:rPr>
              <w:t>2</w:t>
            </w:r>
            <w:r>
              <w:rPr>
                <w:rFonts w:hint="default" w:ascii="Times New Roman" w:hAnsi="Times New Roman" w:eastAsia="宋体" w:cs="Times New Roman"/>
                <w:color w:val="000000"/>
                <w:kern w:val="0"/>
                <w:sz w:val="24"/>
                <w:szCs w:val="24"/>
                <w:lang w:val="en-US" w:eastAsia="zh-CN" w:bidi="ar"/>
              </w:rPr>
              <w:t>），进行适应性改造，建设水基岩屑及热脱附干渣综合利用项</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目</w:t>
            </w:r>
            <w:r>
              <w:rPr>
                <w:rFonts w:hint="eastAsia" w:cs="Times New Roman"/>
                <w:color w:val="000000" w:themeColor="text1"/>
                <w:kern w:val="0"/>
                <w:sz w:val="24"/>
                <w:szCs w:val="24"/>
                <w:lang w:val="en-US" w:eastAsia="zh-CN" w:bidi="ar"/>
                <w14:textFill>
                  <w14:solidFill>
                    <w14:schemeClr w14:val="tx1"/>
                  </w14:solidFill>
                </w14:textFill>
              </w:rPr>
              <w:t>。项目分两期建成，一期</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项目对</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部分</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水基岩屑</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（含水率较高的）预处理压滤脱水后，与较干的水基岩屑</w:t>
            </w:r>
            <w:r>
              <w:rPr>
                <w:rFonts w:hint="eastAsia" w:cs="Times New Roman"/>
                <w:color w:val="000000" w:themeColor="text1"/>
                <w:kern w:val="0"/>
                <w:sz w:val="24"/>
                <w:szCs w:val="24"/>
                <w:lang w:val="en-US" w:eastAsia="zh-CN" w:bidi="ar"/>
                <w14:textFill>
                  <w14:solidFill>
                    <w14:schemeClr w14:val="tx1"/>
                  </w14:solidFill>
                </w14:textFill>
              </w:rPr>
              <w:t>、热脱附干渣（鉴定为一般固废的）</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一并经干煅烧后制得</w:t>
            </w:r>
            <w:r>
              <w:rPr>
                <w:rFonts w:hint="eastAsia" w:cs="Times New Roman"/>
                <w:color w:val="000000" w:themeColor="text1"/>
                <w:kern w:val="0"/>
                <w:sz w:val="24"/>
                <w:szCs w:val="24"/>
                <w:lang w:val="en-US" w:eastAsia="zh-CN" w:bidi="ar"/>
                <w14:textFill>
                  <w14:solidFill>
                    <w14:schemeClr w14:val="tx1"/>
                  </w14:solidFill>
                </w14:textFill>
              </w:rPr>
              <w:t>水稳层骨料</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。之后再利用</w:t>
            </w:r>
            <w:r>
              <w:rPr>
                <w:rFonts w:hint="eastAsia" w:cs="Times New Roman"/>
                <w:color w:val="000000" w:themeColor="text1"/>
                <w:kern w:val="0"/>
                <w:sz w:val="24"/>
                <w:szCs w:val="24"/>
                <w:lang w:val="en-US" w:eastAsia="zh-CN" w:bidi="ar"/>
                <w14:textFill>
                  <w14:solidFill>
                    <w14:schemeClr w14:val="tx1"/>
                  </w14:solidFill>
                </w14:textFill>
              </w:rPr>
              <w:t>水稳层骨料</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，添加碎石、水泥</w:t>
            </w:r>
            <w:r>
              <w:rPr>
                <w:rFonts w:hint="eastAsia" w:cs="Times New Roman"/>
                <w:color w:val="000000" w:themeColor="text1"/>
                <w:kern w:val="0"/>
                <w:sz w:val="24"/>
                <w:szCs w:val="24"/>
                <w:lang w:val="en-US" w:eastAsia="zh-CN" w:bidi="ar"/>
                <w14:textFill>
                  <w14:solidFill>
                    <w14:schemeClr w14:val="tx1"/>
                  </w14:solidFill>
                </w14:textFill>
              </w:rPr>
              <w:t>、固化剂</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等生产</w:t>
            </w:r>
            <w:r>
              <w:rPr>
                <w:rFonts w:hint="eastAsia" w:cs="Times New Roman"/>
                <w:color w:val="000000" w:themeColor="text1"/>
                <w:kern w:val="0"/>
                <w:sz w:val="24"/>
                <w:szCs w:val="24"/>
                <w:lang w:val="en-US" w:eastAsia="zh-CN" w:bidi="ar"/>
                <w14:textFill>
                  <w14:solidFill>
                    <w14:schemeClr w14:val="tx1"/>
                  </w14:solidFill>
                </w14:textFill>
              </w:rPr>
              <w:t>免烧砌块</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项目建设完成后，可综合利用水基岩屑30万t/a</w:t>
            </w:r>
            <w:r>
              <w:rPr>
                <w:rFonts w:hint="eastAsia" w:cs="Times New Roman"/>
                <w:color w:val="000000" w:themeColor="text1"/>
                <w:kern w:val="0"/>
                <w:sz w:val="24"/>
                <w:szCs w:val="24"/>
                <w:lang w:val="en-US" w:eastAsia="zh-CN" w:bidi="ar"/>
                <w14:textFill>
                  <w14:solidFill>
                    <w14:schemeClr w14:val="tx1"/>
                  </w14:solidFill>
                </w14:textFill>
              </w:rPr>
              <w:t>和热脱附干渣4.2万t/a</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w:t>
            </w:r>
            <w:r>
              <w:rPr>
                <w:rFonts w:hint="eastAsia" w:cs="Times New Roman"/>
                <w:color w:val="000000" w:themeColor="text1"/>
                <w:kern w:val="0"/>
                <w:sz w:val="24"/>
                <w:szCs w:val="24"/>
                <w:lang w:val="en-US" w:eastAsia="zh-CN" w:bidi="ar"/>
                <w14:textFill>
                  <w14:solidFill>
                    <w14:schemeClr w14:val="tx1"/>
                  </w14:solidFill>
                </w14:textFill>
              </w:rPr>
              <w:t>部分作为水稳层骨料（约12万t/a）产品进行外售，剩余部分</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以</w:t>
            </w:r>
            <w:r>
              <w:rPr>
                <w:rFonts w:hint="eastAsia" w:cs="Times New Roman"/>
                <w:color w:val="000000" w:themeColor="text1"/>
                <w:kern w:val="0"/>
                <w:sz w:val="24"/>
                <w:szCs w:val="24"/>
                <w:lang w:val="en-US" w:eastAsia="zh-CN" w:bidi="ar"/>
                <w14:textFill>
                  <w14:solidFill>
                    <w14:schemeClr w14:val="tx1"/>
                  </w14:solidFill>
                </w14:textFill>
              </w:rPr>
              <w:t>水稳层骨料</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为原料进一步生</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产</w:t>
            </w:r>
            <w:r>
              <w:rPr>
                <w:rFonts w:hint="eastAsia" w:cs="Times New Roman"/>
                <w:color w:val="000000" w:themeColor="text1"/>
                <w:kern w:val="0"/>
                <w:sz w:val="24"/>
                <w:szCs w:val="24"/>
                <w:lang w:val="en-US" w:eastAsia="zh-CN" w:bidi="ar"/>
                <w14:textFill>
                  <w14:solidFill>
                    <w14:schemeClr w14:val="tx1"/>
                  </w14:solidFill>
                </w14:textFill>
              </w:rPr>
              <w:t>免烧砌块</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约</w:t>
            </w:r>
            <w:r>
              <w:rPr>
                <w:rFonts w:hint="eastAsia" w:cs="Times New Roman"/>
                <w:color w:val="000000" w:themeColor="text1"/>
                <w:kern w:val="0"/>
                <w:sz w:val="24"/>
                <w:szCs w:val="24"/>
                <w:lang w:val="en-US" w:eastAsia="zh-CN" w:bidi="ar"/>
                <w14:textFill>
                  <w14:solidFill>
                    <w14:schemeClr w14:val="tx1"/>
                  </w14:solidFill>
                </w14:textFill>
              </w:rPr>
              <w:t>22</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万t/a</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w:t>
            </w:r>
            <w:r>
              <w:rPr>
                <w:rFonts w:hint="eastAsia" w:cs="Times New Roman"/>
                <w:color w:val="000000"/>
                <w:kern w:val="0"/>
                <w:sz w:val="24"/>
                <w:szCs w:val="24"/>
                <w:lang w:val="en-US" w:eastAsia="zh-CN" w:bidi="ar"/>
              </w:rPr>
              <w:t>二期项目建设返排液日处理300吨处理设施1套，收集并处理钻井返排液、水基岩屑压滤废水等，最大处理能力10万t/a。</w:t>
            </w:r>
            <w:r>
              <w:rPr>
                <w:rFonts w:hint="eastAsia" w:cs="Times New Roman"/>
                <w:b/>
                <w:bCs/>
                <w:color w:val="000000"/>
                <w:kern w:val="0"/>
                <w:sz w:val="24"/>
                <w:szCs w:val="24"/>
                <w:lang w:val="en-US" w:eastAsia="zh-CN" w:bidi="ar"/>
              </w:rPr>
              <w:t>本项目仅对一期建设内容进行评价。</w:t>
            </w:r>
          </w:p>
          <w:p w14:paraId="22ECBC7D">
            <w:pPr>
              <w:keepNext w:val="0"/>
              <w:keepLines w:val="0"/>
              <w:pageBreakBefore w:val="0"/>
              <w:kinsoku/>
              <w:wordWrap/>
              <w:overflowPunct/>
              <w:topLinePunct w:val="0"/>
              <w:autoSpaceDE/>
              <w:autoSpaceDN/>
              <w:bidi w:val="0"/>
              <w:adjustRightInd/>
              <w:snapToGrid/>
              <w:ind w:firstLine="480"/>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本项目不涉及水基岩屑</w:t>
            </w:r>
            <w:r>
              <w:rPr>
                <w:rFonts w:hint="eastAsia" w:cs="Times New Roman"/>
                <w:color w:val="000000"/>
                <w:kern w:val="0"/>
                <w:sz w:val="24"/>
                <w:szCs w:val="24"/>
                <w:lang w:val="en-US" w:eastAsia="zh-CN" w:bidi="ar"/>
              </w:rPr>
              <w:t>、热脱附干渣的</w:t>
            </w:r>
            <w:r>
              <w:rPr>
                <w:rFonts w:hint="default" w:ascii="Times New Roman" w:hAnsi="Times New Roman" w:cs="Times New Roman"/>
                <w:color w:val="000000"/>
                <w:kern w:val="0"/>
                <w:sz w:val="24"/>
                <w:szCs w:val="24"/>
                <w:lang w:val="en-US" w:eastAsia="zh-CN" w:bidi="ar"/>
              </w:rPr>
              <w:t>收集、</w:t>
            </w:r>
            <w:r>
              <w:rPr>
                <w:rFonts w:hint="default" w:ascii="Times New Roman" w:hAnsi="Times New Roman" w:eastAsia="宋体" w:cs="Times New Roman"/>
                <w:color w:val="000000"/>
                <w:kern w:val="0"/>
                <w:sz w:val="24"/>
                <w:szCs w:val="24"/>
                <w:lang w:val="en-US" w:eastAsia="zh-CN" w:bidi="ar"/>
              </w:rPr>
              <w:t>运输，只接收和处理水基岩屑</w:t>
            </w:r>
            <w:r>
              <w:rPr>
                <w:rFonts w:hint="eastAsia" w:cs="Times New Roman"/>
                <w:color w:val="000000"/>
                <w:kern w:val="0"/>
                <w:sz w:val="24"/>
                <w:szCs w:val="24"/>
                <w:lang w:val="en-US" w:eastAsia="zh-CN" w:bidi="ar"/>
              </w:rPr>
              <w:t>以及热脱附干渣</w:t>
            </w:r>
            <w:r>
              <w:rPr>
                <w:rFonts w:hint="default" w:ascii="Times New Roman" w:hAnsi="Times New Roman" w:eastAsia="宋体" w:cs="Times New Roman"/>
                <w:color w:val="000000"/>
                <w:kern w:val="0"/>
                <w:sz w:val="24"/>
                <w:szCs w:val="24"/>
                <w:lang w:val="en-US" w:eastAsia="zh-CN" w:bidi="ar"/>
              </w:rPr>
              <w:t>，由合作</w:t>
            </w:r>
            <w:r>
              <w:rPr>
                <w:rFonts w:hint="default" w:ascii="Times New Roman" w:hAnsi="Times New Roman" w:cs="Times New Roman"/>
                <w:color w:val="000000"/>
                <w:kern w:val="0"/>
                <w:sz w:val="24"/>
                <w:szCs w:val="24"/>
                <w:lang w:val="en-US" w:eastAsia="zh-CN" w:bidi="ar"/>
              </w:rPr>
              <w:t>的水基岩屑</w:t>
            </w:r>
            <w:r>
              <w:rPr>
                <w:rFonts w:hint="eastAsia" w:cs="Times New Roman"/>
                <w:color w:val="000000"/>
                <w:kern w:val="0"/>
                <w:sz w:val="24"/>
                <w:szCs w:val="24"/>
                <w:lang w:val="en-US" w:eastAsia="zh-CN" w:bidi="ar"/>
              </w:rPr>
              <w:t>、热脱附干渣</w:t>
            </w:r>
            <w:r>
              <w:rPr>
                <w:rFonts w:hint="default" w:ascii="Times New Roman" w:hAnsi="Times New Roman" w:cs="Times New Roman"/>
                <w:color w:val="000000"/>
                <w:kern w:val="0"/>
                <w:sz w:val="24"/>
                <w:szCs w:val="24"/>
                <w:lang w:val="en-US" w:eastAsia="zh-CN" w:bidi="ar"/>
              </w:rPr>
              <w:t>产</w:t>
            </w:r>
            <w:r>
              <w:rPr>
                <w:rFonts w:hint="default" w:ascii="Times New Roman" w:hAnsi="Times New Roman" w:eastAsia="宋体" w:cs="Times New Roman"/>
                <w:color w:val="000000"/>
                <w:kern w:val="0"/>
                <w:sz w:val="24"/>
                <w:szCs w:val="24"/>
                <w:lang w:val="en-US" w:eastAsia="zh-CN" w:bidi="ar"/>
              </w:rPr>
              <w:t>生单位或第三方运输单位运输至项目厂区内。</w:t>
            </w:r>
          </w:p>
          <w:p w14:paraId="1DA6995C">
            <w:pPr>
              <w:keepNext w:val="0"/>
              <w:keepLines w:val="0"/>
              <w:pageBreakBefore w:val="0"/>
              <w:kinsoku/>
              <w:wordWrap/>
              <w:overflowPunct/>
              <w:topLinePunct w:val="0"/>
              <w:autoSpaceDE/>
              <w:autoSpaceDN/>
              <w:bidi w:val="0"/>
              <w:adjustRightInd/>
              <w:snapToGrid/>
              <w:ind w:firstLine="480"/>
              <w:textAlignment w:val="auto"/>
              <w:rPr>
                <w:rFonts w:hint="default" w:ascii="Times New Roman" w:hAnsi="Times New Roman" w:cs="Times New Roman"/>
                <w:color w:val="000000"/>
                <w:kern w:val="0"/>
                <w:sz w:val="24"/>
                <w:szCs w:val="24"/>
                <w:lang w:val="en-US" w:eastAsia="zh-CN" w:bidi="ar"/>
              </w:rPr>
            </w:pPr>
            <w:r>
              <w:rPr>
                <w:rFonts w:hint="default" w:ascii="Times New Roman" w:hAnsi="Times New Roman" w:cs="Times New Roman"/>
                <w:color w:val="000000"/>
                <w:kern w:val="0"/>
                <w:sz w:val="24"/>
                <w:szCs w:val="24"/>
                <w:lang w:val="en-US" w:eastAsia="zh-CN" w:bidi="ar"/>
              </w:rPr>
              <w:t>（</w:t>
            </w:r>
            <w:r>
              <w:rPr>
                <w:rFonts w:hint="eastAsia" w:ascii="Times New Roman" w:hAnsi="Times New Roman" w:cs="Times New Roman"/>
                <w:color w:val="000000"/>
                <w:kern w:val="0"/>
                <w:sz w:val="24"/>
                <w:szCs w:val="24"/>
                <w:lang w:val="en-US" w:eastAsia="zh-CN" w:bidi="ar"/>
              </w:rPr>
              <w:t>10</w:t>
            </w:r>
            <w:r>
              <w:rPr>
                <w:rFonts w:hint="default" w:ascii="Times New Roman" w:hAnsi="Times New Roman" w:cs="Times New Roman"/>
                <w:color w:val="000000"/>
                <w:kern w:val="0"/>
                <w:sz w:val="24"/>
                <w:szCs w:val="24"/>
                <w:lang w:val="en-US" w:eastAsia="zh-CN" w:bidi="ar"/>
              </w:rPr>
              <w:t>）人员及工作制度：工作人员20人，厂区内</w:t>
            </w:r>
            <w:r>
              <w:rPr>
                <w:rFonts w:hint="eastAsia" w:ascii="Times New Roman" w:hAnsi="Times New Roman" w:cs="Times New Roman"/>
                <w:color w:val="000000"/>
                <w:kern w:val="0"/>
                <w:sz w:val="24"/>
                <w:szCs w:val="24"/>
                <w:lang w:val="en-US" w:eastAsia="zh-CN" w:bidi="ar"/>
              </w:rPr>
              <w:t>设置</w:t>
            </w:r>
            <w:r>
              <w:rPr>
                <w:rFonts w:hint="default" w:ascii="Times New Roman" w:hAnsi="Times New Roman" w:cs="Times New Roman"/>
                <w:color w:val="000000"/>
                <w:kern w:val="0"/>
                <w:sz w:val="24"/>
                <w:szCs w:val="24"/>
                <w:lang w:val="en-US" w:eastAsia="zh-CN" w:bidi="ar"/>
              </w:rPr>
              <w:t>食宿。年工作天数330日，24小时3班轮班制，单班工作时间</w:t>
            </w:r>
            <w:r>
              <w:rPr>
                <w:rFonts w:hint="eastAsia" w:cs="Times New Roman"/>
                <w:color w:val="000000"/>
                <w:kern w:val="0"/>
                <w:sz w:val="24"/>
                <w:szCs w:val="24"/>
                <w:lang w:val="en-US" w:eastAsia="zh-CN" w:bidi="ar"/>
              </w:rPr>
              <w:t>8</w:t>
            </w:r>
            <w:r>
              <w:rPr>
                <w:rFonts w:hint="default" w:ascii="Times New Roman" w:hAnsi="Times New Roman" w:cs="Times New Roman"/>
                <w:color w:val="000000"/>
                <w:kern w:val="0"/>
                <w:sz w:val="24"/>
                <w:szCs w:val="24"/>
                <w:lang w:val="en-US" w:eastAsia="zh-CN" w:bidi="ar"/>
              </w:rPr>
              <w:t>h。</w:t>
            </w:r>
          </w:p>
          <w:p w14:paraId="0508405B">
            <w:pPr>
              <w:pStyle w:val="3"/>
              <w:keepNext w:val="0"/>
              <w:keepLines w:val="0"/>
              <w:pageBreakBefore w:val="0"/>
              <w:kinsoku/>
              <w:wordWrap/>
              <w:overflowPunct/>
              <w:topLinePunct w:val="0"/>
              <w:autoSpaceDE/>
              <w:autoSpaceDN/>
              <w:bidi w:val="0"/>
              <w:adjustRightInd/>
              <w:snapToGrid/>
              <w:spacing w:before="0" w:beforeLines="0"/>
              <w:textAlignment w:val="auto"/>
            </w:pPr>
            <w:r>
              <w:t>3、</w:t>
            </w:r>
            <w:r>
              <w:rPr>
                <w:rFonts w:hint="eastAsia"/>
                <w:lang w:val="en-US" w:eastAsia="zh-CN"/>
              </w:rPr>
              <w:t>一般固废综合利用</w:t>
            </w:r>
            <w:r>
              <w:t>方案</w:t>
            </w:r>
          </w:p>
          <w:p w14:paraId="50243CA4">
            <w:pPr>
              <w:keepNext w:val="0"/>
              <w:keepLines w:val="0"/>
              <w:pageBreakBefore w:val="0"/>
              <w:kinsoku/>
              <w:wordWrap/>
              <w:overflowPunct/>
              <w:topLinePunct w:val="0"/>
              <w:autoSpaceDE/>
              <w:autoSpaceDN/>
              <w:bidi w:val="0"/>
              <w:adjustRightInd/>
              <w:snapToGrid/>
              <w:textAlignment w:val="auto"/>
              <w:rPr>
                <w:rFonts w:hint="default"/>
                <w:b/>
                <w:bCs/>
                <w:lang w:val="en-US" w:eastAsia="zh-CN"/>
              </w:rPr>
            </w:pPr>
            <w:r>
              <w:rPr>
                <w:rFonts w:hint="eastAsia"/>
                <w:b/>
                <w:bCs/>
                <w:lang w:val="en-US" w:eastAsia="zh-CN"/>
              </w:rPr>
              <w:t>（1）水基岩屑的综合利用方案</w:t>
            </w:r>
          </w:p>
          <w:p w14:paraId="4150A3E8">
            <w:pPr>
              <w:keepNext w:val="0"/>
              <w:keepLines w:val="0"/>
              <w:pageBreakBefore w:val="0"/>
              <w:kinsoku/>
              <w:wordWrap/>
              <w:overflowPunct/>
              <w:topLinePunct w:val="0"/>
              <w:autoSpaceDE/>
              <w:autoSpaceDN/>
              <w:bidi w:val="0"/>
              <w:adjustRightInd/>
              <w:snapToGrid/>
              <w:textAlignment w:val="auto"/>
              <w:rPr>
                <w:rFonts w:hint="default" w:eastAsia="宋体"/>
                <w:b/>
                <w:bCs/>
                <w:lang w:val="en-US" w:eastAsia="zh-CN"/>
              </w:rPr>
            </w:pPr>
            <w:r>
              <w:rPr>
                <w:rFonts w:hint="eastAsia"/>
                <w:b/>
                <w:bCs/>
                <w:lang w:val="en-US" w:eastAsia="zh-CN"/>
              </w:rPr>
              <w:t>1）本项目水基岩屑综合利用情况</w:t>
            </w:r>
          </w:p>
          <w:p w14:paraId="1C264FB6">
            <w:pPr>
              <w:ind w:firstLine="480"/>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本项目主要</w:t>
            </w:r>
            <w:r>
              <w:rPr>
                <w:rFonts w:hint="eastAsia" w:ascii="宋体" w:hAnsi="宋体" w:cs="宋体"/>
                <w:color w:val="000000"/>
                <w:kern w:val="0"/>
                <w:sz w:val="24"/>
                <w:szCs w:val="24"/>
                <w:lang w:val="en-US" w:eastAsia="zh-CN" w:bidi="ar"/>
              </w:rPr>
              <w:t>综合利用</w:t>
            </w:r>
            <w:r>
              <w:rPr>
                <w:rFonts w:hint="eastAsia" w:cs="Times New Roman"/>
                <w:lang w:val="en-US" w:eastAsia="zh-CN"/>
              </w:rPr>
              <w:t>合作</w:t>
            </w:r>
            <w:r>
              <w:rPr>
                <w:rFonts w:hint="eastAsia" w:ascii="宋体" w:hAnsi="宋体" w:eastAsia="宋体" w:cs="宋体"/>
                <w:color w:val="000000"/>
                <w:kern w:val="0"/>
                <w:sz w:val="24"/>
                <w:szCs w:val="24"/>
                <w:lang w:val="en-US" w:eastAsia="zh-CN" w:bidi="ar"/>
              </w:rPr>
              <w:t>单位四川省顺祥油气工程有限公司运输过来的四川境内水基岩屑，由合作单位或第三方运输单位专用厢式全密闭运输车或罐装运输车运输至本项目进行资源化利用。</w:t>
            </w:r>
          </w:p>
          <w:p w14:paraId="05E3B5C4">
            <w:pPr>
              <w:ind w:firstLine="480"/>
              <w:rPr>
                <w:rFonts w:hint="default" w:ascii="Times New Roman" w:hAnsi="Times New Roman"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本项目设计最大年综合利用水基岩屑30万t</w:t>
            </w:r>
            <w:r>
              <w:rPr>
                <w:rFonts w:hint="default" w:ascii="Times New Roman" w:hAnsi="Times New Roman" w:cs="Times New Roman"/>
                <w:color w:val="000000"/>
                <w:kern w:val="0"/>
                <w:sz w:val="24"/>
                <w:szCs w:val="24"/>
                <w:lang w:val="en-US" w:eastAsia="zh-CN" w:bidi="ar"/>
              </w:rPr>
              <w:t>，其中平均含水率约80%的湿水基岩屑约</w:t>
            </w:r>
            <w:r>
              <w:rPr>
                <w:rFonts w:hint="eastAsia" w:cs="Times New Roman"/>
                <w:color w:val="000000"/>
                <w:kern w:val="0"/>
                <w:sz w:val="24"/>
                <w:szCs w:val="24"/>
                <w:lang w:val="en-US" w:eastAsia="zh-CN" w:bidi="ar"/>
              </w:rPr>
              <w:t>5</w:t>
            </w:r>
            <w:r>
              <w:rPr>
                <w:rFonts w:hint="default" w:ascii="Times New Roman" w:hAnsi="Times New Roman" w:cs="Times New Roman"/>
                <w:color w:val="000000"/>
                <w:kern w:val="0"/>
                <w:sz w:val="24"/>
                <w:szCs w:val="24"/>
                <w:lang w:val="en-US" w:eastAsia="zh-CN" w:bidi="ar"/>
              </w:rPr>
              <w:t>万t/a，平均含水率约35%的干水基岩屑约</w:t>
            </w:r>
            <w:r>
              <w:rPr>
                <w:rFonts w:hint="eastAsia" w:cs="Times New Roman"/>
                <w:color w:val="000000"/>
                <w:kern w:val="0"/>
                <w:sz w:val="24"/>
                <w:szCs w:val="24"/>
                <w:lang w:val="en-US" w:eastAsia="zh-CN" w:bidi="ar"/>
              </w:rPr>
              <w:t>25</w:t>
            </w:r>
            <w:r>
              <w:rPr>
                <w:rFonts w:hint="default" w:ascii="Times New Roman" w:hAnsi="Times New Roman" w:cs="Times New Roman"/>
                <w:color w:val="000000"/>
                <w:kern w:val="0"/>
                <w:sz w:val="24"/>
                <w:szCs w:val="24"/>
                <w:lang w:val="en-US" w:eastAsia="zh-CN" w:bidi="ar"/>
              </w:rPr>
              <w:t>万t/a。</w:t>
            </w:r>
          </w:p>
          <w:p w14:paraId="34959A40">
            <w:pPr>
              <w:keepNext w:val="0"/>
              <w:keepLines w:val="0"/>
              <w:widowControl/>
              <w:suppressLineNumbers w:val="0"/>
              <w:jc w:val="left"/>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2）水基岩屑理化性质及综合利用可行性分析</w:t>
            </w:r>
          </w:p>
          <w:p w14:paraId="5D5D7BD6">
            <w:pPr>
              <w:keepNext w:val="0"/>
              <w:keepLines w:val="0"/>
              <w:widowControl/>
              <w:suppressLineNumbers w:val="0"/>
              <w:jc w:val="left"/>
              <w:rPr>
                <w:rFonts w:hint="default" w:ascii="Times New Roman" w:hAnsi="Times New Roman" w:eastAsia="宋体" w:cs="Times New Roman"/>
                <w:b/>
                <w:bCs/>
                <w:color w:val="000000"/>
                <w:kern w:val="0"/>
                <w:sz w:val="24"/>
                <w:szCs w:val="24"/>
                <w:lang w:val="en-US" w:eastAsia="zh-CN" w:bidi="ar"/>
              </w:rPr>
            </w:pPr>
            <w:r>
              <w:rPr>
                <w:rFonts w:hint="eastAsia" w:ascii="Times New Roman" w:hAnsi="Times New Roman" w:cs="Times New Roman"/>
                <w:b/>
                <w:bCs/>
                <w:color w:val="000000"/>
                <w:kern w:val="0"/>
                <w:sz w:val="24"/>
                <w:szCs w:val="24"/>
                <w:lang w:val="en-US" w:eastAsia="zh-CN" w:bidi="ar"/>
              </w:rPr>
              <w:t>①水基岩屑的理化性质</w:t>
            </w:r>
          </w:p>
          <w:p w14:paraId="2714BEA0">
            <w:pPr>
              <w:keepNext w:val="0"/>
              <w:keepLines w:val="0"/>
              <w:widowControl/>
              <w:suppressLineNumbers w:val="0"/>
              <w:jc w:val="left"/>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水基岩屑是由膨润土、各种水处理剂以及钻屑所组成的多相分散体，从液体介质角度看，水基岩屑是以水为连续流体介质的钻井液产生的。主要成分为SiO</w:t>
            </w:r>
            <w:r>
              <w:rPr>
                <w:rFonts w:hint="default" w:ascii="Times New Roman" w:hAnsi="Times New Roman" w:eastAsia="宋体" w:cs="Times New Roman"/>
                <w:color w:val="000000"/>
                <w:kern w:val="0"/>
                <w:sz w:val="15"/>
                <w:szCs w:val="15"/>
                <w:lang w:val="en-US" w:eastAsia="zh-CN" w:bidi="ar"/>
              </w:rPr>
              <w:t>2</w:t>
            </w:r>
            <w:r>
              <w:rPr>
                <w:rFonts w:hint="default" w:ascii="Times New Roman" w:hAnsi="Times New Roman" w:eastAsia="宋体" w:cs="Times New Roman"/>
                <w:color w:val="000000"/>
                <w:kern w:val="0"/>
                <w:sz w:val="24"/>
                <w:szCs w:val="24"/>
                <w:lang w:val="en-US" w:eastAsia="zh-CN" w:bidi="ar"/>
              </w:rPr>
              <w:t>、CaO、Al</w:t>
            </w:r>
            <w:r>
              <w:rPr>
                <w:rFonts w:hint="default" w:ascii="Times New Roman" w:hAnsi="Times New Roman" w:eastAsia="宋体" w:cs="Times New Roman"/>
                <w:color w:val="000000"/>
                <w:kern w:val="0"/>
                <w:sz w:val="15"/>
                <w:szCs w:val="15"/>
                <w:lang w:val="en-US" w:eastAsia="zh-CN" w:bidi="ar"/>
              </w:rPr>
              <w:t>2</w:t>
            </w:r>
            <w:r>
              <w:rPr>
                <w:rFonts w:hint="default" w:ascii="Times New Roman" w:hAnsi="Times New Roman" w:eastAsia="宋体" w:cs="Times New Roman"/>
                <w:color w:val="000000"/>
                <w:kern w:val="0"/>
                <w:sz w:val="24"/>
                <w:szCs w:val="24"/>
                <w:lang w:val="en-US" w:eastAsia="zh-CN" w:bidi="ar"/>
              </w:rPr>
              <w:t>O</w:t>
            </w:r>
            <w:r>
              <w:rPr>
                <w:rFonts w:hint="default" w:ascii="Times New Roman" w:hAnsi="Times New Roman" w:eastAsia="宋体" w:cs="Times New Roman"/>
                <w:color w:val="000000"/>
                <w:kern w:val="0"/>
                <w:sz w:val="15"/>
                <w:szCs w:val="15"/>
                <w:lang w:val="en-US" w:eastAsia="zh-CN" w:bidi="ar"/>
              </w:rPr>
              <w:t>3</w:t>
            </w:r>
            <w:r>
              <w:rPr>
                <w:rFonts w:hint="default" w:ascii="Times New Roman" w:hAnsi="Times New Roman" w:eastAsia="宋体" w:cs="Times New Roman"/>
                <w:color w:val="000000"/>
                <w:kern w:val="0"/>
                <w:sz w:val="24"/>
                <w:szCs w:val="24"/>
                <w:lang w:val="en-US" w:eastAsia="zh-CN" w:bidi="ar"/>
              </w:rPr>
              <w:t>、Fe</w:t>
            </w:r>
            <w:r>
              <w:rPr>
                <w:rFonts w:hint="default" w:ascii="Times New Roman" w:hAnsi="Times New Roman" w:eastAsia="宋体" w:cs="Times New Roman"/>
                <w:color w:val="000000"/>
                <w:kern w:val="0"/>
                <w:sz w:val="15"/>
                <w:szCs w:val="15"/>
                <w:lang w:val="en-US" w:eastAsia="zh-CN" w:bidi="ar"/>
              </w:rPr>
              <w:t>2</w:t>
            </w:r>
            <w:r>
              <w:rPr>
                <w:rFonts w:hint="default" w:ascii="Times New Roman" w:hAnsi="Times New Roman" w:eastAsia="宋体" w:cs="Times New Roman"/>
                <w:color w:val="000000"/>
                <w:kern w:val="0"/>
                <w:sz w:val="24"/>
                <w:szCs w:val="24"/>
                <w:lang w:val="en-US" w:eastAsia="zh-CN" w:bidi="ar"/>
              </w:rPr>
              <w:t>O</w:t>
            </w:r>
            <w:r>
              <w:rPr>
                <w:rFonts w:hint="default" w:ascii="Times New Roman" w:hAnsi="Times New Roman" w:eastAsia="宋体" w:cs="Times New Roman"/>
                <w:color w:val="000000"/>
                <w:kern w:val="0"/>
                <w:sz w:val="15"/>
                <w:szCs w:val="15"/>
                <w:lang w:val="en-US" w:eastAsia="zh-CN" w:bidi="ar"/>
              </w:rPr>
              <w:t xml:space="preserve">3 </w:t>
            </w:r>
            <w:r>
              <w:rPr>
                <w:rFonts w:hint="default" w:ascii="Times New Roman" w:hAnsi="Times New Roman" w:eastAsia="宋体" w:cs="Times New Roman"/>
                <w:color w:val="000000"/>
                <w:kern w:val="0"/>
                <w:sz w:val="24"/>
                <w:szCs w:val="24"/>
                <w:lang w:val="en-US" w:eastAsia="zh-CN" w:bidi="ar"/>
              </w:rPr>
              <w:t>等，矿物相为石英、重晶石、云母、方解石、绿泥石。</w:t>
            </w:r>
          </w:p>
          <w:p w14:paraId="3398505D">
            <w:pPr>
              <w:keepNext w:val="0"/>
              <w:keepLines w:val="0"/>
              <w:widowControl/>
              <w:suppressLineNumbers w:val="0"/>
              <w:jc w:val="left"/>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根据《危险废物排除管理清单（202</w:t>
            </w:r>
            <w:r>
              <w:rPr>
                <w:rFonts w:hint="eastAsia" w:cs="Times New Roman"/>
                <w:color w:val="000000"/>
                <w:kern w:val="0"/>
                <w:sz w:val="24"/>
                <w:szCs w:val="24"/>
                <w:lang w:val="en-US" w:eastAsia="zh-CN" w:bidi="ar"/>
              </w:rPr>
              <w:t>6</w:t>
            </w:r>
            <w:r>
              <w:rPr>
                <w:rFonts w:hint="default" w:ascii="Times New Roman" w:hAnsi="Times New Roman" w:eastAsia="宋体" w:cs="Times New Roman"/>
                <w:color w:val="000000"/>
                <w:kern w:val="0"/>
                <w:sz w:val="24"/>
                <w:szCs w:val="24"/>
                <w:lang w:val="en-US" w:eastAsia="zh-CN" w:bidi="ar"/>
              </w:rPr>
              <w:t>年版）》：石油和天然气开采过程中，使用清水、聚合物钻井泥</w:t>
            </w:r>
            <w:r>
              <w:rPr>
                <w:rFonts w:hint="eastAsia" w:ascii="宋体" w:hAnsi="宋体" w:eastAsia="宋体" w:cs="宋体"/>
                <w:color w:val="000000"/>
                <w:kern w:val="0"/>
                <w:sz w:val="24"/>
                <w:szCs w:val="24"/>
                <w:lang w:val="en-US" w:eastAsia="zh-CN" w:bidi="ar"/>
              </w:rPr>
              <w:t>浆(未加入沥青类药剂和液体润滑剂类药剂)钻井时产生的废弃钻井泥浆和岩屑，或者使用聚合物、聚磺/磺化泥浆钻井时随钻破胶压滤系统产生的废弃钻井岩屑(压滤泥饼)</w:t>
            </w:r>
            <w:r>
              <w:rPr>
                <w:rFonts w:hint="default" w:ascii="Times New Roman" w:hAnsi="Times New Roman" w:eastAsia="宋体" w:cs="Times New Roman"/>
                <w:color w:val="000000"/>
                <w:kern w:val="0"/>
                <w:sz w:val="24"/>
                <w:szCs w:val="24"/>
                <w:lang w:val="en-US" w:eastAsia="zh-CN" w:bidi="ar"/>
              </w:rPr>
              <w:t>。因此，本项目使用的水基</w:t>
            </w:r>
            <w:r>
              <w:rPr>
                <w:rFonts w:hint="default" w:ascii="Times New Roman" w:hAnsi="Times New Roman" w:cs="Times New Roman"/>
                <w:color w:val="000000"/>
                <w:kern w:val="0"/>
                <w:sz w:val="24"/>
                <w:szCs w:val="24"/>
                <w:lang w:val="en-US" w:eastAsia="zh-CN" w:bidi="ar"/>
              </w:rPr>
              <w:t>钻井岩屑</w:t>
            </w:r>
            <w:r>
              <w:rPr>
                <w:rFonts w:hint="default" w:ascii="Times New Roman" w:hAnsi="Times New Roman" w:eastAsia="宋体" w:cs="Times New Roman"/>
                <w:color w:val="000000"/>
                <w:kern w:val="0"/>
                <w:sz w:val="24"/>
                <w:szCs w:val="24"/>
                <w:lang w:val="en-US" w:eastAsia="zh-CN" w:bidi="ar"/>
              </w:rPr>
              <w:t>为一般固废。</w:t>
            </w:r>
          </w:p>
          <w:p w14:paraId="21612562">
            <w:pPr>
              <w:spacing w:line="360" w:lineRule="auto"/>
              <w:ind w:firstLine="480" w:firstLineChars="200"/>
              <w:rPr>
                <w:rFonts w:hint="default" w:ascii="Times New Roman" w:hAnsi="Times New Roman" w:cs="Times New Roman"/>
                <w:color w:val="auto"/>
                <w:sz w:val="24"/>
                <w:szCs w:val="32"/>
              </w:rPr>
            </w:pPr>
            <w:r>
              <w:rPr>
                <w:rFonts w:hint="default" w:ascii="Times New Roman" w:hAnsi="Times New Roman" w:cs="Times New Roman"/>
                <w:color w:val="auto"/>
                <w:sz w:val="24"/>
                <w:szCs w:val="32"/>
              </w:rPr>
              <w:t>参照《页岩气钻井水基岩屑成分分析及其烧结砖可行性研究》（四川大地山河环保工程有限责任公司 汪廷洪、王晗等人）相关内容可知，水基钻井固化体本身不具有毒性、放射性等危害，其浸出液指标达到国家规定的控制指标，在固体废物分类中属于第Ⅰ类一般工业固体废物。</w:t>
            </w:r>
          </w:p>
          <w:p w14:paraId="07853D02">
            <w:pPr>
              <w:keepNext w:val="0"/>
              <w:keepLines w:val="0"/>
              <w:widowControl/>
              <w:suppressLineNumbers w:val="0"/>
              <w:jc w:val="left"/>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根据2024年8月青岛斯坦德衡立环境技术研究院有限公司出具的水基钻井岩屑分析报告显示，水基岩屑主要成分为二氧化硅、碳酸钙、硅酸铝价等稳定的化合物，具体检测结果如下。</w:t>
            </w:r>
          </w:p>
          <w:p w14:paraId="17310BF7">
            <w:pPr>
              <w:pStyle w:val="11"/>
              <w:keepNext/>
              <w:rPr>
                <w:rFonts w:hint="default" w:eastAsia="宋体" w:cs="Times New Roman"/>
                <w:lang w:val="en-US" w:eastAsia="zh-CN"/>
              </w:rPr>
            </w:pPr>
            <w:r>
              <w:rPr>
                <w:rFonts w:cs="Times New Roman"/>
              </w:rPr>
              <w:t>表</w:t>
            </w:r>
            <w:r>
              <w:rPr>
                <w:rFonts w:hint="eastAsia" w:cs="Times New Roman"/>
                <w:lang w:val="en-US" w:eastAsia="zh-CN"/>
              </w:rPr>
              <w:t>2-4</w:t>
            </w:r>
            <w:r>
              <w:rPr>
                <w:rFonts w:cs="Times New Roman"/>
              </w:rPr>
              <w:t xml:space="preserve"> </w:t>
            </w:r>
            <w:r>
              <w:rPr>
                <w:rFonts w:hint="eastAsia" w:cs="Times New Roman"/>
                <w:lang w:val="en-US" w:eastAsia="zh-CN"/>
              </w:rPr>
              <w:t>水基岩屑成分分析结果</w:t>
            </w:r>
          </w:p>
          <w:tbl>
            <w:tblPr>
              <w:tblStyle w:val="26"/>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28"/>
              <w:gridCol w:w="3241"/>
              <w:gridCol w:w="2091"/>
              <w:gridCol w:w="2322"/>
            </w:tblGrid>
            <w:tr w14:paraId="3347C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877" w:type="pct"/>
                  <w:vAlign w:val="center"/>
                </w:tcPr>
                <w:p w14:paraId="7C76D803">
                  <w:pPr>
                    <w:pStyle w:val="45"/>
                    <w:rPr>
                      <w:rFonts w:hint="eastAsia" w:eastAsia="宋体" w:cs="Times New Roman"/>
                      <w:lang w:eastAsia="zh-CN"/>
                    </w:rPr>
                  </w:pPr>
                  <w:r>
                    <w:rPr>
                      <w:rFonts w:hint="eastAsia" w:cs="Times New Roman"/>
                      <w:lang w:val="en-US" w:eastAsia="zh-CN"/>
                    </w:rPr>
                    <w:t>序号</w:t>
                  </w:r>
                </w:p>
              </w:tc>
              <w:tc>
                <w:tcPr>
                  <w:tcW w:w="1745" w:type="pct"/>
                  <w:vAlign w:val="center"/>
                </w:tcPr>
                <w:p w14:paraId="411F37EF">
                  <w:pPr>
                    <w:pStyle w:val="45"/>
                    <w:rPr>
                      <w:rFonts w:hint="default" w:eastAsia="宋体" w:cs="Times New Roman"/>
                      <w:lang w:val="en-US" w:eastAsia="zh-CN"/>
                    </w:rPr>
                  </w:pPr>
                  <w:r>
                    <w:rPr>
                      <w:rFonts w:hint="eastAsia" w:cs="Times New Roman"/>
                      <w:lang w:val="en-US" w:eastAsia="zh-CN"/>
                    </w:rPr>
                    <w:t>成分名称</w:t>
                  </w:r>
                </w:p>
              </w:tc>
              <w:tc>
                <w:tcPr>
                  <w:tcW w:w="1126" w:type="pct"/>
                  <w:vAlign w:val="center"/>
                </w:tcPr>
                <w:p w14:paraId="03A78F09">
                  <w:pPr>
                    <w:pStyle w:val="45"/>
                    <w:rPr>
                      <w:rFonts w:hint="default" w:eastAsia="宋体" w:cs="Times New Roman"/>
                      <w:lang w:val="en-US" w:eastAsia="zh-CN"/>
                    </w:rPr>
                  </w:pPr>
                  <w:r>
                    <w:rPr>
                      <w:rFonts w:hint="eastAsia" w:cs="Times New Roman"/>
                      <w:lang w:val="en-US" w:eastAsia="zh-CN"/>
                    </w:rPr>
                    <w:t>成分含量%</w:t>
                  </w:r>
                </w:p>
              </w:tc>
              <w:tc>
                <w:tcPr>
                  <w:tcW w:w="1250" w:type="pct"/>
                  <w:vAlign w:val="center"/>
                </w:tcPr>
                <w:p w14:paraId="4CE4F3CE">
                  <w:pPr>
                    <w:pStyle w:val="45"/>
                    <w:rPr>
                      <w:rFonts w:hint="default" w:eastAsia="宋体" w:cs="Times New Roman"/>
                      <w:lang w:val="en-US" w:eastAsia="zh-CN"/>
                    </w:rPr>
                  </w:pPr>
                  <w:r>
                    <w:rPr>
                      <w:rFonts w:hint="eastAsia" w:cs="Times New Roman"/>
                      <w:lang w:val="en-US" w:eastAsia="zh-CN"/>
                    </w:rPr>
                    <w:t>CAS#</w:t>
                  </w:r>
                </w:p>
              </w:tc>
            </w:tr>
            <w:tr w14:paraId="6C495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877" w:type="pct"/>
                  <w:vAlign w:val="center"/>
                </w:tcPr>
                <w:p w14:paraId="647AEE12">
                  <w:pPr>
                    <w:pStyle w:val="12"/>
                    <w:rPr>
                      <w:rFonts w:hint="eastAsia" w:eastAsia="宋体" w:cs="Times New Roman"/>
                      <w:lang w:val="en-US" w:eastAsia="zh-CN"/>
                    </w:rPr>
                  </w:pPr>
                  <w:r>
                    <w:rPr>
                      <w:rFonts w:hint="eastAsia" w:cs="Times New Roman"/>
                      <w:lang w:val="en-US" w:eastAsia="zh-CN"/>
                    </w:rPr>
                    <w:t>1</w:t>
                  </w:r>
                </w:p>
              </w:tc>
              <w:tc>
                <w:tcPr>
                  <w:tcW w:w="1745" w:type="pct"/>
                  <w:vAlign w:val="center"/>
                </w:tcPr>
                <w:p w14:paraId="31DF41A6">
                  <w:pPr>
                    <w:pStyle w:val="12"/>
                    <w:rPr>
                      <w:rFonts w:hint="default" w:eastAsia="宋体" w:cs="Times New Roman"/>
                      <w:lang w:val="en-US" w:eastAsia="zh-CN"/>
                    </w:rPr>
                  </w:pPr>
                  <w:r>
                    <w:rPr>
                      <w:rFonts w:hint="eastAsia" w:eastAsia="宋体" w:cs="Times New Roman"/>
                      <w:lang w:val="en-US" w:eastAsia="zh-CN"/>
                    </w:rPr>
                    <w:t>水分</w:t>
                  </w:r>
                </w:p>
              </w:tc>
              <w:tc>
                <w:tcPr>
                  <w:tcW w:w="1126" w:type="pct"/>
                  <w:vAlign w:val="center"/>
                </w:tcPr>
                <w:p w14:paraId="3A3A0CF9">
                  <w:pPr>
                    <w:pStyle w:val="12"/>
                    <w:rPr>
                      <w:rFonts w:hint="default" w:eastAsia="宋体" w:cs="Times New Roman"/>
                      <w:lang w:val="en-US" w:eastAsia="zh-CN"/>
                    </w:rPr>
                  </w:pPr>
                  <w:r>
                    <w:rPr>
                      <w:rFonts w:hint="eastAsia" w:cs="Times New Roman"/>
                      <w:lang w:val="en-US" w:eastAsia="zh-CN"/>
                    </w:rPr>
                    <w:t>86.0-87.5</w:t>
                  </w:r>
                </w:p>
              </w:tc>
              <w:tc>
                <w:tcPr>
                  <w:tcW w:w="1250" w:type="pct"/>
                  <w:vAlign w:val="center"/>
                </w:tcPr>
                <w:p w14:paraId="4350D3FB">
                  <w:pPr>
                    <w:pStyle w:val="12"/>
                    <w:rPr>
                      <w:rFonts w:hint="default" w:eastAsia="宋体" w:cs="Times New Roman"/>
                      <w:lang w:val="en-US" w:eastAsia="zh-CN"/>
                    </w:rPr>
                  </w:pPr>
                  <w:r>
                    <w:rPr>
                      <w:rFonts w:hint="eastAsia" w:eastAsia="宋体" w:cs="Times New Roman"/>
                      <w:lang w:val="en-US" w:eastAsia="zh-CN"/>
                    </w:rPr>
                    <w:t>/</w:t>
                  </w:r>
                </w:p>
              </w:tc>
            </w:tr>
            <w:tr w14:paraId="6FD3F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877" w:type="pct"/>
                  <w:vAlign w:val="center"/>
                </w:tcPr>
                <w:p w14:paraId="37572FE9">
                  <w:pPr>
                    <w:pStyle w:val="12"/>
                    <w:rPr>
                      <w:rFonts w:hint="eastAsia" w:eastAsia="宋体" w:cs="Times New Roman"/>
                      <w:lang w:val="en-US" w:eastAsia="zh-CN"/>
                    </w:rPr>
                  </w:pPr>
                  <w:r>
                    <w:rPr>
                      <w:rFonts w:hint="eastAsia" w:cs="Times New Roman"/>
                      <w:lang w:val="en-US" w:eastAsia="zh-CN"/>
                    </w:rPr>
                    <w:t>2</w:t>
                  </w:r>
                </w:p>
              </w:tc>
              <w:tc>
                <w:tcPr>
                  <w:tcW w:w="1745" w:type="pct"/>
                  <w:vAlign w:val="center"/>
                </w:tcPr>
                <w:p w14:paraId="31D061C6">
                  <w:pPr>
                    <w:pStyle w:val="12"/>
                    <w:rPr>
                      <w:rFonts w:hint="default" w:eastAsia="宋体" w:cs="Times New Roman"/>
                      <w:lang w:val="en-US" w:eastAsia="zh-CN"/>
                    </w:rPr>
                  </w:pPr>
                  <w:r>
                    <w:rPr>
                      <w:rFonts w:hint="eastAsia" w:eastAsia="宋体" w:cs="Times New Roman"/>
                      <w:lang w:val="en-US" w:eastAsia="zh-CN"/>
                    </w:rPr>
                    <w:t>氢氧化镁</w:t>
                  </w:r>
                </w:p>
              </w:tc>
              <w:tc>
                <w:tcPr>
                  <w:tcW w:w="1126" w:type="pct"/>
                  <w:vAlign w:val="center"/>
                </w:tcPr>
                <w:p w14:paraId="549FDE98">
                  <w:pPr>
                    <w:pStyle w:val="12"/>
                    <w:rPr>
                      <w:rFonts w:hint="default" w:eastAsia="宋体" w:cs="Times New Roman"/>
                      <w:lang w:val="en-US" w:eastAsia="zh-CN"/>
                    </w:rPr>
                  </w:pPr>
                  <w:r>
                    <w:rPr>
                      <w:rFonts w:hint="eastAsia" w:eastAsia="宋体" w:cs="Times New Roman"/>
                      <w:lang w:val="en-US" w:eastAsia="zh-CN"/>
                    </w:rPr>
                    <w:t>0.45-0.60</w:t>
                  </w:r>
                </w:p>
              </w:tc>
              <w:tc>
                <w:tcPr>
                  <w:tcW w:w="1250" w:type="pct"/>
                  <w:vAlign w:val="center"/>
                </w:tcPr>
                <w:p w14:paraId="0B7C6A02">
                  <w:pPr>
                    <w:pStyle w:val="12"/>
                    <w:rPr>
                      <w:rFonts w:hint="default" w:eastAsia="宋体" w:cs="Times New Roman"/>
                      <w:lang w:val="en-US" w:eastAsia="zh-CN"/>
                    </w:rPr>
                  </w:pPr>
                  <w:r>
                    <w:rPr>
                      <w:rFonts w:hint="eastAsia" w:cs="Times New Roman"/>
                      <w:lang w:val="en-US" w:eastAsia="zh-CN"/>
                    </w:rPr>
                    <w:t>1309-42-8</w:t>
                  </w:r>
                </w:p>
              </w:tc>
            </w:tr>
            <w:tr w14:paraId="706FD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877" w:type="pct"/>
                  <w:vAlign w:val="center"/>
                </w:tcPr>
                <w:p w14:paraId="6E514DBE">
                  <w:pPr>
                    <w:pStyle w:val="12"/>
                    <w:rPr>
                      <w:rFonts w:hint="eastAsia" w:eastAsia="宋体" w:cs="Times New Roman"/>
                      <w:lang w:val="en-US" w:eastAsia="zh-CN"/>
                    </w:rPr>
                  </w:pPr>
                  <w:r>
                    <w:rPr>
                      <w:rFonts w:hint="eastAsia" w:cs="Times New Roman"/>
                      <w:lang w:val="en-US" w:eastAsia="zh-CN"/>
                    </w:rPr>
                    <w:t>3</w:t>
                  </w:r>
                </w:p>
              </w:tc>
              <w:tc>
                <w:tcPr>
                  <w:tcW w:w="1745" w:type="pct"/>
                  <w:vAlign w:val="center"/>
                </w:tcPr>
                <w:p w14:paraId="0935148B">
                  <w:pPr>
                    <w:pStyle w:val="12"/>
                    <w:rPr>
                      <w:rFonts w:hint="default" w:eastAsia="宋体" w:cs="Times New Roman"/>
                      <w:lang w:val="en-US" w:eastAsia="zh-CN"/>
                    </w:rPr>
                  </w:pPr>
                  <w:r>
                    <w:rPr>
                      <w:rFonts w:hint="eastAsia" w:eastAsia="宋体" w:cs="Times New Roman"/>
                      <w:lang w:val="en-US" w:eastAsia="zh-CN"/>
                    </w:rPr>
                    <w:t>氢氧化钙</w:t>
                  </w:r>
                </w:p>
              </w:tc>
              <w:tc>
                <w:tcPr>
                  <w:tcW w:w="1126" w:type="pct"/>
                  <w:vAlign w:val="center"/>
                </w:tcPr>
                <w:p w14:paraId="7BDCD932">
                  <w:pPr>
                    <w:pStyle w:val="12"/>
                    <w:rPr>
                      <w:rFonts w:hint="default" w:eastAsia="宋体" w:cs="Times New Roman"/>
                      <w:lang w:val="en-US" w:eastAsia="zh-CN"/>
                    </w:rPr>
                  </w:pPr>
                  <w:r>
                    <w:rPr>
                      <w:rFonts w:hint="eastAsia" w:eastAsia="宋体" w:cs="Times New Roman"/>
                      <w:lang w:val="en-US" w:eastAsia="zh-CN"/>
                    </w:rPr>
                    <w:t>1.5-2.5</w:t>
                  </w:r>
                </w:p>
              </w:tc>
              <w:tc>
                <w:tcPr>
                  <w:tcW w:w="1250" w:type="pct"/>
                  <w:vAlign w:val="center"/>
                </w:tcPr>
                <w:p w14:paraId="27295B63">
                  <w:pPr>
                    <w:pStyle w:val="12"/>
                    <w:rPr>
                      <w:rFonts w:hint="default" w:eastAsia="宋体" w:cs="Times New Roman"/>
                      <w:lang w:val="en-US" w:eastAsia="zh-CN"/>
                    </w:rPr>
                  </w:pPr>
                  <w:r>
                    <w:rPr>
                      <w:rFonts w:hint="eastAsia" w:cs="Times New Roman"/>
                      <w:lang w:val="en-US" w:eastAsia="zh-CN"/>
                    </w:rPr>
                    <w:t>1305-62-0</w:t>
                  </w:r>
                </w:p>
              </w:tc>
            </w:tr>
            <w:tr w14:paraId="3F1E4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877" w:type="pct"/>
                  <w:vAlign w:val="center"/>
                </w:tcPr>
                <w:p w14:paraId="41F37776">
                  <w:pPr>
                    <w:pStyle w:val="12"/>
                    <w:rPr>
                      <w:rFonts w:hint="eastAsia" w:eastAsia="宋体" w:cs="Times New Roman"/>
                      <w:lang w:val="en-US" w:eastAsia="zh-CN"/>
                    </w:rPr>
                  </w:pPr>
                  <w:r>
                    <w:rPr>
                      <w:rFonts w:hint="eastAsia" w:cs="Times New Roman"/>
                      <w:lang w:val="en-US" w:eastAsia="zh-CN"/>
                    </w:rPr>
                    <w:t>4</w:t>
                  </w:r>
                </w:p>
              </w:tc>
              <w:tc>
                <w:tcPr>
                  <w:tcW w:w="1745" w:type="pct"/>
                  <w:vAlign w:val="center"/>
                </w:tcPr>
                <w:p w14:paraId="6BB1BEED">
                  <w:pPr>
                    <w:pStyle w:val="12"/>
                    <w:rPr>
                      <w:rFonts w:hint="default" w:eastAsia="宋体" w:cs="Times New Roman"/>
                      <w:lang w:val="en-US" w:eastAsia="zh-CN"/>
                    </w:rPr>
                  </w:pPr>
                  <w:r>
                    <w:rPr>
                      <w:rFonts w:hint="eastAsia" w:eastAsia="宋体" w:cs="Times New Roman"/>
                      <w:lang w:val="en-US" w:eastAsia="zh-CN"/>
                    </w:rPr>
                    <w:t>硅酸铝钠</w:t>
                  </w:r>
                </w:p>
              </w:tc>
              <w:tc>
                <w:tcPr>
                  <w:tcW w:w="1126" w:type="pct"/>
                  <w:vAlign w:val="center"/>
                </w:tcPr>
                <w:p w14:paraId="2E4299BA">
                  <w:pPr>
                    <w:pStyle w:val="12"/>
                    <w:rPr>
                      <w:rFonts w:hint="default" w:eastAsia="宋体" w:cs="Times New Roman"/>
                      <w:lang w:val="en-US" w:eastAsia="zh-CN"/>
                    </w:rPr>
                  </w:pPr>
                  <w:r>
                    <w:rPr>
                      <w:rFonts w:hint="eastAsia" w:eastAsia="宋体" w:cs="Times New Roman"/>
                      <w:lang w:val="en-US" w:eastAsia="zh-CN"/>
                    </w:rPr>
                    <w:t>1.0-2.0</w:t>
                  </w:r>
                </w:p>
              </w:tc>
              <w:tc>
                <w:tcPr>
                  <w:tcW w:w="1250" w:type="pct"/>
                  <w:vAlign w:val="center"/>
                </w:tcPr>
                <w:p w14:paraId="6B2A3E0C">
                  <w:pPr>
                    <w:pStyle w:val="12"/>
                    <w:rPr>
                      <w:rFonts w:hint="default" w:eastAsia="宋体" w:cs="Times New Roman"/>
                      <w:lang w:val="en-US" w:eastAsia="zh-CN"/>
                    </w:rPr>
                  </w:pPr>
                  <w:r>
                    <w:rPr>
                      <w:rFonts w:hint="eastAsia" w:cs="Times New Roman"/>
                      <w:lang w:val="en-US" w:eastAsia="zh-CN"/>
                    </w:rPr>
                    <w:t>1344-00-9</w:t>
                  </w:r>
                </w:p>
              </w:tc>
            </w:tr>
            <w:tr w14:paraId="54DB8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877" w:type="pct"/>
                  <w:vAlign w:val="center"/>
                </w:tcPr>
                <w:p w14:paraId="0896539C">
                  <w:pPr>
                    <w:pStyle w:val="12"/>
                    <w:rPr>
                      <w:rFonts w:hint="eastAsia" w:eastAsia="宋体" w:cs="Times New Roman"/>
                      <w:lang w:val="en-US" w:eastAsia="zh-CN"/>
                    </w:rPr>
                  </w:pPr>
                  <w:r>
                    <w:rPr>
                      <w:rFonts w:hint="eastAsia" w:cs="Times New Roman"/>
                      <w:lang w:val="en-US" w:eastAsia="zh-CN"/>
                    </w:rPr>
                    <w:t>5</w:t>
                  </w:r>
                </w:p>
              </w:tc>
              <w:tc>
                <w:tcPr>
                  <w:tcW w:w="1745" w:type="pct"/>
                  <w:vAlign w:val="center"/>
                </w:tcPr>
                <w:p w14:paraId="75033CB0">
                  <w:pPr>
                    <w:pStyle w:val="12"/>
                    <w:rPr>
                      <w:rFonts w:hint="default" w:eastAsia="宋体" w:cs="Times New Roman"/>
                      <w:lang w:val="en-US" w:eastAsia="zh-CN"/>
                    </w:rPr>
                  </w:pPr>
                  <w:r>
                    <w:rPr>
                      <w:rFonts w:hint="eastAsia" w:eastAsia="宋体" w:cs="Times New Roman"/>
                      <w:lang w:val="en-US" w:eastAsia="zh-CN"/>
                    </w:rPr>
                    <w:t>氧化铝</w:t>
                  </w:r>
                </w:p>
              </w:tc>
              <w:tc>
                <w:tcPr>
                  <w:tcW w:w="1126" w:type="pct"/>
                  <w:vAlign w:val="center"/>
                </w:tcPr>
                <w:p w14:paraId="3B1B3512">
                  <w:pPr>
                    <w:pStyle w:val="12"/>
                    <w:rPr>
                      <w:rFonts w:hint="default" w:eastAsia="宋体" w:cs="Times New Roman"/>
                      <w:lang w:val="en-US" w:eastAsia="zh-CN"/>
                    </w:rPr>
                  </w:pPr>
                  <w:r>
                    <w:rPr>
                      <w:rFonts w:hint="eastAsia" w:eastAsia="宋体" w:cs="Times New Roman"/>
                      <w:lang w:val="en-US" w:eastAsia="zh-CN"/>
                    </w:rPr>
                    <w:t>0.5-0.7</w:t>
                  </w:r>
                </w:p>
              </w:tc>
              <w:tc>
                <w:tcPr>
                  <w:tcW w:w="1250" w:type="pct"/>
                  <w:vAlign w:val="center"/>
                </w:tcPr>
                <w:p w14:paraId="1FAEAC34">
                  <w:pPr>
                    <w:pStyle w:val="12"/>
                    <w:rPr>
                      <w:rFonts w:hint="default" w:eastAsia="宋体" w:cs="Times New Roman"/>
                      <w:lang w:val="en-US" w:eastAsia="zh-CN"/>
                    </w:rPr>
                  </w:pPr>
                  <w:r>
                    <w:rPr>
                      <w:rFonts w:hint="eastAsia" w:cs="Times New Roman"/>
                      <w:lang w:val="en-US" w:eastAsia="zh-CN"/>
                    </w:rPr>
                    <w:t>1344-28-1</w:t>
                  </w:r>
                </w:p>
              </w:tc>
            </w:tr>
            <w:tr w14:paraId="7252E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877" w:type="pct"/>
                  <w:vAlign w:val="center"/>
                </w:tcPr>
                <w:p w14:paraId="3B75DA0C">
                  <w:pPr>
                    <w:pStyle w:val="12"/>
                    <w:rPr>
                      <w:rFonts w:hint="eastAsia" w:eastAsia="宋体" w:cs="Times New Roman"/>
                      <w:lang w:val="en-US" w:eastAsia="zh-CN"/>
                    </w:rPr>
                  </w:pPr>
                  <w:r>
                    <w:rPr>
                      <w:rFonts w:hint="eastAsia" w:cs="Times New Roman"/>
                      <w:lang w:val="en-US" w:eastAsia="zh-CN"/>
                    </w:rPr>
                    <w:t>6</w:t>
                  </w:r>
                </w:p>
              </w:tc>
              <w:tc>
                <w:tcPr>
                  <w:tcW w:w="1745" w:type="pct"/>
                  <w:vAlign w:val="center"/>
                </w:tcPr>
                <w:p w14:paraId="5F1B499E">
                  <w:pPr>
                    <w:pStyle w:val="12"/>
                    <w:rPr>
                      <w:rFonts w:hint="default" w:eastAsia="宋体" w:cs="Times New Roman"/>
                      <w:lang w:val="en-US" w:eastAsia="zh-CN"/>
                    </w:rPr>
                  </w:pPr>
                  <w:r>
                    <w:rPr>
                      <w:rFonts w:hint="eastAsia" w:eastAsia="宋体" w:cs="Times New Roman"/>
                      <w:lang w:val="en-US" w:eastAsia="zh-CN"/>
                    </w:rPr>
                    <w:t>二氧化硅</w:t>
                  </w:r>
                </w:p>
              </w:tc>
              <w:tc>
                <w:tcPr>
                  <w:tcW w:w="1126" w:type="pct"/>
                  <w:vAlign w:val="center"/>
                </w:tcPr>
                <w:p w14:paraId="260661B2">
                  <w:pPr>
                    <w:pStyle w:val="12"/>
                    <w:rPr>
                      <w:rFonts w:hint="default" w:eastAsia="宋体" w:cs="Times New Roman"/>
                      <w:lang w:val="en-US" w:eastAsia="zh-CN"/>
                    </w:rPr>
                  </w:pPr>
                  <w:r>
                    <w:rPr>
                      <w:rFonts w:hint="eastAsia" w:eastAsia="宋体" w:cs="Times New Roman"/>
                      <w:lang w:val="en-US" w:eastAsia="zh-CN"/>
                    </w:rPr>
                    <w:t>3.0-4.0</w:t>
                  </w:r>
                </w:p>
              </w:tc>
              <w:tc>
                <w:tcPr>
                  <w:tcW w:w="1250" w:type="pct"/>
                  <w:vAlign w:val="center"/>
                </w:tcPr>
                <w:p w14:paraId="593FD366">
                  <w:pPr>
                    <w:pStyle w:val="12"/>
                    <w:rPr>
                      <w:rFonts w:hint="default" w:eastAsia="宋体" w:cs="Times New Roman"/>
                      <w:lang w:val="en-US" w:eastAsia="zh-CN"/>
                    </w:rPr>
                  </w:pPr>
                  <w:r>
                    <w:rPr>
                      <w:rFonts w:hint="eastAsia" w:eastAsia="宋体" w:cs="Times New Roman"/>
                      <w:lang w:val="en-US" w:eastAsia="zh-CN"/>
                    </w:rPr>
                    <w:t>14808-60-7</w:t>
                  </w:r>
                </w:p>
              </w:tc>
            </w:tr>
            <w:tr w14:paraId="0F491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877" w:type="pct"/>
                  <w:vAlign w:val="center"/>
                </w:tcPr>
                <w:p w14:paraId="742A4037">
                  <w:pPr>
                    <w:pStyle w:val="12"/>
                    <w:rPr>
                      <w:rFonts w:hint="eastAsia" w:eastAsia="宋体" w:cs="Times New Roman"/>
                      <w:lang w:val="en-US" w:eastAsia="zh-CN"/>
                    </w:rPr>
                  </w:pPr>
                  <w:r>
                    <w:rPr>
                      <w:rFonts w:hint="eastAsia" w:cs="Times New Roman"/>
                      <w:lang w:val="en-US" w:eastAsia="zh-CN"/>
                    </w:rPr>
                    <w:t>7</w:t>
                  </w:r>
                </w:p>
              </w:tc>
              <w:tc>
                <w:tcPr>
                  <w:tcW w:w="1745" w:type="pct"/>
                  <w:vAlign w:val="center"/>
                </w:tcPr>
                <w:p w14:paraId="5EC71596">
                  <w:pPr>
                    <w:pStyle w:val="12"/>
                    <w:rPr>
                      <w:rFonts w:hint="default" w:eastAsia="宋体" w:cs="Times New Roman"/>
                      <w:lang w:val="en-US" w:eastAsia="zh-CN"/>
                    </w:rPr>
                  </w:pPr>
                  <w:r>
                    <w:rPr>
                      <w:rFonts w:hint="eastAsia" w:eastAsia="宋体" w:cs="Times New Roman"/>
                      <w:lang w:val="en-US" w:eastAsia="zh-CN"/>
                    </w:rPr>
                    <w:t>硫酸钡</w:t>
                  </w:r>
                </w:p>
              </w:tc>
              <w:tc>
                <w:tcPr>
                  <w:tcW w:w="1126" w:type="pct"/>
                  <w:vAlign w:val="center"/>
                </w:tcPr>
                <w:p w14:paraId="18E9EE38">
                  <w:pPr>
                    <w:pStyle w:val="12"/>
                    <w:rPr>
                      <w:rFonts w:hint="default" w:eastAsia="宋体" w:cs="Times New Roman"/>
                      <w:lang w:val="en-US" w:eastAsia="zh-CN"/>
                    </w:rPr>
                  </w:pPr>
                  <w:r>
                    <w:rPr>
                      <w:rFonts w:hint="eastAsia" w:eastAsia="宋体" w:cs="Times New Roman"/>
                      <w:lang w:val="en-US" w:eastAsia="zh-CN"/>
                    </w:rPr>
                    <w:t>0.4-0.6</w:t>
                  </w:r>
                </w:p>
              </w:tc>
              <w:tc>
                <w:tcPr>
                  <w:tcW w:w="1250" w:type="pct"/>
                  <w:vAlign w:val="center"/>
                </w:tcPr>
                <w:p w14:paraId="6F4F17A9">
                  <w:pPr>
                    <w:pStyle w:val="12"/>
                    <w:rPr>
                      <w:rFonts w:hint="default" w:eastAsia="宋体" w:cs="Times New Roman"/>
                      <w:lang w:val="en-US" w:eastAsia="zh-CN"/>
                    </w:rPr>
                  </w:pPr>
                  <w:r>
                    <w:rPr>
                      <w:rFonts w:hint="eastAsia" w:cs="Times New Roman"/>
                      <w:lang w:val="en-US" w:eastAsia="zh-CN"/>
                    </w:rPr>
                    <w:t>13462-86-7</w:t>
                  </w:r>
                </w:p>
              </w:tc>
            </w:tr>
            <w:tr w14:paraId="415D8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877" w:type="pct"/>
                  <w:vAlign w:val="center"/>
                </w:tcPr>
                <w:p w14:paraId="73243D41">
                  <w:pPr>
                    <w:pStyle w:val="12"/>
                    <w:rPr>
                      <w:rFonts w:hint="eastAsia" w:eastAsia="宋体" w:cs="Times New Roman"/>
                      <w:lang w:val="en-US" w:eastAsia="zh-CN"/>
                    </w:rPr>
                  </w:pPr>
                  <w:r>
                    <w:rPr>
                      <w:rFonts w:hint="eastAsia" w:cs="Times New Roman"/>
                      <w:lang w:val="en-US" w:eastAsia="zh-CN"/>
                    </w:rPr>
                    <w:t>8</w:t>
                  </w:r>
                </w:p>
              </w:tc>
              <w:tc>
                <w:tcPr>
                  <w:tcW w:w="1745" w:type="pct"/>
                  <w:vAlign w:val="center"/>
                </w:tcPr>
                <w:p w14:paraId="501D20F0">
                  <w:pPr>
                    <w:pStyle w:val="12"/>
                    <w:rPr>
                      <w:rFonts w:hint="default" w:eastAsia="宋体" w:cs="Times New Roman"/>
                      <w:lang w:val="en-US" w:eastAsia="zh-CN"/>
                    </w:rPr>
                  </w:pPr>
                  <w:r>
                    <w:rPr>
                      <w:rFonts w:hint="eastAsia" w:eastAsia="宋体" w:cs="Times New Roman"/>
                      <w:lang w:val="en-US" w:eastAsia="zh-CN"/>
                    </w:rPr>
                    <w:t>氯化钾</w:t>
                  </w:r>
                </w:p>
              </w:tc>
              <w:tc>
                <w:tcPr>
                  <w:tcW w:w="1126" w:type="pct"/>
                  <w:vAlign w:val="center"/>
                </w:tcPr>
                <w:p w14:paraId="77272E53">
                  <w:pPr>
                    <w:pStyle w:val="12"/>
                    <w:rPr>
                      <w:rFonts w:hint="default" w:eastAsia="宋体" w:cs="Times New Roman"/>
                      <w:lang w:val="en-US" w:eastAsia="zh-CN"/>
                    </w:rPr>
                  </w:pPr>
                  <w:r>
                    <w:rPr>
                      <w:rFonts w:hint="eastAsia" w:eastAsia="宋体" w:cs="Times New Roman"/>
                      <w:lang w:val="en-US" w:eastAsia="zh-CN"/>
                    </w:rPr>
                    <w:t>0.10-0.15</w:t>
                  </w:r>
                </w:p>
              </w:tc>
              <w:tc>
                <w:tcPr>
                  <w:tcW w:w="1250" w:type="pct"/>
                  <w:vAlign w:val="center"/>
                </w:tcPr>
                <w:p w14:paraId="30684560">
                  <w:pPr>
                    <w:pStyle w:val="12"/>
                    <w:rPr>
                      <w:rFonts w:hint="default" w:eastAsia="宋体" w:cs="Times New Roman"/>
                      <w:lang w:val="en-US" w:eastAsia="zh-CN"/>
                    </w:rPr>
                  </w:pPr>
                  <w:r>
                    <w:rPr>
                      <w:rFonts w:hint="eastAsia" w:eastAsia="宋体" w:cs="Times New Roman"/>
                      <w:lang w:val="en-US" w:eastAsia="zh-CN"/>
                    </w:rPr>
                    <w:t>7447-40-7</w:t>
                  </w:r>
                </w:p>
              </w:tc>
            </w:tr>
            <w:tr w14:paraId="68A9F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877" w:type="pct"/>
                  <w:vAlign w:val="center"/>
                </w:tcPr>
                <w:p w14:paraId="64C57D0D">
                  <w:pPr>
                    <w:pStyle w:val="12"/>
                    <w:rPr>
                      <w:rFonts w:hint="eastAsia" w:eastAsia="宋体" w:cs="Times New Roman"/>
                      <w:lang w:val="en-US" w:eastAsia="zh-CN"/>
                    </w:rPr>
                  </w:pPr>
                  <w:r>
                    <w:rPr>
                      <w:rFonts w:hint="eastAsia" w:cs="Times New Roman"/>
                      <w:lang w:val="en-US" w:eastAsia="zh-CN"/>
                    </w:rPr>
                    <w:t>9</w:t>
                  </w:r>
                </w:p>
              </w:tc>
              <w:tc>
                <w:tcPr>
                  <w:tcW w:w="1745" w:type="pct"/>
                  <w:vAlign w:val="center"/>
                </w:tcPr>
                <w:p w14:paraId="3FC44F3F">
                  <w:pPr>
                    <w:pStyle w:val="12"/>
                    <w:rPr>
                      <w:rFonts w:hint="default" w:eastAsia="宋体" w:cs="Times New Roman"/>
                      <w:lang w:val="en-US" w:eastAsia="zh-CN"/>
                    </w:rPr>
                  </w:pPr>
                  <w:r>
                    <w:rPr>
                      <w:rFonts w:hint="eastAsia" w:eastAsia="宋体" w:cs="Times New Roman"/>
                      <w:lang w:val="en-US" w:eastAsia="zh-CN"/>
                    </w:rPr>
                    <w:t>氯化钠</w:t>
                  </w:r>
                </w:p>
              </w:tc>
              <w:tc>
                <w:tcPr>
                  <w:tcW w:w="2094" w:type="dxa"/>
                  <w:vAlign w:val="center"/>
                </w:tcPr>
                <w:p w14:paraId="773AD336">
                  <w:pPr>
                    <w:pStyle w:val="12"/>
                    <w:ind w:firstLine="0" w:firstLineChars="0"/>
                    <w:rPr>
                      <w:rFonts w:hint="default" w:eastAsia="宋体" w:cs="Times New Roman"/>
                      <w:lang w:val="en-US" w:eastAsia="zh-CN"/>
                    </w:rPr>
                  </w:pPr>
                  <w:r>
                    <w:rPr>
                      <w:rFonts w:hint="eastAsia" w:eastAsia="宋体" w:cs="Times New Roman"/>
                      <w:lang w:val="en-US" w:eastAsia="zh-CN"/>
                    </w:rPr>
                    <w:t>0.08-0.12</w:t>
                  </w:r>
                </w:p>
              </w:tc>
              <w:tc>
                <w:tcPr>
                  <w:tcW w:w="1250" w:type="pct"/>
                  <w:vAlign w:val="center"/>
                </w:tcPr>
                <w:p w14:paraId="5E557C64">
                  <w:pPr>
                    <w:pStyle w:val="12"/>
                    <w:rPr>
                      <w:rFonts w:hint="default" w:eastAsia="宋体" w:cs="Times New Roman"/>
                      <w:lang w:val="en-US" w:eastAsia="zh-CN"/>
                    </w:rPr>
                  </w:pPr>
                  <w:r>
                    <w:rPr>
                      <w:rFonts w:hint="eastAsia" w:eastAsia="宋体" w:cs="Times New Roman"/>
                      <w:lang w:val="en-US" w:eastAsia="zh-CN"/>
                    </w:rPr>
                    <w:t>7647-14-5</w:t>
                  </w:r>
                </w:p>
              </w:tc>
            </w:tr>
            <w:tr w14:paraId="15DF0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877" w:type="pct"/>
                  <w:vAlign w:val="center"/>
                </w:tcPr>
                <w:p w14:paraId="6341D781">
                  <w:pPr>
                    <w:pStyle w:val="12"/>
                    <w:rPr>
                      <w:rFonts w:hint="default" w:eastAsia="宋体" w:cs="Times New Roman"/>
                      <w:lang w:val="en-US" w:eastAsia="zh-CN"/>
                    </w:rPr>
                  </w:pPr>
                  <w:r>
                    <w:rPr>
                      <w:rFonts w:hint="eastAsia" w:cs="Times New Roman"/>
                      <w:lang w:val="en-US" w:eastAsia="zh-CN"/>
                    </w:rPr>
                    <w:t>10</w:t>
                  </w:r>
                </w:p>
              </w:tc>
              <w:tc>
                <w:tcPr>
                  <w:tcW w:w="1745" w:type="pct"/>
                  <w:vAlign w:val="center"/>
                </w:tcPr>
                <w:p w14:paraId="5C663834">
                  <w:pPr>
                    <w:pStyle w:val="12"/>
                    <w:rPr>
                      <w:rFonts w:hint="eastAsia" w:eastAsia="宋体" w:cs="Times New Roman"/>
                      <w:lang w:val="en-US" w:eastAsia="zh-CN"/>
                    </w:rPr>
                  </w:pPr>
                  <w:r>
                    <w:rPr>
                      <w:rFonts w:hint="eastAsia" w:cs="Times New Roman"/>
                      <w:lang w:val="en-US" w:eastAsia="zh-CN"/>
                    </w:rPr>
                    <w:t>碳酸钙</w:t>
                  </w:r>
                </w:p>
              </w:tc>
              <w:tc>
                <w:tcPr>
                  <w:tcW w:w="2094" w:type="dxa"/>
                  <w:vAlign w:val="center"/>
                </w:tcPr>
                <w:p w14:paraId="616AD2E3">
                  <w:pPr>
                    <w:pStyle w:val="12"/>
                    <w:ind w:firstLine="0" w:firstLineChars="0"/>
                    <w:rPr>
                      <w:rFonts w:hint="default" w:cs="Times New Roman"/>
                      <w:lang w:val="en-US"/>
                    </w:rPr>
                  </w:pPr>
                  <w:r>
                    <w:rPr>
                      <w:rFonts w:hint="eastAsia" w:eastAsia="宋体" w:cs="Times New Roman"/>
                      <w:lang w:val="en-US" w:eastAsia="zh-CN"/>
                    </w:rPr>
                    <w:t>1.5-2.0</w:t>
                  </w:r>
                </w:p>
              </w:tc>
              <w:tc>
                <w:tcPr>
                  <w:tcW w:w="1250" w:type="pct"/>
                  <w:vAlign w:val="center"/>
                </w:tcPr>
                <w:p w14:paraId="721ED052">
                  <w:pPr>
                    <w:pStyle w:val="12"/>
                    <w:rPr>
                      <w:rFonts w:hint="default" w:eastAsia="宋体" w:cs="Times New Roman"/>
                      <w:lang w:val="en-US" w:eastAsia="zh-CN"/>
                    </w:rPr>
                  </w:pPr>
                  <w:r>
                    <w:rPr>
                      <w:rFonts w:hint="eastAsia" w:cs="Times New Roman"/>
                      <w:lang w:val="en-US" w:eastAsia="zh-CN"/>
                    </w:rPr>
                    <w:t>471-34-1</w:t>
                  </w:r>
                </w:p>
              </w:tc>
            </w:tr>
            <w:tr w14:paraId="7AD9B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877" w:type="pct"/>
                  <w:vAlign w:val="center"/>
                </w:tcPr>
                <w:p w14:paraId="3ED8A1D9">
                  <w:pPr>
                    <w:pStyle w:val="12"/>
                    <w:rPr>
                      <w:rFonts w:hint="default" w:eastAsia="宋体" w:cs="Times New Roman"/>
                      <w:lang w:val="en-US" w:eastAsia="zh-CN"/>
                    </w:rPr>
                  </w:pPr>
                  <w:r>
                    <w:rPr>
                      <w:rFonts w:hint="eastAsia" w:cs="Times New Roman"/>
                      <w:lang w:val="en-US" w:eastAsia="zh-CN"/>
                    </w:rPr>
                    <w:t>11</w:t>
                  </w:r>
                </w:p>
              </w:tc>
              <w:tc>
                <w:tcPr>
                  <w:tcW w:w="1745" w:type="pct"/>
                  <w:vAlign w:val="center"/>
                </w:tcPr>
                <w:p w14:paraId="32F31929">
                  <w:pPr>
                    <w:pStyle w:val="12"/>
                    <w:rPr>
                      <w:rFonts w:hint="eastAsia" w:eastAsia="宋体" w:cs="Times New Roman"/>
                      <w:lang w:val="en-US" w:eastAsia="zh-CN"/>
                    </w:rPr>
                  </w:pPr>
                  <w:r>
                    <w:rPr>
                      <w:rFonts w:hint="eastAsia" w:cs="Times New Roman"/>
                      <w:lang w:val="en-US" w:eastAsia="zh-CN"/>
                    </w:rPr>
                    <w:t>二氧化钛</w:t>
                  </w:r>
                </w:p>
              </w:tc>
              <w:tc>
                <w:tcPr>
                  <w:tcW w:w="2094" w:type="dxa"/>
                  <w:vAlign w:val="center"/>
                </w:tcPr>
                <w:p w14:paraId="269DBF93">
                  <w:pPr>
                    <w:pStyle w:val="12"/>
                    <w:ind w:firstLine="0" w:firstLineChars="0"/>
                    <w:rPr>
                      <w:rFonts w:hint="default" w:eastAsia="宋体" w:cs="Times New Roman"/>
                      <w:lang w:val="en-US" w:eastAsia="zh-CN"/>
                    </w:rPr>
                  </w:pPr>
                  <w:r>
                    <w:rPr>
                      <w:rFonts w:hint="eastAsia" w:eastAsia="宋体" w:cs="Times New Roman"/>
                      <w:lang w:val="en-US" w:eastAsia="zh-CN"/>
                    </w:rPr>
                    <w:t>0.10-0.15</w:t>
                  </w:r>
                </w:p>
              </w:tc>
              <w:tc>
                <w:tcPr>
                  <w:tcW w:w="1250" w:type="pct"/>
                  <w:vAlign w:val="center"/>
                </w:tcPr>
                <w:p w14:paraId="7C41161C">
                  <w:pPr>
                    <w:pStyle w:val="12"/>
                    <w:rPr>
                      <w:rFonts w:hint="default" w:eastAsia="宋体" w:cs="Times New Roman"/>
                      <w:lang w:val="en-US" w:eastAsia="zh-CN"/>
                    </w:rPr>
                  </w:pPr>
                  <w:r>
                    <w:rPr>
                      <w:rFonts w:hint="eastAsia" w:cs="Times New Roman"/>
                      <w:lang w:val="en-US" w:eastAsia="zh-CN"/>
                    </w:rPr>
                    <w:t>1317-80-2</w:t>
                  </w:r>
                </w:p>
              </w:tc>
            </w:tr>
            <w:tr w14:paraId="66527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877" w:type="pct"/>
                  <w:vAlign w:val="center"/>
                </w:tcPr>
                <w:p w14:paraId="05819D55">
                  <w:pPr>
                    <w:pStyle w:val="12"/>
                    <w:rPr>
                      <w:rFonts w:hint="default" w:eastAsia="宋体" w:cs="Times New Roman"/>
                      <w:lang w:val="en-US" w:eastAsia="zh-CN"/>
                    </w:rPr>
                  </w:pPr>
                  <w:r>
                    <w:rPr>
                      <w:rFonts w:hint="eastAsia" w:cs="Times New Roman"/>
                      <w:lang w:val="en-US" w:eastAsia="zh-CN"/>
                    </w:rPr>
                    <w:t>12</w:t>
                  </w:r>
                </w:p>
              </w:tc>
              <w:tc>
                <w:tcPr>
                  <w:tcW w:w="1745" w:type="pct"/>
                  <w:vAlign w:val="center"/>
                </w:tcPr>
                <w:p w14:paraId="26C56C64">
                  <w:pPr>
                    <w:pStyle w:val="12"/>
                    <w:rPr>
                      <w:rFonts w:hint="eastAsia" w:eastAsia="宋体" w:cs="Times New Roman"/>
                      <w:lang w:val="en-US" w:eastAsia="zh-CN"/>
                    </w:rPr>
                  </w:pPr>
                  <w:r>
                    <w:rPr>
                      <w:rFonts w:hint="eastAsia" w:cs="Times New Roman"/>
                      <w:lang w:val="en-US" w:eastAsia="zh-CN"/>
                    </w:rPr>
                    <w:t>氧化铁</w:t>
                  </w:r>
                </w:p>
              </w:tc>
              <w:tc>
                <w:tcPr>
                  <w:tcW w:w="2094" w:type="dxa"/>
                  <w:vAlign w:val="center"/>
                </w:tcPr>
                <w:p w14:paraId="47FEBBE4">
                  <w:pPr>
                    <w:pStyle w:val="12"/>
                    <w:ind w:firstLine="0" w:firstLineChars="0"/>
                    <w:rPr>
                      <w:rFonts w:hint="default" w:eastAsia="宋体" w:cs="Times New Roman"/>
                      <w:vertAlign w:val="baseline"/>
                      <w:lang w:val="en-US" w:eastAsia="zh-CN"/>
                    </w:rPr>
                  </w:pPr>
                  <w:r>
                    <w:rPr>
                      <w:rFonts w:hint="eastAsia" w:eastAsia="宋体" w:cs="Times New Roman"/>
                      <w:lang w:val="en-US" w:eastAsia="zh-CN"/>
                    </w:rPr>
                    <w:t>0.8-0.9</w:t>
                  </w:r>
                </w:p>
              </w:tc>
              <w:tc>
                <w:tcPr>
                  <w:tcW w:w="1250" w:type="pct"/>
                  <w:vAlign w:val="center"/>
                </w:tcPr>
                <w:p w14:paraId="0487B04B">
                  <w:pPr>
                    <w:pStyle w:val="12"/>
                    <w:rPr>
                      <w:rFonts w:hint="default" w:eastAsia="宋体" w:cs="Times New Roman"/>
                      <w:lang w:val="en-US" w:eastAsia="zh-CN"/>
                    </w:rPr>
                  </w:pPr>
                  <w:r>
                    <w:rPr>
                      <w:rFonts w:hint="eastAsia" w:cs="Times New Roman"/>
                      <w:lang w:val="en-US" w:eastAsia="zh-CN"/>
                    </w:rPr>
                    <w:t>1332-37-2</w:t>
                  </w:r>
                </w:p>
              </w:tc>
            </w:tr>
            <w:tr w14:paraId="4B9F1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877" w:type="pct"/>
                  <w:vAlign w:val="center"/>
                </w:tcPr>
                <w:p w14:paraId="28F29ED0">
                  <w:pPr>
                    <w:pStyle w:val="12"/>
                    <w:rPr>
                      <w:rFonts w:hint="default" w:eastAsia="宋体" w:cs="Times New Roman"/>
                      <w:lang w:val="en-US" w:eastAsia="zh-CN"/>
                    </w:rPr>
                  </w:pPr>
                  <w:r>
                    <w:rPr>
                      <w:rFonts w:hint="eastAsia" w:cs="Times New Roman"/>
                      <w:lang w:val="en-US" w:eastAsia="zh-CN"/>
                    </w:rPr>
                    <w:t>13</w:t>
                  </w:r>
                </w:p>
              </w:tc>
              <w:tc>
                <w:tcPr>
                  <w:tcW w:w="1745" w:type="pct"/>
                  <w:vAlign w:val="center"/>
                </w:tcPr>
                <w:p w14:paraId="306671B2">
                  <w:pPr>
                    <w:pStyle w:val="12"/>
                    <w:rPr>
                      <w:rFonts w:hint="default" w:cs="Times New Roman"/>
                      <w:lang w:val="en-US" w:eastAsia="zh-CN"/>
                    </w:rPr>
                  </w:pPr>
                  <w:r>
                    <w:rPr>
                      <w:rFonts w:hint="eastAsia" w:cs="Times New Roman"/>
                      <w:lang w:val="en-US" w:eastAsia="zh-CN"/>
                    </w:rPr>
                    <w:t>硅酸铝钾</w:t>
                  </w:r>
                </w:p>
              </w:tc>
              <w:tc>
                <w:tcPr>
                  <w:tcW w:w="2094" w:type="dxa"/>
                  <w:vAlign w:val="center"/>
                </w:tcPr>
                <w:p w14:paraId="5B451483">
                  <w:pPr>
                    <w:pStyle w:val="12"/>
                    <w:ind w:firstLine="0" w:firstLineChars="0"/>
                    <w:rPr>
                      <w:rFonts w:hint="default" w:eastAsia="宋体" w:cs="Times New Roman"/>
                      <w:vertAlign w:val="baseline"/>
                      <w:lang w:val="en-US" w:eastAsia="zh-CN"/>
                    </w:rPr>
                  </w:pPr>
                  <w:r>
                    <w:rPr>
                      <w:rFonts w:hint="eastAsia" w:eastAsia="宋体" w:cs="Times New Roman"/>
                      <w:lang w:val="en-US" w:eastAsia="zh-CN"/>
                    </w:rPr>
                    <w:t>1.0-1.4</w:t>
                  </w:r>
                </w:p>
              </w:tc>
              <w:tc>
                <w:tcPr>
                  <w:tcW w:w="1250" w:type="pct"/>
                  <w:vAlign w:val="center"/>
                </w:tcPr>
                <w:p w14:paraId="34220D16">
                  <w:pPr>
                    <w:pStyle w:val="12"/>
                    <w:rPr>
                      <w:rFonts w:hint="default" w:eastAsia="宋体" w:cs="Times New Roman"/>
                      <w:lang w:val="en-US" w:eastAsia="zh-CN"/>
                    </w:rPr>
                  </w:pPr>
                  <w:r>
                    <w:rPr>
                      <w:rFonts w:hint="eastAsia" w:cs="Times New Roman"/>
                      <w:lang w:val="en-US" w:eastAsia="zh-CN"/>
                    </w:rPr>
                    <w:t>1327-44-2</w:t>
                  </w:r>
                </w:p>
              </w:tc>
            </w:tr>
            <w:tr w14:paraId="2225D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877" w:type="pct"/>
                  <w:vAlign w:val="center"/>
                </w:tcPr>
                <w:p w14:paraId="671C4CD0">
                  <w:pPr>
                    <w:pStyle w:val="12"/>
                    <w:rPr>
                      <w:rFonts w:hint="default" w:eastAsia="宋体" w:cs="Times New Roman"/>
                      <w:lang w:val="en-US" w:eastAsia="zh-CN"/>
                    </w:rPr>
                  </w:pPr>
                  <w:r>
                    <w:rPr>
                      <w:rFonts w:hint="eastAsia" w:cs="Times New Roman"/>
                      <w:lang w:val="en-US" w:eastAsia="zh-CN"/>
                    </w:rPr>
                    <w:t>14</w:t>
                  </w:r>
                </w:p>
              </w:tc>
              <w:tc>
                <w:tcPr>
                  <w:tcW w:w="1745" w:type="pct"/>
                  <w:vAlign w:val="center"/>
                </w:tcPr>
                <w:p w14:paraId="6BE35790">
                  <w:pPr>
                    <w:pStyle w:val="12"/>
                    <w:rPr>
                      <w:rFonts w:hint="default" w:cs="Times New Roman"/>
                      <w:lang w:val="en-US" w:eastAsia="zh-CN"/>
                    </w:rPr>
                  </w:pPr>
                  <w:r>
                    <w:rPr>
                      <w:rFonts w:hint="eastAsia" w:cs="Times New Roman"/>
                      <w:lang w:val="en-US" w:eastAsia="zh-CN"/>
                    </w:rPr>
                    <w:t>烷烃</w:t>
                  </w:r>
                </w:p>
              </w:tc>
              <w:tc>
                <w:tcPr>
                  <w:tcW w:w="2094" w:type="dxa"/>
                  <w:vAlign w:val="center"/>
                </w:tcPr>
                <w:p w14:paraId="51AEC720">
                  <w:pPr>
                    <w:pStyle w:val="12"/>
                    <w:ind w:firstLine="0" w:firstLineChars="0"/>
                    <w:rPr>
                      <w:rFonts w:hint="default" w:eastAsia="宋体" w:cs="Times New Roman"/>
                      <w:vertAlign w:val="baseline"/>
                      <w:lang w:val="en-US" w:eastAsia="zh-CN"/>
                    </w:rPr>
                  </w:pPr>
                  <w:r>
                    <w:rPr>
                      <w:rFonts w:hint="eastAsia" w:eastAsia="宋体" w:cs="Times New Roman"/>
                      <w:lang w:val="en-US" w:eastAsia="zh-CN"/>
                    </w:rPr>
                    <w:t>0.</w:t>
                  </w:r>
                  <w:r>
                    <w:rPr>
                      <w:rFonts w:hint="eastAsia" w:cs="Times New Roman"/>
                      <w:lang w:val="en-US" w:eastAsia="zh-CN"/>
                    </w:rPr>
                    <w:t>01-0.012</w:t>
                  </w:r>
                </w:p>
              </w:tc>
              <w:tc>
                <w:tcPr>
                  <w:tcW w:w="1250" w:type="pct"/>
                  <w:vAlign w:val="center"/>
                </w:tcPr>
                <w:p w14:paraId="4B48349B">
                  <w:pPr>
                    <w:pStyle w:val="12"/>
                    <w:jc w:val="center"/>
                    <w:rPr>
                      <w:rFonts w:cs="Times New Roman"/>
                    </w:rPr>
                  </w:pPr>
                  <w:r>
                    <w:rPr>
                      <w:rFonts w:hint="eastAsia" w:eastAsia="宋体" w:cs="Times New Roman"/>
                      <w:lang w:val="en-US" w:eastAsia="zh-CN"/>
                    </w:rPr>
                    <w:t>/</w:t>
                  </w:r>
                </w:p>
              </w:tc>
            </w:tr>
          </w:tbl>
          <w:p w14:paraId="656F1028">
            <w:pPr>
              <w:pStyle w:val="11"/>
              <w:keepNext/>
              <w:rPr>
                <w:rFonts w:hint="default" w:eastAsia="宋体" w:cs="Times New Roman"/>
                <w:lang w:val="en-US" w:eastAsia="zh-CN"/>
              </w:rPr>
            </w:pPr>
            <w:r>
              <w:rPr>
                <w:rFonts w:cs="Times New Roman"/>
              </w:rPr>
              <w:t>表</w:t>
            </w:r>
            <w:r>
              <w:rPr>
                <w:rFonts w:hint="eastAsia" w:cs="Times New Roman"/>
                <w:lang w:val="en-US" w:eastAsia="zh-CN"/>
              </w:rPr>
              <w:t>2-5 水基岩屑元素组分分析结果</w:t>
            </w:r>
          </w:p>
          <w:tbl>
            <w:tblPr>
              <w:tblStyle w:val="26"/>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4"/>
              <w:gridCol w:w="2160"/>
              <w:gridCol w:w="1395"/>
              <w:gridCol w:w="1548"/>
              <w:gridCol w:w="1548"/>
              <w:gridCol w:w="1548"/>
            </w:tblGrid>
            <w:tr w14:paraId="6DABE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4" w:type="pct"/>
                  <w:vAlign w:val="center"/>
                </w:tcPr>
                <w:p w14:paraId="03476B73">
                  <w:pPr>
                    <w:pStyle w:val="45"/>
                    <w:rPr>
                      <w:rFonts w:hint="eastAsia" w:eastAsia="宋体" w:cs="Times New Roman"/>
                      <w:lang w:eastAsia="zh-CN"/>
                    </w:rPr>
                  </w:pPr>
                  <w:r>
                    <w:rPr>
                      <w:rFonts w:hint="eastAsia" w:cs="Times New Roman"/>
                      <w:lang w:val="en-US" w:eastAsia="zh-CN"/>
                    </w:rPr>
                    <w:t>序号</w:t>
                  </w:r>
                </w:p>
              </w:tc>
              <w:tc>
                <w:tcPr>
                  <w:tcW w:w="1163" w:type="pct"/>
                  <w:vAlign w:val="center"/>
                </w:tcPr>
                <w:p w14:paraId="77214394">
                  <w:pPr>
                    <w:pStyle w:val="45"/>
                    <w:rPr>
                      <w:rFonts w:hint="default" w:eastAsia="宋体" w:cs="Times New Roman"/>
                      <w:lang w:val="en-US" w:eastAsia="zh-CN"/>
                    </w:rPr>
                  </w:pPr>
                  <w:r>
                    <w:rPr>
                      <w:rFonts w:hint="eastAsia" w:cs="Times New Roman"/>
                      <w:lang w:val="en-US" w:eastAsia="zh-CN"/>
                    </w:rPr>
                    <w:t>元素名称</w:t>
                  </w:r>
                </w:p>
              </w:tc>
              <w:tc>
                <w:tcPr>
                  <w:tcW w:w="751" w:type="pct"/>
                  <w:vAlign w:val="center"/>
                </w:tcPr>
                <w:p w14:paraId="4E5531A0">
                  <w:pPr>
                    <w:pStyle w:val="45"/>
                    <w:rPr>
                      <w:rFonts w:hint="default" w:eastAsia="宋体" w:cs="Times New Roman"/>
                      <w:lang w:val="en-US" w:eastAsia="zh-CN"/>
                    </w:rPr>
                  </w:pPr>
                  <w:r>
                    <w:rPr>
                      <w:rFonts w:hint="eastAsia" w:cs="Times New Roman"/>
                      <w:lang w:val="en-US" w:eastAsia="zh-CN"/>
                    </w:rPr>
                    <w:t>含量%</w:t>
                  </w:r>
                </w:p>
              </w:tc>
              <w:tc>
                <w:tcPr>
                  <w:tcW w:w="833" w:type="pct"/>
                  <w:vAlign w:val="center"/>
                </w:tcPr>
                <w:p w14:paraId="02F40842">
                  <w:pPr>
                    <w:pStyle w:val="45"/>
                    <w:rPr>
                      <w:rFonts w:hint="default" w:cs="Times New Roman"/>
                      <w:lang w:val="en-US" w:eastAsia="zh-CN"/>
                    </w:rPr>
                  </w:pPr>
                  <w:r>
                    <w:rPr>
                      <w:rFonts w:hint="eastAsia" w:cs="Times New Roman"/>
                      <w:lang w:val="en-US" w:eastAsia="zh-CN"/>
                    </w:rPr>
                    <w:t>序号</w:t>
                  </w:r>
                </w:p>
              </w:tc>
              <w:tc>
                <w:tcPr>
                  <w:tcW w:w="833" w:type="pct"/>
                  <w:vAlign w:val="center"/>
                </w:tcPr>
                <w:p w14:paraId="069820CF">
                  <w:pPr>
                    <w:pStyle w:val="45"/>
                    <w:ind w:firstLine="0" w:firstLineChars="0"/>
                    <w:rPr>
                      <w:rFonts w:hint="default" w:eastAsia="宋体" w:cs="Times New Roman"/>
                      <w:lang w:val="en-US" w:eastAsia="zh-CN"/>
                    </w:rPr>
                  </w:pPr>
                  <w:r>
                    <w:rPr>
                      <w:rFonts w:hint="eastAsia" w:cs="Times New Roman"/>
                      <w:lang w:val="en-US" w:eastAsia="zh-CN"/>
                    </w:rPr>
                    <w:t>元素名称</w:t>
                  </w:r>
                </w:p>
              </w:tc>
              <w:tc>
                <w:tcPr>
                  <w:tcW w:w="833" w:type="pct"/>
                  <w:vAlign w:val="center"/>
                </w:tcPr>
                <w:p w14:paraId="5A31C3C9">
                  <w:pPr>
                    <w:pStyle w:val="45"/>
                    <w:ind w:firstLine="0" w:firstLineChars="0"/>
                    <w:rPr>
                      <w:rFonts w:hint="eastAsia" w:cs="Times New Roman"/>
                      <w:lang w:val="en-US" w:eastAsia="zh-CN"/>
                    </w:rPr>
                  </w:pPr>
                  <w:r>
                    <w:rPr>
                      <w:rFonts w:hint="eastAsia" w:cs="Times New Roman"/>
                      <w:lang w:val="en-US" w:eastAsia="zh-CN"/>
                    </w:rPr>
                    <w:t>含量%</w:t>
                  </w:r>
                </w:p>
              </w:tc>
            </w:tr>
            <w:tr w14:paraId="2091E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4" w:type="pct"/>
                  <w:vAlign w:val="center"/>
                </w:tcPr>
                <w:p w14:paraId="3FB7F256">
                  <w:pPr>
                    <w:pStyle w:val="12"/>
                    <w:rPr>
                      <w:rFonts w:hint="eastAsia" w:eastAsia="宋体" w:cs="Times New Roman"/>
                      <w:lang w:val="en-US" w:eastAsia="zh-CN"/>
                    </w:rPr>
                  </w:pPr>
                  <w:r>
                    <w:rPr>
                      <w:rFonts w:hint="eastAsia" w:cs="Times New Roman"/>
                      <w:lang w:val="en-US" w:eastAsia="zh-CN"/>
                    </w:rPr>
                    <w:t>1</w:t>
                  </w:r>
                </w:p>
              </w:tc>
              <w:tc>
                <w:tcPr>
                  <w:tcW w:w="1163" w:type="pct"/>
                  <w:vAlign w:val="center"/>
                </w:tcPr>
                <w:p w14:paraId="600E7460">
                  <w:pPr>
                    <w:pStyle w:val="12"/>
                    <w:rPr>
                      <w:rFonts w:hint="default" w:eastAsia="宋体" w:cs="Times New Roman"/>
                      <w:lang w:val="en-US" w:eastAsia="zh-CN"/>
                    </w:rPr>
                  </w:pPr>
                  <w:r>
                    <w:rPr>
                      <w:rFonts w:hint="eastAsia" w:eastAsia="宋体" w:cs="Times New Roman"/>
                      <w:lang w:val="en-US" w:eastAsia="zh-CN"/>
                    </w:rPr>
                    <w:t>硅（Si）</w:t>
                  </w:r>
                </w:p>
              </w:tc>
              <w:tc>
                <w:tcPr>
                  <w:tcW w:w="751" w:type="pct"/>
                  <w:vAlign w:val="center"/>
                </w:tcPr>
                <w:p w14:paraId="07400A6A">
                  <w:pPr>
                    <w:pStyle w:val="12"/>
                    <w:rPr>
                      <w:rFonts w:hint="default" w:eastAsia="宋体" w:cs="Times New Roman"/>
                      <w:lang w:val="en-US" w:eastAsia="zh-CN"/>
                    </w:rPr>
                  </w:pPr>
                  <w:r>
                    <w:rPr>
                      <w:rFonts w:hint="eastAsia" w:eastAsia="宋体" w:cs="Times New Roman"/>
                      <w:lang w:val="en-US" w:eastAsia="zh-CN"/>
                    </w:rPr>
                    <w:t>33.596</w:t>
                  </w:r>
                </w:p>
              </w:tc>
              <w:tc>
                <w:tcPr>
                  <w:tcW w:w="833" w:type="pct"/>
                  <w:vAlign w:val="center"/>
                </w:tcPr>
                <w:p w14:paraId="4219A7C5">
                  <w:pPr>
                    <w:pStyle w:val="12"/>
                    <w:rPr>
                      <w:rFonts w:hint="default" w:cs="Times New Roman"/>
                      <w:lang w:val="en-US" w:eastAsia="zh-CN"/>
                    </w:rPr>
                  </w:pPr>
                  <w:r>
                    <w:rPr>
                      <w:rFonts w:hint="eastAsia" w:cs="Times New Roman"/>
                      <w:lang w:val="en-US" w:eastAsia="zh-CN"/>
                    </w:rPr>
                    <w:t>10</w:t>
                  </w:r>
                </w:p>
              </w:tc>
              <w:tc>
                <w:tcPr>
                  <w:tcW w:w="833" w:type="pct"/>
                  <w:vAlign w:val="center"/>
                </w:tcPr>
                <w:p w14:paraId="6E2A187C">
                  <w:pPr>
                    <w:pStyle w:val="12"/>
                    <w:rPr>
                      <w:rFonts w:hint="default" w:eastAsia="宋体" w:cs="Times New Roman"/>
                      <w:lang w:val="en-US" w:eastAsia="zh-CN"/>
                    </w:rPr>
                  </w:pPr>
                  <w:r>
                    <w:rPr>
                      <w:rFonts w:hint="eastAsia" w:eastAsia="宋体" w:cs="Times New Roman"/>
                      <w:lang w:val="en-US" w:eastAsia="zh-CN"/>
                    </w:rPr>
                    <w:t>硫（S）</w:t>
                  </w:r>
                </w:p>
              </w:tc>
              <w:tc>
                <w:tcPr>
                  <w:tcW w:w="833" w:type="pct"/>
                  <w:vAlign w:val="center"/>
                </w:tcPr>
                <w:p w14:paraId="78CC134E">
                  <w:pPr>
                    <w:pStyle w:val="12"/>
                    <w:rPr>
                      <w:rFonts w:hint="default" w:eastAsia="宋体" w:cs="Times New Roman"/>
                      <w:lang w:val="en-US" w:eastAsia="zh-CN"/>
                    </w:rPr>
                  </w:pPr>
                  <w:r>
                    <w:rPr>
                      <w:rFonts w:hint="eastAsia" w:eastAsia="宋体" w:cs="Times New Roman"/>
                      <w:lang w:val="en-US" w:eastAsia="zh-CN"/>
                    </w:rPr>
                    <w:t>1.567</w:t>
                  </w:r>
                </w:p>
              </w:tc>
            </w:tr>
            <w:tr w14:paraId="6587A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4" w:type="pct"/>
                  <w:vAlign w:val="center"/>
                </w:tcPr>
                <w:p w14:paraId="275042F5">
                  <w:pPr>
                    <w:pStyle w:val="12"/>
                    <w:rPr>
                      <w:rFonts w:hint="eastAsia" w:eastAsia="宋体" w:cs="Times New Roman"/>
                      <w:lang w:val="en-US" w:eastAsia="zh-CN"/>
                    </w:rPr>
                  </w:pPr>
                  <w:r>
                    <w:rPr>
                      <w:rFonts w:hint="eastAsia" w:cs="Times New Roman"/>
                      <w:lang w:val="en-US" w:eastAsia="zh-CN"/>
                    </w:rPr>
                    <w:t>2</w:t>
                  </w:r>
                </w:p>
              </w:tc>
              <w:tc>
                <w:tcPr>
                  <w:tcW w:w="1163" w:type="pct"/>
                  <w:vAlign w:val="center"/>
                </w:tcPr>
                <w:p w14:paraId="6905AFEC">
                  <w:pPr>
                    <w:pStyle w:val="12"/>
                    <w:rPr>
                      <w:rFonts w:hint="default" w:eastAsia="宋体" w:cs="Times New Roman"/>
                      <w:lang w:val="en-US" w:eastAsia="zh-CN"/>
                    </w:rPr>
                  </w:pPr>
                  <w:r>
                    <w:rPr>
                      <w:rFonts w:hint="eastAsia" w:eastAsia="宋体" w:cs="Times New Roman"/>
                      <w:lang w:val="en-US" w:eastAsia="zh-CN"/>
                    </w:rPr>
                    <w:t>钙（Ca）</w:t>
                  </w:r>
                </w:p>
              </w:tc>
              <w:tc>
                <w:tcPr>
                  <w:tcW w:w="751" w:type="pct"/>
                  <w:vAlign w:val="center"/>
                </w:tcPr>
                <w:p w14:paraId="4EB26F3C">
                  <w:pPr>
                    <w:pStyle w:val="12"/>
                    <w:rPr>
                      <w:rFonts w:hint="default" w:eastAsia="宋体" w:cs="Times New Roman"/>
                      <w:lang w:val="en-US" w:eastAsia="zh-CN"/>
                    </w:rPr>
                  </w:pPr>
                  <w:r>
                    <w:rPr>
                      <w:rFonts w:hint="eastAsia" w:eastAsia="宋体" w:cs="Times New Roman"/>
                      <w:lang w:val="en-US" w:eastAsia="zh-CN"/>
                    </w:rPr>
                    <w:t>24.022</w:t>
                  </w:r>
                </w:p>
              </w:tc>
              <w:tc>
                <w:tcPr>
                  <w:tcW w:w="833" w:type="pct"/>
                  <w:vAlign w:val="center"/>
                </w:tcPr>
                <w:p w14:paraId="14A2B631">
                  <w:pPr>
                    <w:pStyle w:val="12"/>
                    <w:rPr>
                      <w:rFonts w:hint="default" w:eastAsia="宋体" w:cs="Times New Roman"/>
                      <w:lang w:val="en-US" w:eastAsia="zh-CN"/>
                    </w:rPr>
                  </w:pPr>
                  <w:r>
                    <w:rPr>
                      <w:rFonts w:hint="eastAsia" w:eastAsia="宋体" w:cs="Times New Roman"/>
                      <w:lang w:val="en-US" w:eastAsia="zh-CN"/>
                    </w:rPr>
                    <w:t>11</w:t>
                  </w:r>
                </w:p>
              </w:tc>
              <w:tc>
                <w:tcPr>
                  <w:tcW w:w="833" w:type="pct"/>
                  <w:vAlign w:val="center"/>
                </w:tcPr>
                <w:p w14:paraId="48D32C1D">
                  <w:pPr>
                    <w:pStyle w:val="12"/>
                    <w:rPr>
                      <w:rFonts w:hint="default" w:eastAsia="宋体" w:cs="Times New Roman"/>
                      <w:lang w:val="en-US" w:eastAsia="zh-CN"/>
                    </w:rPr>
                  </w:pPr>
                  <w:r>
                    <w:rPr>
                      <w:rFonts w:hint="eastAsia" w:eastAsia="宋体" w:cs="Times New Roman"/>
                      <w:lang w:val="en-US" w:eastAsia="zh-CN"/>
                    </w:rPr>
                    <w:t>钛（Ti）</w:t>
                  </w:r>
                </w:p>
              </w:tc>
              <w:tc>
                <w:tcPr>
                  <w:tcW w:w="833" w:type="pct"/>
                  <w:vAlign w:val="center"/>
                </w:tcPr>
                <w:p w14:paraId="159004DD">
                  <w:pPr>
                    <w:pStyle w:val="12"/>
                    <w:rPr>
                      <w:rFonts w:hint="default" w:cs="Times New Roman"/>
                      <w:lang w:val="en-US" w:eastAsia="zh-CN"/>
                    </w:rPr>
                  </w:pPr>
                  <w:r>
                    <w:rPr>
                      <w:rFonts w:hint="eastAsia" w:cs="Times New Roman"/>
                      <w:lang w:val="en-US" w:eastAsia="zh-CN"/>
                    </w:rPr>
                    <w:t>1.452</w:t>
                  </w:r>
                </w:p>
              </w:tc>
            </w:tr>
            <w:tr w14:paraId="236D6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4" w:type="pct"/>
                  <w:vAlign w:val="center"/>
                </w:tcPr>
                <w:p w14:paraId="66DA4E9C">
                  <w:pPr>
                    <w:pStyle w:val="12"/>
                    <w:rPr>
                      <w:rFonts w:hint="eastAsia" w:eastAsia="宋体" w:cs="Times New Roman"/>
                      <w:lang w:val="en-US" w:eastAsia="zh-CN"/>
                    </w:rPr>
                  </w:pPr>
                  <w:r>
                    <w:rPr>
                      <w:rFonts w:hint="eastAsia" w:cs="Times New Roman"/>
                      <w:lang w:val="en-US" w:eastAsia="zh-CN"/>
                    </w:rPr>
                    <w:t>3</w:t>
                  </w:r>
                </w:p>
              </w:tc>
              <w:tc>
                <w:tcPr>
                  <w:tcW w:w="1163" w:type="pct"/>
                  <w:vAlign w:val="center"/>
                </w:tcPr>
                <w:p w14:paraId="11055914">
                  <w:pPr>
                    <w:pStyle w:val="12"/>
                    <w:rPr>
                      <w:rFonts w:hint="default" w:eastAsia="宋体" w:cs="Times New Roman"/>
                      <w:lang w:val="en-US" w:eastAsia="zh-CN"/>
                    </w:rPr>
                  </w:pPr>
                  <w:r>
                    <w:rPr>
                      <w:rFonts w:hint="eastAsia" w:eastAsia="宋体" w:cs="Times New Roman"/>
                      <w:lang w:val="en-US" w:eastAsia="zh-CN"/>
                    </w:rPr>
                    <w:t>铁（Fe）</w:t>
                  </w:r>
                </w:p>
              </w:tc>
              <w:tc>
                <w:tcPr>
                  <w:tcW w:w="751" w:type="pct"/>
                  <w:vAlign w:val="center"/>
                </w:tcPr>
                <w:p w14:paraId="2B3E8D17">
                  <w:pPr>
                    <w:pStyle w:val="12"/>
                    <w:rPr>
                      <w:rFonts w:hint="default" w:eastAsia="宋体" w:cs="Times New Roman"/>
                      <w:lang w:val="en-US" w:eastAsia="zh-CN"/>
                    </w:rPr>
                  </w:pPr>
                  <w:r>
                    <w:rPr>
                      <w:rFonts w:hint="eastAsia" w:eastAsia="宋体" w:cs="Times New Roman"/>
                      <w:lang w:val="en-US" w:eastAsia="zh-CN"/>
                    </w:rPr>
                    <w:t>11.238</w:t>
                  </w:r>
                </w:p>
              </w:tc>
              <w:tc>
                <w:tcPr>
                  <w:tcW w:w="833" w:type="pct"/>
                  <w:vAlign w:val="center"/>
                </w:tcPr>
                <w:p w14:paraId="197D1EF8">
                  <w:pPr>
                    <w:pStyle w:val="12"/>
                    <w:rPr>
                      <w:rFonts w:hint="default" w:eastAsia="宋体" w:cs="Times New Roman"/>
                      <w:lang w:val="en-US" w:eastAsia="zh-CN"/>
                    </w:rPr>
                  </w:pPr>
                  <w:r>
                    <w:rPr>
                      <w:rFonts w:hint="eastAsia" w:eastAsia="宋体" w:cs="Times New Roman"/>
                      <w:lang w:val="en-US" w:eastAsia="zh-CN"/>
                    </w:rPr>
                    <w:t>12</w:t>
                  </w:r>
                </w:p>
              </w:tc>
              <w:tc>
                <w:tcPr>
                  <w:tcW w:w="833" w:type="pct"/>
                  <w:vAlign w:val="center"/>
                </w:tcPr>
                <w:p w14:paraId="2D6875B4">
                  <w:pPr>
                    <w:pStyle w:val="12"/>
                    <w:rPr>
                      <w:rFonts w:hint="default" w:eastAsia="宋体" w:cs="Times New Roman"/>
                      <w:lang w:val="en-US" w:eastAsia="zh-CN"/>
                    </w:rPr>
                  </w:pPr>
                  <w:r>
                    <w:rPr>
                      <w:rFonts w:hint="eastAsia" w:eastAsia="宋体" w:cs="Times New Roman"/>
                      <w:lang w:val="en-US" w:eastAsia="zh-CN"/>
                    </w:rPr>
                    <w:t>磷（P）</w:t>
                  </w:r>
                </w:p>
              </w:tc>
              <w:tc>
                <w:tcPr>
                  <w:tcW w:w="833" w:type="pct"/>
                  <w:vAlign w:val="center"/>
                </w:tcPr>
                <w:p w14:paraId="438DD624">
                  <w:pPr>
                    <w:pStyle w:val="12"/>
                    <w:rPr>
                      <w:rFonts w:hint="default" w:cs="Times New Roman"/>
                      <w:lang w:val="en-US" w:eastAsia="zh-CN"/>
                    </w:rPr>
                  </w:pPr>
                  <w:r>
                    <w:rPr>
                      <w:rFonts w:hint="eastAsia" w:cs="Times New Roman"/>
                      <w:lang w:val="en-US" w:eastAsia="zh-CN"/>
                    </w:rPr>
                    <w:t>0.137</w:t>
                  </w:r>
                </w:p>
              </w:tc>
            </w:tr>
            <w:tr w14:paraId="0106B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584" w:type="pct"/>
                  <w:vAlign w:val="center"/>
                </w:tcPr>
                <w:p w14:paraId="717BF98C">
                  <w:pPr>
                    <w:pStyle w:val="12"/>
                    <w:rPr>
                      <w:rFonts w:hint="eastAsia" w:eastAsia="宋体" w:cs="Times New Roman"/>
                      <w:lang w:val="en-US" w:eastAsia="zh-CN"/>
                    </w:rPr>
                  </w:pPr>
                  <w:r>
                    <w:rPr>
                      <w:rFonts w:hint="eastAsia" w:cs="Times New Roman"/>
                      <w:lang w:val="en-US" w:eastAsia="zh-CN"/>
                    </w:rPr>
                    <w:t>4</w:t>
                  </w:r>
                </w:p>
              </w:tc>
              <w:tc>
                <w:tcPr>
                  <w:tcW w:w="1163" w:type="pct"/>
                  <w:vAlign w:val="center"/>
                </w:tcPr>
                <w:p w14:paraId="26FCBC9F">
                  <w:pPr>
                    <w:pStyle w:val="12"/>
                    <w:rPr>
                      <w:rFonts w:hint="default" w:eastAsia="宋体" w:cs="Times New Roman"/>
                      <w:lang w:val="en-US" w:eastAsia="zh-CN"/>
                    </w:rPr>
                  </w:pPr>
                  <w:r>
                    <w:rPr>
                      <w:rFonts w:hint="eastAsia" w:eastAsia="宋体" w:cs="Times New Roman"/>
                      <w:lang w:val="en-US" w:eastAsia="zh-CN"/>
                    </w:rPr>
                    <w:t>铝（Al）</w:t>
                  </w:r>
                </w:p>
              </w:tc>
              <w:tc>
                <w:tcPr>
                  <w:tcW w:w="751" w:type="pct"/>
                  <w:vAlign w:val="center"/>
                </w:tcPr>
                <w:p w14:paraId="45F825FD">
                  <w:pPr>
                    <w:pStyle w:val="12"/>
                    <w:rPr>
                      <w:rFonts w:hint="default" w:eastAsia="宋体" w:cs="Times New Roman"/>
                      <w:lang w:val="en-US" w:eastAsia="zh-CN"/>
                    </w:rPr>
                  </w:pPr>
                  <w:r>
                    <w:rPr>
                      <w:rFonts w:hint="eastAsia" w:eastAsia="宋体" w:cs="Times New Roman"/>
                      <w:lang w:val="en-US" w:eastAsia="zh-CN"/>
                    </w:rPr>
                    <w:t>10.135</w:t>
                  </w:r>
                </w:p>
              </w:tc>
              <w:tc>
                <w:tcPr>
                  <w:tcW w:w="833" w:type="pct"/>
                  <w:vAlign w:val="center"/>
                </w:tcPr>
                <w:p w14:paraId="737DABDF">
                  <w:pPr>
                    <w:pStyle w:val="12"/>
                    <w:rPr>
                      <w:rFonts w:hint="default" w:eastAsia="宋体" w:cs="Times New Roman"/>
                      <w:lang w:val="en-US" w:eastAsia="zh-CN"/>
                    </w:rPr>
                  </w:pPr>
                  <w:r>
                    <w:rPr>
                      <w:rFonts w:hint="eastAsia" w:eastAsia="宋体" w:cs="Times New Roman"/>
                      <w:lang w:val="en-US" w:eastAsia="zh-CN"/>
                    </w:rPr>
                    <w:t>13</w:t>
                  </w:r>
                </w:p>
              </w:tc>
              <w:tc>
                <w:tcPr>
                  <w:tcW w:w="833" w:type="pct"/>
                  <w:vAlign w:val="center"/>
                </w:tcPr>
                <w:p w14:paraId="2946F625">
                  <w:pPr>
                    <w:pStyle w:val="12"/>
                    <w:rPr>
                      <w:rFonts w:hint="default" w:eastAsia="宋体" w:cs="Times New Roman"/>
                      <w:lang w:val="en-US" w:eastAsia="zh-CN"/>
                    </w:rPr>
                  </w:pPr>
                  <w:r>
                    <w:rPr>
                      <w:rFonts w:hint="eastAsia" w:eastAsia="宋体" w:cs="Times New Roman"/>
                      <w:lang w:val="en-US" w:eastAsia="zh-CN"/>
                    </w:rPr>
                    <w:t>锰（Mn）</w:t>
                  </w:r>
                </w:p>
              </w:tc>
              <w:tc>
                <w:tcPr>
                  <w:tcW w:w="833" w:type="pct"/>
                  <w:vAlign w:val="center"/>
                </w:tcPr>
                <w:p w14:paraId="3C68F1A6">
                  <w:pPr>
                    <w:pStyle w:val="12"/>
                    <w:rPr>
                      <w:rFonts w:hint="default" w:cs="Times New Roman"/>
                      <w:lang w:val="en-US" w:eastAsia="zh-CN"/>
                    </w:rPr>
                  </w:pPr>
                  <w:r>
                    <w:rPr>
                      <w:rFonts w:hint="eastAsia" w:cs="Times New Roman"/>
                      <w:lang w:val="en-US" w:eastAsia="zh-CN"/>
                    </w:rPr>
                    <w:t>0.131</w:t>
                  </w:r>
                </w:p>
              </w:tc>
            </w:tr>
            <w:tr w14:paraId="0ED0B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4" w:type="pct"/>
                  <w:vAlign w:val="center"/>
                </w:tcPr>
                <w:p w14:paraId="6E3873AC">
                  <w:pPr>
                    <w:pStyle w:val="12"/>
                    <w:rPr>
                      <w:rFonts w:hint="eastAsia" w:eastAsia="宋体" w:cs="Times New Roman"/>
                      <w:lang w:val="en-US" w:eastAsia="zh-CN"/>
                    </w:rPr>
                  </w:pPr>
                  <w:r>
                    <w:rPr>
                      <w:rFonts w:hint="eastAsia" w:cs="Times New Roman"/>
                      <w:lang w:val="en-US" w:eastAsia="zh-CN"/>
                    </w:rPr>
                    <w:t>5</w:t>
                  </w:r>
                </w:p>
              </w:tc>
              <w:tc>
                <w:tcPr>
                  <w:tcW w:w="1163" w:type="pct"/>
                  <w:vAlign w:val="center"/>
                </w:tcPr>
                <w:p w14:paraId="2DF5F7A8">
                  <w:pPr>
                    <w:pStyle w:val="12"/>
                    <w:rPr>
                      <w:rFonts w:hint="default" w:eastAsia="宋体" w:cs="Times New Roman"/>
                      <w:lang w:val="en-US" w:eastAsia="zh-CN"/>
                    </w:rPr>
                  </w:pPr>
                  <w:r>
                    <w:rPr>
                      <w:rFonts w:hint="eastAsia" w:eastAsia="宋体" w:cs="Times New Roman"/>
                      <w:lang w:val="en-US" w:eastAsia="zh-CN"/>
                    </w:rPr>
                    <w:t>钾（K）</w:t>
                  </w:r>
                </w:p>
              </w:tc>
              <w:tc>
                <w:tcPr>
                  <w:tcW w:w="751" w:type="pct"/>
                  <w:vAlign w:val="center"/>
                </w:tcPr>
                <w:p w14:paraId="1C35B491">
                  <w:pPr>
                    <w:pStyle w:val="12"/>
                    <w:rPr>
                      <w:rFonts w:hint="default" w:eastAsia="宋体" w:cs="Times New Roman"/>
                      <w:lang w:val="en-US" w:eastAsia="zh-CN"/>
                    </w:rPr>
                  </w:pPr>
                  <w:r>
                    <w:rPr>
                      <w:rFonts w:hint="eastAsia" w:eastAsia="宋体" w:cs="Times New Roman"/>
                      <w:lang w:val="en-US" w:eastAsia="zh-CN"/>
                    </w:rPr>
                    <w:t>4.808</w:t>
                  </w:r>
                </w:p>
              </w:tc>
              <w:tc>
                <w:tcPr>
                  <w:tcW w:w="833" w:type="pct"/>
                  <w:vAlign w:val="center"/>
                </w:tcPr>
                <w:p w14:paraId="0F81AE84">
                  <w:pPr>
                    <w:pStyle w:val="12"/>
                    <w:rPr>
                      <w:rFonts w:hint="default" w:eastAsia="宋体" w:cs="Times New Roman"/>
                      <w:lang w:val="en-US" w:eastAsia="zh-CN"/>
                    </w:rPr>
                  </w:pPr>
                  <w:r>
                    <w:rPr>
                      <w:rFonts w:hint="eastAsia" w:eastAsia="宋体" w:cs="Times New Roman"/>
                      <w:lang w:val="en-US" w:eastAsia="zh-CN"/>
                    </w:rPr>
                    <w:t>14</w:t>
                  </w:r>
                </w:p>
              </w:tc>
              <w:tc>
                <w:tcPr>
                  <w:tcW w:w="833" w:type="pct"/>
                  <w:vAlign w:val="center"/>
                </w:tcPr>
                <w:p w14:paraId="3FB8E925">
                  <w:pPr>
                    <w:pStyle w:val="12"/>
                    <w:rPr>
                      <w:rFonts w:hint="default" w:eastAsia="宋体" w:cs="Times New Roman"/>
                      <w:lang w:val="en-US" w:eastAsia="zh-CN"/>
                    </w:rPr>
                  </w:pPr>
                  <w:r>
                    <w:rPr>
                      <w:rFonts w:hint="eastAsia" w:eastAsia="宋体" w:cs="Times New Roman"/>
                      <w:lang w:val="en-US" w:eastAsia="zh-CN"/>
                    </w:rPr>
                    <w:t>偲（Sr）</w:t>
                  </w:r>
                </w:p>
              </w:tc>
              <w:tc>
                <w:tcPr>
                  <w:tcW w:w="833" w:type="pct"/>
                  <w:vAlign w:val="center"/>
                </w:tcPr>
                <w:p w14:paraId="20E1E2F9">
                  <w:pPr>
                    <w:pStyle w:val="12"/>
                    <w:rPr>
                      <w:rFonts w:hint="default" w:cs="Times New Roman"/>
                      <w:lang w:val="en-US" w:eastAsia="zh-CN"/>
                    </w:rPr>
                  </w:pPr>
                  <w:r>
                    <w:rPr>
                      <w:rFonts w:hint="eastAsia" w:cs="Times New Roman"/>
                      <w:lang w:val="en-US" w:eastAsia="zh-CN"/>
                    </w:rPr>
                    <w:t>0.068</w:t>
                  </w:r>
                </w:p>
              </w:tc>
            </w:tr>
            <w:tr w14:paraId="40C48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4" w:type="pct"/>
                  <w:vAlign w:val="center"/>
                </w:tcPr>
                <w:p w14:paraId="7E7398EA">
                  <w:pPr>
                    <w:pStyle w:val="12"/>
                    <w:rPr>
                      <w:rFonts w:hint="eastAsia" w:eastAsia="宋体" w:cs="Times New Roman"/>
                      <w:lang w:val="en-US" w:eastAsia="zh-CN"/>
                    </w:rPr>
                  </w:pPr>
                  <w:r>
                    <w:rPr>
                      <w:rFonts w:hint="eastAsia" w:cs="Times New Roman"/>
                      <w:lang w:val="en-US" w:eastAsia="zh-CN"/>
                    </w:rPr>
                    <w:t>6</w:t>
                  </w:r>
                </w:p>
              </w:tc>
              <w:tc>
                <w:tcPr>
                  <w:tcW w:w="1163" w:type="pct"/>
                  <w:vAlign w:val="center"/>
                </w:tcPr>
                <w:p w14:paraId="54D50105">
                  <w:pPr>
                    <w:pStyle w:val="12"/>
                    <w:rPr>
                      <w:rFonts w:hint="default" w:eastAsia="宋体" w:cs="Times New Roman"/>
                      <w:lang w:val="en-US" w:eastAsia="zh-CN"/>
                    </w:rPr>
                  </w:pPr>
                  <w:r>
                    <w:rPr>
                      <w:rFonts w:hint="eastAsia" w:eastAsia="宋体" w:cs="Times New Roman"/>
                      <w:lang w:val="en-US" w:eastAsia="zh-CN"/>
                    </w:rPr>
                    <w:t>钡（Ba）</w:t>
                  </w:r>
                </w:p>
              </w:tc>
              <w:tc>
                <w:tcPr>
                  <w:tcW w:w="751" w:type="pct"/>
                  <w:vAlign w:val="center"/>
                </w:tcPr>
                <w:p w14:paraId="1AF2C553">
                  <w:pPr>
                    <w:pStyle w:val="12"/>
                    <w:rPr>
                      <w:rFonts w:hint="default" w:eastAsia="宋体" w:cs="Times New Roman"/>
                      <w:lang w:val="en-US" w:eastAsia="zh-CN"/>
                    </w:rPr>
                  </w:pPr>
                  <w:r>
                    <w:rPr>
                      <w:rFonts w:hint="eastAsia" w:eastAsia="宋体" w:cs="Times New Roman"/>
                      <w:lang w:val="en-US" w:eastAsia="zh-CN"/>
                    </w:rPr>
                    <w:t>4.301</w:t>
                  </w:r>
                </w:p>
              </w:tc>
              <w:tc>
                <w:tcPr>
                  <w:tcW w:w="833" w:type="pct"/>
                  <w:vAlign w:val="center"/>
                </w:tcPr>
                <w:p w14:paraId="5022E68E">
                  <w:pPr>
                    <w:pStyle w:val="12"/>
                    <w:rPr>
                      <w:rFonts w:hint="default" w:eastAsia="宋体" w:cs="Times New Roman"/>
                      <w:lang w:val="en-US" w:eastAsia="zh-CN"/>
                    </w:rPr>
                  </w:pPr>
                  <w:r>
                    <w:rPr>
                      <w:rFonts w:hint="eastAsia" w:eastAsia="宋体" w:cs="Times New Roman"/>
                      <w:lang w:val="en-US" w:eastAsia="zh-CN"/>
                    </w:rPr>
                    <w:t>15</w:t>
                  </w:r>
                </w:p>
              </w:tc>
              <w:tc>
                <w:tcPr>
                  <w:tcW w:w="833" w:type="pct"/>
                  <w:vAlign w:val="center"/>
                </w:tcPr>
                <w:p w14:paraId="4AF32A1B">
                  <w:pPr>
                    <w:pStyle w:val="12"/>
                    <w:rPr>
                      <w:rFonts w:hint="default" w:eastAsia="宋体" w:cs="Times New Roman"/>
                      <w:lang w:val="en-US" w:eastAsia="zh-CN"/>
                    </w:rPr>
                  </w:pPr>
                  <w:r>
                    <w:rPr>
                      <w:rFonts w:hint="eastAsia" w:eastAsia="宋体" w:cs="Times New Roman"/>
                      <w:lang w:val="en-US" w:eastAsia="zh-CN"/>
                    </w:rPr>
                    <w:t>锌（Zn）</w:t>
                  </w:r>
                </w:p>
              </w:tc>
              <w:tc>
                <w:tcPr>
                  <w:tcW w:w="833" w:type="pct"/>
                  <w:vAlign w:val="center"/>
                </w:tcPr>
                <w:p w14:paraId="4D752236">
                  <w:pPr>
                    <w:pStyle w:val="12"/>
                    <w:rPr>
                      <w:rFonts w:hint="default" w:eastAsia="宋体" w:cs="Times New Roman"/>
                      <w:lang w:val="en-US" w:eastAsia="zh-CN"/>
                    </w:rPr>
                  </w:pPr>
                  <w:r>
                    <w:rPr>
                      <w:rFonts w:hint="eastAsia" w:eastAsia="宋体" w:cs="Times New Roman"/>
                      <w:lang w:val="en-US" w:eastAsia="zh-CN"/>
                    </w:rPr>
                    <w:t>0.043</w:t>
                  </w:r>
                </w:p>
              </w:tc>
            </w:tr>
            <w:tr w14:paraId="6ACFF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4" w:type="pct"/>
                  <w:vAlign w:val="center"/>
                </w:tcPr>
                <w:p w14:paraId="0059D4BA">
                  <w:pPr>
                    <w:pStyle w:val="12"/>
                    <w:rPr>
                      <w:rFonts w:hint="eastAsia" w:eastAsia="宋体" w:cs="Times New Roman"/>
                      <w:lang w:val="en-US" w:eastAsia="zh-CN"/>
                    </w:rPr>
                  </w:pPr>
                  <w:r>
                    <w:rPr>
                      <w:rFonts w:hint="eastAsia" w:cs="Times New Roman"/>
                      <w:lang w:val="en-US" w:eastAsia="zh-CN"/>
                    </w:rPr>
                    <w:t>7</w:t>
                  </w:r>
                </w:p>
              </w:tc>
              <w:tc>
                <w:tcPr>
                  <w:tcW w:w="1163" w:type="pct"/>
                  <w:vAlign w:val="center"/>
                </w:tcPr>
                <w:p w14:paraId="435E66EA">
                  <w:pPr>
                    <w:pStyle w:val="12"/>
                    <w:rPr>
                      <w:rFonts w:hint="default" w:eastAsia="宋体" w:cs="Times New Roman"/>
                      <w:lang w:val="en-US" w:eastAsia="zh-CN"/>
                    </w:rPr>
                  </w:pPr>
                  <w:r>
                    <w:rPr>
                      <w:rFonts w:hint="eastAsia" w:eastAsia="宋体" w:cs="Times New Roman"/>
                      <w:lang w:val="en-US" w:eastAsia="zh-CN"/>
                    </w:rPr>
                    <w:t>钠（Na）</w:t>
                  </w:r>
                </w:p>
              </w:tc>
              <w:tc>
                <w:tcPr>
                  <w:tcW w:w="751" w:type="pct"/>
                  <w:vAlign w:val="center"/>
                </w:tcPr>
                <w:p w14:paraId="202656A0">
                  <w:pPr>
                    <w:pStyle w:val="12"/>
                    <w:rPr>
                      <w:rFonts w:hint="default" w:eastAsia="宋体" w:cs="Times New Roman"/>
                      <w:lang w:val="en-US" w:eastAsia="zh-CN"/>
                    </w:rPr>
                  </w:pPr>
                  <w:r>
                    <w:rPr>
                      <w:rFonts w:hint="eastAsia" w:eastAsia="宋体" w:cs="Times New Roman"/>
                      <w:lang w:val="en-US" w:eastAsia="zh-CN"/>
                    </w:rPr>
                    <w:t>3.358</w:t>
                  </w:r>
                </w:p>
              </w:tc>
              <w:tc>
                <w:tcPr>
                  <w:tcW w:w="833" w:type="pct"/>
                  <w:vAlign w:val="center"/>
                </w:tcPr>
                <w:p w14:paraId="4FE8CA65">
                  <w:pPr>
                    <w:pStyle w:val="12"/>
                    <w:rPr>
                      <w:rFonts w:hint="default" w:eastAsia="宋体" w:cs="Times New Roman"/>
                      <w:lang w:val="en-US" w:eastAsia="zh-CN"/>
                    </w:rPr>
                  </w:pPr>
                  <w:r>
                    <w:rPr>
                      <w:rFonts w:hint="eastAsia" w:eastAsia="宋体" w:cs="Times New Roman"/>
                      <w:lang w:val="en-US" w:eastAsia="zh-CN"/>
                    </w:rPr>
                    <w:t>16</w:t>
                  </w:r>
                </w:p>
              </w:tc>
              <w:tc>
                <w:tcPr>
                  <w:tcW w:w="833" w:type="pct"/>
                  <w:vAlign w:val="center"/>
                </w:tcPr>
                <w:p w14:paraId="3229A0C1">
                  <w:pPr>
                    <w:pStyle w:val="12"/>
                    <w:rPr>
                      <w:rFonts w:hint="default" w:eastAsia="宋体" w:cs="Times New Roman"/>
                      <w:lang w:val="en-US" w:eastAsia="zh-CN"/>
                    </w:rPr>
                  </w:pPr>
                  <w:r>
                    <w:rPr>
                      <w:rFonts w:hint="eastAsia" w:eastAsia="宋体" w:cs="Times New Roman"/>
                      <w:lang w:val="en-US" w:eastAsia="zh-CN"/>
                    </w:rPr>
                    <w:t>锆（Zr）</w:t>
                  </w:r>
                </w:p>
              </w:tc>
              <w:tc>
                <w:tcPr>
                  <w:tcW w:w="833" w:type="pct"/>
                  <w:vAlign w:val="center"/>
                </w:tcPr>
                <w:p w14:paraId="3E08AAAC">
                  <w:pPr>
                    <w:pStyle w:val="12"/>
                    <w:rPr>
                      <w:rFonts w:hint="default" w:cs="Times New Roman"/>
                      <w:lang w:val="en-US" w:eastAsia="zh-CN"/>
                    </w:rPr>
                  </w:pPr>
                  <w:r>
                    <w:rPr>
                      <w:rFonts w:hint="eastAsia" w:cs="Times New Roman"/>
                      <w:lang w:val="en-US" w:eastAsia="zh-CN"/>
                    </w:rPr>
                    <w:t>0.027</w:t>
                  </w:r>
                </w:p>
              </w:tc>
            </w:tr>
            <w:tr w14:paraId="2A1BD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 w:hRule="atLeast"/>
              </w:trPr>
              <w:tc>
                <w:tcPr>
                  <w:tcW w:w="584" w:type="pct"/>
                  <w:vAlign w:val="center"/>
                </w:tcPr>
                <w:p w14:paraId="4E8EEA6A">
                  <w:pPr>
                    <w:pStyle w:val="12"/>
                    <w:rPr>
                      <w:rFonts w:hint="eastAsia" w:eastAsia="宋体" w:cs="Times New Roman"/>
                      <w:lang w:val="en-US" w:eastAsia="zh-CN"/>
                    </w:rPr>
                  </w:pPr>
                  <w:r>
                    <w:rPr>
                      <w:rFonts w:hint="eastAsia" w:cs="Times New Roman"/>
                      <w:lang w:val="en-US" w:eastAsia="zh-CN"/>
                    </w:rPr>
                    <w:t>8</w:t>
                  </w:r>
                </w:p>
              </w:tc>
              <w:tc>
                <w:tcPr>
                  <w:tcW w:w="1163" w:type="pct"/>
                  <w:vAlign w:val="center"/>
                </w:tcPr>
                <w:p w14:paraId="27EC750A">
                  <w:pPr>
                    <w:pStyle w:val="12"/>
                    <w:rPr>
                      <w:rFonts w:hint="default" w:eastAsia="宋体" w:cs="Times New Roman"/>
                      <w:lang w:val="en-US" w:eastAsia="zh-CN"/>
                    </w:rPr>
                  </w:pPr>
                  <w:r>
                    <w:rPr>
                      <w:rFonts w:hint="eastAsia" w:eastAsia="宋体" w:cs="Times New Roman"/>
                      <w:lang w:val="en-US" w:eastAsia="zh-CN"/>
                    </w:rPr>
                    <w:t>氯（Cl）</w:t>
                  </w:r>
                </w:p>
              </w:tc>
              <w:tc>
                <w:tcPr>
                  <w:tcW w:w="751" w:type="pct"/>
                  <w:vAlign w:val="center"/>
                </w:tcPr>
                <w:p w14:paraId="0E49F405">
                  <w:pPr>
                    <w:pStyle w:val="12"/>
                    <w:rPr>
                      <w:rFonts w:hint="default" w:eastAsia="宋体" w:cs="Times New Roman"/>
                      <w:lang w:val="en-US" w:eastAsia="zh-CN"/>
                    </w:rPr>
                  </w:pPr>
                  <w:r>
                    <w:rPr>
                      <w:rFonts w:hint="eastAsia" w:eastAsia="宋体" w:cs="Times New Roman"/>
                      <w:lang w:val="en-US" w:eastAsia="zh-CN"/>
                    </w:rPr>
                    <w:t>2.603</w:t>
                  </w:r>
                </w:p>
              </w:tc>
              <w:tc>
                <w:tcPr>
                  <w:tcW w:w="833" w:type="pct"/>
                  <w:vAlign w:val="center"/>
                </w:tcPr>
                <w:p w14:paraId="41C34493">
                  <w:pPr>
                    <w:pStyle w:val="12"/>
                    <w:rPr>
                      <w:rFonts w:hint="default" w:eastAsia="宋体" w:cs="Times New Roman"/>
                      <w:lang w:val="en-US" w:eastAsia="zh-CN"/>
                    </w:rPr>
                  </w:pPr>
                  <w:r>
                    <w:rPr>
                      <w:rFonts w:hint="eastAsia" w:eastAsia="宋体" w:cs="Times New Roman"/>
                      <w:lang w:val="en-US" w:eastAsia="zh-CN"/>
                    </w:rPr>
                    <w:t>17</w:t>
                  </w:r>
                </w:p>
              </w:tc>
              <w:tc>
                <w:tcPr>
                  <w:tcW w:w="833" w:type="pct"/>
                  <w:vAlign w:val="center"/>
                </w:tcPr>
                <w:p w14:paraId="73B10C08">
                  <w:pPr>
                    <w:pStyle w:val="12"/>
                    <w:rPr>
                      <w:rFonts w:hint="default" w:eastAsia="宋体" w:cs="Times New Roman"/>
                      <w:lang w:val="en-US" w:eastAsia="zh-CN"/>
                    </w:rPr>
                  </w:pPr>
                  <w:r>
                    <w:rPr>
                      <w:rFonts w:hint="eastAsia" w:eastAsia="宋体" w:cs="Times New Roman"/>
                      <w:lang w:val="en-US" w:eastAsia="zh-CN"/>
                    </w:rPr>
                    <w:t>铷（Rb）</w:t>
                  </w:r>
                </w:p>
              </w:tc>
              <w:tc>
                <w:tcPr>
                  <w:tcW w:w="833" w:type="pct"/>
                  <w:vAlign w:val="center"/>
                </w:tcPr>
                <w:p w14:paraId="78FD9B8A">
                  <w:pPr>
                    <w:pStyle w:val="12"/>
                    <w:rPr>
                      <w:rFonts w:hint="default" w:eastAsia="宋体" w:cs="Times New Roman"/>
                      <w:lang w:val="en-US" w:eastAsia="zh-CN"/>
                    </w:rPr>
                  </w:pPr>
                  <w:r>
                    <w:rPr>
                      <w:rFonts w:hint="eastAsia" w:eastAsia="宋体" w:cs="Times New Roman"/>
                      <w:lang w:val="en-US" w:eastAsia="zh-CN"/>
                    </w:rPr>
                    <w:t>0.018</w:t>
                  </w:r>
                </w:p>
              </w:tc>
            </w:tr>
            <w:tr w14:paraId="46246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584" w:type="pct"/>
                  <w:vAlign w:val="center"/>
                </w:tcPr>
                <w:p w14:paraId="772B3D5F">
                  <w:pPr>
                    <w:pStyle w:val="12"/>
                    <w:rPr>
                      <w:rFonts w:hint="eastAsia" w:eastAsia="宋体" w:cs="Times New Roman"/>
                      <w:lang w:val="en-US" w:eastAsia="zh-CN"/>
                    </w:rPr>
                  </w:pPr>
                  <w:r>
                    <w:rPr>
                      <w:rFonts w:hint="eastAsia" w:cs="Times New Roman"/>
                      <w:lang w:val="en-US" w:eastAsia="zh-CN"/>
                    </w:rPr>
                    <w:t>9</w:t>
                  </w:r>
                </w:p>
              </w:tc>
              <w:tc>
                <w:tcPr>
                  <w:tcW w:w="1163" w:type="pct"/>
                  <w:vAlign w:val="center"/>
                </w:tcPr>
                <w:p w14:paraId="33849193">
                  <w:pPr>
                    <w:pStyle w:val="12"/>
                    <w:rPr>
                      <w:rFonts w:hint="default" w:eastAsia="宋体" w:cs="Times New Roman"/>
                      <w:lang w:val="en-US" w:eastAsia="zh-CN"/>
                    </w:rPr>
                  </w:pPr>
                  <w:r>
                    <w:rPr>
                      <w:rFonts w:hint="eastAsia" w:eastAsia="宋体" w:cs="Times New Roman"/>
                      <w:lang w:val="en-US" w:eastAsia="zh-CN"/>
                    </w:rPr>
                    <w:t>镁（Mg）</w:t>
                  </w:r>
                </w:p>
              </w:tc>
              <w:tc>
                <w:tcPr>
                  <w:tcW w:w="751" w:type="pct"/>
                  <w:vAlign w:val="center"/>
                </w:tcPr>
                <w:p w14:paraId="07749550">
                  <w:pPr>
                    <w:pStyle w:val="12"/>
                    <w:ind w:firstLine="0" w:firstLineChars="0"/>
                    <w:rPr>
                      <w:rFonts w:hint="default" w:eastAsia="宋体" w:cs="Times New Roman"/>
                      <w:lang w:val="en-US" w:eastAsia="zh-CN"/>
                    </w:rPr>
                  </w:pPr>
                  <w:r>
                    <w:rPr>
                      <w:rFonts w:hint="eastAsia" w:eastAsia="宋体" w:cs="Times New Roman"/>
                      <w:lang w:val="en-US" w:eastAsia="zh-CN"/>
                    </w:rPr>
                    <w:t>2.497</w:t>
                  </w:r>
                </w:p>
              </w:tc>
              <w:tc>
                <w:tcPr>
                  <w:tcW w:w="833" w:type="pct"/>
                  <w:vAlign w:val="center"/>
                </w:tcPr>
                <w:p w14:paraId="5D6B83CC">
                  <w:pPr>
                    <w:pStyle w:val="12"/>
                    <w:ind w:firstLine="0" w:firstLineChars="0"/>
                    <w:rPr>
                      <w:rFonts w:hint="default" w:eastAsia="宋体" w:cs="Times New Roman"/>
                      <w:lang w:val="en-US" w:eastAsia="zh-CN"/>
                    </w:rPr>
                  </w:pPr>
                  <w:r>
                    <w:rPr>
                      <w:rFonts w:hint="eastAsia" w:cs="Times New Roman"/>
                      <w:lang w:val="en-US" w:eastAsia="zh-CN"/>
                    </w:rPr>
                    <w:t>/</w:t>
                  </w:r>
                </w:p>
              </w:tc>
              <w:tc>
                <w:tcPr>
                  <w:tcW w:w="833" w:type="pct"/>
                  <w:vAlign w:val="center"/>
                </w:tcPr>
                <w:p w14:paraId="6045E469">
                  <w:pPr>
                    <w:pStyle w:val="12"/>
                    <w:rPr>
                      <w:rFonts w:hint="default" w:eastAsia="宋体" w:cs="Times New Roman"/>
                      <w:lang w:val="en-US" w:eastAsia="zh-CN"/>
                    </w:rPr>
                  </w:pPr>
                  <w:r>
                    <w:rPr>
                      <w:rFonts w:hint="eastAsia" w:cs="Times New Roman"/>
                      <w:lang w:val="en-US" w:eastAsia="zh-CN"/>
                    </w:rPr>
                    <w:t>/</w:t>
                  </w:r>
                </w:p>
              </w:tc>
              <w:tc>
                <w:tcPr>
                  <w:tcW w:w="833" w:type="pct"/>
                  <w:vAlign w:val="center"/>
                </w:tcPr>
                <w:p w14:paraId="1C701001">
                  <w:pPr>
                    <w:pStyle w:val="12"/>
                    <w:rPr>
                      <w:rFonts w:hint="default" w:eastAsia="宋体" w:cs="Times New Roman"/>
                      <w:lang w:val="en-US" w:eastAsia="zh-CN"/>
                    </w:rPr>
                  </w:pPr>
                  <w:r>
                    <w:rPr>
                      <w:rFonts w:hint="eastAsia" w:cs="Times New Roman"/>
                      <w:lang w:val="en-US" w:eastAsia="zh-CN"/>
                    </w:rPr>
                    <w:t>/</w:t>
                  </w:r>
                </w:p>
              </w:tc>
            </w:tr>
          </w:tbl>
          <w:p w14:paraId="47159F67">
            <w:pPr>
              <w:pStyle w:val="15"/>
              <w:rPr>
                <w:color w:val="auto"/>
                <w:sz w:val="24"/>
              </w:rPr>
            </w:pPr>
            <w:r>
              <w:rPr>
                <w:rFonts w:hint="eastAsia"/>
                <w:lang w:val="en-US" w:eastAsia="zh-CN"/>
              </w:rPr>
              <w:t>综上，</w:t>
            </w:r>
            <w:r>
              <w:rPr>
                <w:color w:val="auto"/>
                <w:sz w:val="24"/>
              </w:rPr>
              <w:t>根据检测</w:t>
            </w:r>
            <w:r>
              <w:rPr>
                <w:rFonts w:hint="eastAsia"/>
                <w:color w:val="auto"/>
                <w:sz w:val="24"/>
                <w:lang w:val="en-US" w:eastAsia="zh-CN"/>
              </w:rPr>
              <w:t>报告</w:t>
            </w:r>
            <w:r>
              <w:rPr>
                <w:color w:val="auto"/>
                <w:sz w:val="24"/>
              </w:rPr>
              <w:t>，水基岩屑</w:t>
            </w:r>
            <w:r>
              <w:rPr>
                <w:rFonts w:hint="eastAsia"/>
                <w:color w:val="auto"/>
                <w:sz w:val="24"/>
                <w:lang w:eastAsia="zh-CN"/>
              </w:rPr>
              <w:t>（</w:t>
            </w:r>
            <w:r>
              <w:rPr>
                <w:rFonts w:hint="eastAsia"/>
                <w:color w:val="auto"/>
                <w:sz w:val="24"/>
                <w:lang w:val="en-US" w:eastAsia="zh-CN"/>
              </w:rPr>
              <w:t>干基部分</w:t>
            </w:r>
            <w:r>
              <w:rPr>
                <w:rFonts w:hint="eastAsia"/>
                <w:color w:val="auto"/>
                <w:sz w:val="24"/>
                <w:lang w:eastAsia="zh-CN"/>
              </w:rPr>
              <w:t>）</w:t>
            </w:r>
            <w:r>
              <w:rPr>
                <w:color w:val="auto"/>
                <w:sz w:val="24"/>
              </w:rPr>
              <w:t>中</w:t>
            </w:r>
            <w:r>
              <w:rPr>
                <w:rFonts w:hint="eastAsia"/>
                <w:color w:val="auto"/>
                <w:sz w:val="24"/>
              </w:rPr>
              <w:t>的主要成分为</w:t>
            </w:r>
            <w:r>
              <w:rPr>
                <w:color w:val="auto"/>
                <w:sz w:val="24"/>
              </w:rPr>
              <w:t>二氧化硅、</w:t>
            </w:r>
            <w:r>
              <w:rPr>
                <w:rFonts w:hint="eastAsia"/>
                <w:color w:val="auto"/>
                <w:sz w:val="24"/>
                <w:lang w:val="en-US" w:eastAsia="zh-CN"/>
              </w:rPr>
              <w:t>硅酸铝钾</w:t>
            </w:r>
            <w:r>
              <w:rPr>
                <w:color w:val="auto"/>
                <w:sz w:val="24"/>
              </w:rPr>
              <w:t>、</w:t>
            </w:r>
            <w:r>
              <w:rPr>
                <w:rFonts w:hint="eastAsia"/>
                <w:color w:val="auto"/>
                <w:sz w:val="24"/>
                <w:lang w:val="en-US" w:eastAsia="zh-CN"/>
              </w:rPr>
              <w:t>碳酸钙、</w:t>
            </w:r>
            <w:r>
              <w:rPr>
                <w:rFonts w:hint="eastAsia"/>
                <w:color w:val="auto"/>
                <w:sz w:val="24"/>
              </w:rPr>
              <w:t>氧化钙、</w:t>
            </w:r>
            <w:r>
              <w:rPr>
                <w:rFonts w:hint="eastAsia"/>
                <w:color w:val="auto"/>
                <w:sz w:val="24"/>
                <w:lang w:val="en-US" w:eastAsia="zh-CN"/>
              </w:rPr>
              <w:t>氧化铁</w:t>
            </w:r>
            <w:r>
              <w:rPr>
                <w:rFonts w:hint="eastAsia"/>
                <w:color w:val="auto"/>
                <w:sz w:val="24"/>
              </w:rPr>
              <w:t>等；主要成分和页岩的主要成分</w:t>
            </w:r>
            <w:r>
              <w:rPr>
                <w:rFonts w:hint="eastAsia"/>
                <w:color w:val="auto"/>
                <w:sz w:val="24"/>
                <w:lang w:val="en-US" w:eastAsia="zh-CN"/>
              </w:rPr>
              <w:t>类似</w:t>
            </w:r>
            <w:r>
              <w:rPr>
                <w:rFonts w:hint="eastAsia"/>
                <w:color w:val="auto"/>
                <w:sz w:val="24"/>
              </w:rPr>
              <w:t>，</w:t>
            </w:r>
            <w:r>
              <w:rPr>
                <w:color w:val="auto"/>
                <w:sz w:val="24"/>
              </w:rPr>
              <w:t>可以满足生产</w:t>
            </w:r>
            <w:r>
              <w:rPr>
                <w:rFonts w:hint="eastAsia"/>
                <w:color w:val="auto"/>
                <w:sz w:val="24"/>
                <w:lang w:val="en-US" w:eastAsia="zh-CN"/>
              </w:rPr>
              <w:t>水稳层骨料等人工骨料</w:t>
            </w:r>
            <w:r>
              <w:rPr>
                <w:color w:val="auto"/>
                <w:sz w:val="24"/>
              </w:rPr>
              <w:t>时对原料化学性能的要求，可作为页岩的替代品。</w:t>
            </w:r>
          </w:p>
          <w:p w14:paraId="50898410">
            <w:pPr>
              <w:bidi w:val="0"/>
              <w:rPr>
                <w:rFonts w:hint="eastAsia"/>
                <w:b/>
                <w:bCs/>
                <w:lang w:val="en-US" w:eastAsia="zh-CN"/>
              </w:rPr>
            </w:pPr>
            <w:r>
              <w:rPr>
                <w:rFonts w:hint="eastAsia"/>
                <w:b/>
                <w:bCs/>
                <w:lang w:val="en-US" w:eastAsia="zh-CN"/>
              </w:rPr>
              <w:t>②水基岩屑作为原料可行性分析</w:t>
            </w:r>
          </w:p>
          <w:p w14:paraId="6FD0B536">
            <w:pPr>
              <w:spacing w:line="360" w:lineRule="auto"/>
              <w:ind w:firstLine="480" w:firstLineChars="200"/>
              <w:rPr>
                <w:rFonts w:hint="eastAsia" w:ascii="Times New Roman" w:hAnsi="Times New Roman" w:eastAsia="宋体"/>
                <w:bCs/>
                <w:color w:val="auto"/>
                <w:sz w:val="24"/>
                <w:lang w:val="en-US" w:eastAsia="zh-CN"/>
              </w:rPr>
            </w:pPr>
            <w:r>
              <w:rPr>
                <w:rFonts w:hint="eastAsia" w:ascii="Times New Roman" w:hAnsi="Times New Roman" w:eastAsia="宋体"/>
                <w:bCs/>
                <w:color w:val="auto"/>
                <w:sz w:val="24"/>
                <w:lang w:val="en-US" w:eastAsia="zh-CN"/>
              </w:rPr>
              <w:t>a、根据《危险废物排除管理清单（</w:t>
            </w:r>
            <w:r>
              <w:rPr>
                <w:rFonts w:hint="default" w:ascii="Times New Roman" w:hAnsi="Times New Roman" w:eastAsia="宋体"/>
                <w:bCs/>
                <w:color w:val="auto"/>
                <w:sz w:val="24"/>
                <w:lang w:val="en-US" w:eastAsia="zh-CN"/>
              </w:rPr>
              <w:t>202</w:t>
            </w:r>
            <w:r>
              <w:rPr>
                <w:rFonts w:hint="eastAsia"/>
                <w:bCs/>
                <w:color w:val="auto"/>
                <w:sz w:val="24"/>
                <w:lang w:val="en-US" w:eastAsia="zh-CN"/>
              </w:rPr>
              <w:t>6</w:t>
            </w:r>
            <w:r>
              <w:rPr>
                <w:rFonts w:hint="eastAsia" w:ascii="Times New Roman" w:hAnsi="Times New Roman" w:eastAsia="宋体"/>
                <w:bCs/>
                <w:color w:val="auto"/>
                <w:sz w:val="24"/>
                <w:lang w:val="en-US" w:eastAsia="zh-CN"/>
              </w:rPr>
              <w:t>年版）》：石油和天然气开采过程中，使用清水、聚合物钻井泥</w:t>
            </w:r>
            <w:r>
              <w:rPr>
                <w:rFonts w:hint="eastAsia" w:ascii="宋体" w:hAnsi="宋体" w:eastAsia="宋体" w:cs="宋体"/>
                <w:bCs/>
                <w:color w:val="auto"/>
                <w:sz w:val="24"/>
                <w:lang w:val="en-US" w:eastAsia="zh-CN"/>
              </w:rPr>
              <w:t>浆(未加入沥青类药剂和液体润滑剂类药剂)钻井时产生的废弃钻井泥浆和岩屑，或者使用聚合物、聚磺/磺化泥浆钻井时随钻破胶压滤系统产生的废弃钻井岩屑(压滤泥饼)</w:t>
            </w:r>
            <w:r>
              <w:rPr>
                <w:rFonts w:hint="eastAsia"/>
                <w:bCs/>
                <w:color w:val="auto"/>
                <w:sz w:val="24"/>
                <w:lang w:val="en-US" w:eastAsia="zh-CN"/>
              </w:rPr>
              <w:t>，</w:t>
            </w:r>
            <w:r>
              <w:rPr>
                <w:rFonts w:hint="eastAsia" w:ascii="Times New Roman" w:hAnsi="Times New Roman" w:eastAsia="宋体"/>
                <w:bCs/>
                <w:color w:val="auto"/>
                <w:sz w:val="24"/>
                <w:lang w:val="en-US" w:eastAsia="zh-CN"/>
              </w:rPr>
              <w:t>不属于危险废物。因此，本项目使用的水基钻屑为一般固废。</w:t>
            </w:r>
          </w:p>
          <w:p w14:paraId="3CD07ABE">
            <w:pPr>
              <w:spacing w:line="360" w:lineRule="auto"/>
              <w:ind w:firstLine="480" w:firstLineChars="200"/>
              <w:rPr>
                <w:rFonts w:hint="default" w:eastAsia="宋体"/>
                <w:bCs/>
                <w:color w:val="auto"/>
                <w:sz w:val="24"/>
                <w:lang w:val="en-US" w:eastAsia="zh-CN"/>
              </w:rPr>
            </w:pPr>
            <w:r>
              <w:rPr>
                <w:rFonts w:hint="eastAsia" w:ascii="Times New Roman" w:hAnsi="Times New Roman" w:eastAsia="宋体"/>
                <w:bCs/>
                <w:color w:val="auto"/>
                <w:sz w:val="24"/>
                <w:lang w:val="en-US" w:eastAsia="zh-CN"/>
              </w:rPr>
              <w:t>b、本项目水基岩屑预处理后经煅烧生产</w:t>
            </w:r>
            <w:r>
              <w:rPr>
                <w:rFonts w:hint="eastAsia"/>
                <w:bCs/>
                <w:color w:val="auto"/>
                <w:sz w:val="24"/>
                <w:lang w:val="en-US" w:eastAsia="zh-CN"/>
              </w:rPr>
              <w:t>水稳层骨料</w:t>
            </w:r>
            <w:r>
              <w:rPr>
                <w:rFonts w:hint="eastAsia" w:ascii="Times New Roman" w:hAnsi="Times New Roman" w:eastAsia="宋体"/>
                <w:bCs/>
                <w:color w:val="auto"/>
                <w:sz w:val="24"/>
                <w:lang w:val="en-US" w:eastAsia="zh-CN"/>
              </w:rPr>
              <w:t>，煅烧工艺过程与烧结砖类似。参考《水基钻屑制备烧结</w:t>
            </w:r>
            <w:r>
              <w:rPr>
                <w:rFonts w:hint="default" w:ascii="Times New Roman" w:hAnsi="Times New Roman" w:eastAsia="宋体" w:cs="Times New Roman"/>
                <w:bCs/>
                <w:color w:val="auto"/>
                <w:sz w:val="24"/>
                <w:lang w:val="en-US" w:eastAsia="zh-CN"/>
              </w:rPr>
              <w:t>砖技术研究及应用》（油气田环境保护，2018年10月），水基岩屑含有石英、伊利石、长石等矿物，当温度在700~800℃时，高岭石、伊利石等矿物质脱水，晶体结构被破坏；当温度在800~900℃时，长石不断熔融，并熔解残渣中分解物和细石英；当温度在900~1000℃时，钙长石、赤铁矿及液态玻璃相生成越来越多，气孔间有较多的细小晶相和玻璃相物质填充，最终坯体达到最致密状态。参考《钻井岩屑烧制轻质高强陶粒的研究 》（非金属矿，2021年第一期），水基岩屑经高温煅烧可制备高强度陶粒，性能能够满足轻骨料要求，放射性及有害元素浸出量均满足国家标准要求。本项目</w:t>
            </w:r>
            <w:r>
              <w:rPr>
                <w:rFonts w:hint="default" w:ascii="Times New Roman" w:hAnsi="Times New Roman" w:cs="Times New Roman"/>
                <w:bCs/>
                <w:color w:val="auto"/>
                <w:sz w:val="24"/>
                <w:lang w:val="en-US" w:eastAsia="zh-CN"/>
              </w:rPr>
              <w:t>水基岩屑通过煅烧后制备</w:t>
            </w:r>
            <w:r>
              <w:rPr>
                <w:rFonts w:hint="eastAsia" w:cs="Times New Roman"/>
                <w:bCs/>
                <w:color w:val="auto"/>
                <w:sz w:val="24"/>
                <w:lang w:val="en-US" w:eastAsia="zh-CN"/>
              </w:rPr>
              <w:t>水稳层骨料</w:t>
            </w:r>
            <w:r>
              <w:rPr>
                <w:rFonts w:hint="default" w:ascii="Times New Roman" w:hAnsi="Times New Roman" w:cs="Times New Roman"/>
                <w:bCs/>
                <w:color w:val="auto"/>
                <w:sz w:val="24"/>
                <w:lang w:val="en-US" w:eastAsia="zh-CN"/>
              </w:rPr>
              <w:t>（属人工骨料的一种），产物性质和陶粒、烧结砖体类似，工艺过程类似，参考相关文献和类似项目，采用水基岩屑作为</w:t>
            </w:r>
            <w:r>
              <w:rPr>
                <w:rFonts w:hint="eastAsia"/>
                <w:bCs/>
                <w:color w:val="auto"/>
                <w:sz w:val="24"/>
                <w:lang w:val="en-US" w:eastAsia="zh-CN"/>
              </w:rPr>
              <w:t>原料是可行的。</w:t>
            </w:r>
          </w:p>
          <w:p w14:paraId="2B7D6B43">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Times New Roman" w:hAnsi="Times New Roman" w:cs="Times New Roman"/>
              </w:rPr>
            </w:pPr>
            <w:r>
              <w:rPr>
                <w:rFonts w:hint="default" w:ascii="Times New Roman" w:hAnsi="Times New Roman" w:eastAsia="宋体" w:cs="Times New Roman"/>
                <w:color w:val="000000"/>
                <w:kern w:val="0"/>
                <w:sz w:val="24"/>
                <w:szCs w:val="24"/>
                <w:lang w:val="en-US" w:eastAsia="zh-CN" w:bidi="ar"/>
              </w:rPr>
              <w:t>c、根据《陆上石油天然气开采水基钻井废弃物处理处置及资源化利用技术规范》（SYIT 7466-2020</w:t>
            </w:r>
            <w:r>
              <w:rPr>
                <w:rFonts w:hint="eastAsia" w:ascii="宋体" w:hAnsi="宋体" w:eastAsia="宋体" w:cs="宋体"/>
                <w:color w:val="000000"/>
                <w:kern w:val="0"/>
                <w:sz w:val="24"/>
                <w:szCs w:val="24"/>
                <w:lang w:val="en-US" w:eastAsia="zh-CN" w:bidi="ar"/>
              </w:rPr>
              <w:t>）中</w:t>
            </w:r>
            <w:r>
              <w:rPr>
                <w:rFonts w:hint="default" w:ascii="Times New Roman" w:hAnsi="Times New Roman" w:eastAsia="宋体" w:cs="Times New Roman"/>
                <w:color w:val="000000"/>
                <w:kern w:val="0"/>
                <w:sz w:val="24"/>
                <w:szCs w:val="24"/>
                <w:lang w:val="en-US" w:eastAsia="zh-CN" w:bidi="ar"/>
              </w:rPr>
              <w:t>6.2.1</w:t>
            </w:r>
            <w:r>
              <w:rPr>
                <w:rFonts w:hint="eastAsia" w:ascii="宋体" w:hAnsi="宋体" w:eastAsia="宋体" w:cs="宋体"/>
                <w:color w:val="000000"/>
                <w:kern w:val="0"/>
                <w:sz w:val="24"/>
                <w:szCs w:val="24"/>
                <w:lang w:val="en-US" w:eastAsia="zh-CN" w:bidi="ar"/>
              </w:rPr>
              <w:t>条：清水钻井、空气钻或达到环保要求的水基钻井液产生的废弃物，宜物</w:t>
            </w:r>
            <w:r>
              <w:rPr>
                <w:rFonts w:hint="default" w:ascii="Times New Roman" w:hAnsi="Times New Roman" w:eastAsia="宋体" w:cs="Times New Roman"/>
                <w:color w:val="000000"/>
                <w:kern w:val="0"/>
                <w:sz w:val="24"/>
                <w:szCs w:val="24"/>
                <w:lang w:val="en-US" w:eastAsia="zh-CN" w:bidi="ar"/>
              </w:rPr>
              <w:t>理固液分离后制备铺路基土或作为免烧砖骨料等产品；聚合物钻井液废弃物的水基钻井废弃物，固液分离或无害化处理后宜制备免烧砖、免烧砌块、免烧陶粒、</w:t>
            </w:r>
            <w:r>
              <w:rPr>
                <w:rFonts w:hint="default" w:ascii="Times New Roman" w:hAnsi="Times New Roman" w:eastAsia="宋体" w:cs="Times New Roman"/>
                <w:b w:val="0"/>
                <w:bCs w:val="0"/>
                <w:color w:val="000000"/>
                <w:kern w:val="0"/>
                <w:sz w:val="24"/>
                <w:szCs w:val="24"/>
                <w:lang w:val="en-US" w:eastAsia="zh-CN" w:bidi="ar"/>
              </w:rPr>
              <w:t>烧结砖</w:t>
            </w:r>
            <w:r>
              <w:rPr>
                <w:rFonts w:hint="default" w:ascii="Times New Roman" w:hAnsi="Times New Roman" w:eastAsia="宋体" w:cs="Times New Roman"/>
                <w:color w:val="000000"/>
                <w:kern w:val="0"/>
                <w:sz w:val="24"/>
                <w:szCs w:val="24"/>
                <w:lang w:val="en-US" w:eastAsia="zh-CN" w:bidi="ar"/>
              </w:rPr>
              <w:t>等。</w:t>
            </w:r>
          </w:p>
          <w:p w14:paraId="5445DA1C">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本项目</w:t>
            </w:r>
            <w:r>
              <w:rPr>
                <w:rFonts w:hint="default" w:ascii="Times New Roman" w:hAnsi="Times New Roman" w:cs="Times New Roman"/>
                <w:color w:val="000000"/>
                <w:kern w:val="0"/>
                <w:sz w:val="24"/>
                <w:szCs w:val="24"/>
                <w:lang w:val="en-US" w:eastAsia="zh-CN" w:bidi="ar"/>
              </w:rPr>
              <w:t>采用的水基岩屑为</w:t>
            </w:r>
            <w:r>
              <w:rPr>
                <w:rFonts w:hint="default" w:ascii="Times New Roman" w:hAnsi="Times New Roman" w:eastAsia="宋体" w:cs="Times New Roman"/>
                <w:color w:val="000000"/>
                <w:kern w:val="0"/>
                <w:sz w:val="24"/>
                <w:szCs w:val="24"/>
                <w:lang w:val="en-US" w:eastAsia="zh-CN" w:bidi="ar"/>
              </w:rPr>
              <w:t>清水钻井、空气钻</w:t>
            </w:r>
            <w:r>
              <w:rPr>
                <w:rFonts w:hint="default" w:ascii="Times New Roman" w:hAnsi="Times New Roman" w:cs="Times New Roman"/>
                <w:color w:val="000000"/>
                <w:kern w:val="0"/>
                <w:sz w:val="24"/>
                <w:szCs w:val="24"/>
                <w:lang w:val="en-US" w:eastAsia="zh-CN" w:bidi="ar"/>
              </w:rPr>
              <w:t>、聚合物钻水基岩屑。高含水率的水基岩屑均经过预处理固液分离后再进行加工，</w:t>
            </w:r>
            <w:r>
              <w:rPr>
                <w:rFonts w:hint="default" w:ascii="Times New Roman" w:hAnsi="Times New Roman" w:eastAsia="宋体" w:cs="Times New Roman"/>
                <w:color w:val="000000"/>
                <w:kern w:val="0"/>
                <w:sz w:val="24"/>
                <w:szCs w:val="24"/>
                <w:lang w:val="en-US" w:eastAsia="zh-CN" w:bidi="ar"/>
              </w:rPr>
              <w:t>水基岩屑煅烧后可作为</w:t>
            </w:r>
            <w:r>
              <w:rPr>
                <w:rFonts w:hint="eastAsia" w:cs="Times New Roman"/>
                <w:color w:val="000000"/>
                <w:kern w:val="0"/>
                <w:sz w:val="24"/>
                <w:szCs w:val="24"/>
                <w:lang w:val="en-US" w:eastAsia="zh-CN" w:bidi="ar"/>
              </w:rPr>
              <w:t>水稳层骨料</w:t>
            </w:r>
            <w:r>
              <w:rPr>
                <w:rFonts w:hint="default" w:ascii="Times New Roman" w:hAnsi="Times New Roman" w:eastAsia="宋体" w:cs="Times New Roman"/>
                <w:color w:val="000000"/>
                <w:kern w:val="0"/>
                <w:sz w:val="24"/>
                <w:szCs w:val="24"/>
                <w:lang w:val="en-US" w:eastAsia="zh-CN" w:bidi="ar"/>
              </w:rPr>
              <w:t>，可通过添加水泥、砂石等生产</w:t>
            </w:r>
            <w:r>
              <w:rPr>
                <w:rFonts w:hint="eastAsia" w:cs="Times New Roman"/>
                <w:color w:val="000000"/>
                <w:kern w:val="0"/>
                <w:sz w:val="24"/>
                <w:szCs w:val="24"/>
                <w:lang w:val="en-US" w:eastAsia="zh-CN" w:bidi="ar"/>
              </w:rPr>
              <w:t>免烧砌块</w:t>
            </w:r>
            <w:r>
              <w:rPr>
                <w:rFonts w:hint="default" w:ascii="Times New Roman" w:hAnsi="Times New Roman" w:eastAsia="宋体" w:cs="Times New Roman"/>
                <w:color w:val="000000"/>
                <w:kern w:val="0"/>
                <w:sz w:val="24"/>
                <w:szCs w:val="24"/>
                <w:lang w:val="en-US" w:eastAsia="zh-CN" w:bidi="ar"/>
              </w:rPr>
              <w:t>，服务于各种道路、场地铺垫等，符合《陆上石油天然气开采水基钻井废弃物处理处置及资源化利用技术规范》（SYIT 7466-2020）中相关要求。</w:t>
            </w:r>
          </w:p>
          <w:p w14:paraId="1C7414A3">
            <w:pPr>
              <w:pStyle w:val="15"/>
              <w:keepNext w:val="0"/>
              <w:keepLines w:val="0"/>
              <w:pageBreakBefore w:val="0"/>
              <w:kinsoku/>
              <w:wordWrap/>
              <w:overflowPunct/>
              <w:topLinePunct w:val="0"/>
              <w:autoSpaceDE/>
              <w:autoSpaceDN/>
              <w:bidi w:val="0"/>
              <w:adjustRightInd/>
              <w:snapToGrid/>
              <w:spacing w:after="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d、根据《石油天然气开采固体废物污染物控制技术规范》（HJ1461-2026）：</w:t>
            </w:r>
          </w:p>
          <w:p w14:paraId="5B69A435">
            <w:pPr>
              <w:pStyle w:val="15"/>
              <w:keepNext w:val="0"/>
              <w:keepLines w:val="0"/>
              <w:pageBreakBefore w:val="0"/>
              <w:kinsoku/>
              <w:wordWrap/>
              <w:overflowPunct/>
              <w:topLinePunct w:val="0"/>
              <w:autoSpaceDE/>
              <w:autoSpaceDN/>
              <w:bidi w:val="0"/>
              <w:adjustRightInd/>
              <w:snapToGrid/>
              <w:spacing w:after="0"/>
              <w:textAlignment w:val="auto"/>
              <w:rPr>
                <w:rFonts w:hint="default" w:ascii="Times New Roman" w:hAnsi="Times New Roman" w:cs="Times New Roman"/>
                <w:lang w:val="en-US" w:eastAsia="zh-CN"/>
              </w:rPr>
            </w:pPr>
            <w:r>
              <w:rPr>
                <w:rFonts w:hint="eastAsia" w:ascii="宋体" w:hAnsi="宋体" w:eastAsia="宋体" w:cs="宋体"/>
                <w:lang w:val="en-US" w:eastAsia="zh-CN"/>
              </w:rPr>
              <w:t>“</w:t>
            </w:r>
            <w:r>
              <w:rPr>
                <w:rFonts w:hint="default" w:ascii="Times New Roman" w:hAnsi="Times New Roman" w:cs="Times New Roman"/>
                <w:lang w:val="en-US" w:eastAsia="zh-CN"/>
              </w:rPr>
              <w:t>6.1.2制备烧结砖、陶粒。水基岩屑制备烧结砖、陶粒时，满足以下要求：a)窑炉烟气设置气体收集处理设施，废气排放满足GB29620、GB25464等国家或地方大气污染物排放标准的要求。其中，使用磺化钻井岩屑的，采用活性炭喷射或其他适宜的方法减少二噁英类的产生，废气中二噁英类的排放满足GB18484的要求。</w:t>
            </w:r>
          </w:p>
          <w:p w14:paraId="46DFFB2F">
            <w:pPr>
              <w:pStyle w:val="15"/>
              <w:keepNext w:val="0"/>
              <w:keepLines w:val="0"/>
              <w:pageBreakBefore w:val="0"/>
              <w:kinsoku/>
              <w:wordWrap/>
              <w:overflowPunct/>
              <w:topLinePunct w:val="0"/>
              <w:autoSpaceDE/>
              <w:autoSpaceDN/>
              <w:bidi w:val="0"/>
              <w:adjustRightInd/>
              <w:snapToGrid/>
              <w:spacing w:after="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6.1.3用于混凝土骨料。水基岩屑用于混凝土骨料时，满足HJ1091中固体废物建材化利用污染防治技术要求，其中磺化钻井岩屑只能用于油气开采生产作业区内使用的混凝土骨料，造斜井段和目的层井段等特殊工段及非正常工况下产生的聚合物钻井岩屑不宜用于混凝土骨料。</w:t>
            </w:r>
            <w:r>
              <w:rPr>
                <w:rFonts w:hint="eastAsia" w:ascii="宋体" w:hAnsi="宋体" w:eastAsia="宋体" w:cs="宋体"/>
                <w:lang w:val="en-US" w:eastAsia="zh-CN"/>
              </w:rPr>
              <w:t>”</w:t>
            </w:r>
          </w:p>
          <w:p w14:paraId="3E7D304C">
            <w:pPr>
              <w:pStyle w:val="15"/>
              <w:keepNext w:val="0"/>
              <w:keepLines w:val="0"/>
              <w:pageBreakBefore w:val="0"/>
              <w:kinsoku/>
              <w:wordWrap/>
              <w:overflowPunct/>
              <w:topLinePunct w:val="0"/>
              <w:autoSpaceDE/>
              <w:autoSpaceDN/>
              <w:bidi w:val="0"/>
              <w:adjustRightInd/>
              <w:snapToGrid/>
              <w:spacing w:after="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本项目煅烧生产</w:t>
            </w:r>
            <w:r>
              <w:rPr>
                <w:rFonts w:hint="eastAsia" w:cs="Times New Roman"/>
                <w:lang w:val="en-US" w:eastAsia="zh-CN"/>
              </w:rPr>
              <w:t>水稳层骨料</w:t>
            </w:r>
            <w:r>
              <w:rPr>
                <w:rFonts w:hint="default" w:ascii="Times New Roman" w:hAnsi="Times New Roman" w:cs="Times New Roman"/>
                <w:lang w:val="en-US" w:eastAsia="zh-CN"/>
              </w:rPr>
              <w:t>，用途为直接外售作为水稳层的骨料或自行利用替代骨料制作</w:t>
            </w:r>
            <w:r>
              <w:rPr>
                <w:rFonts w:hint="eastAsia" w:cs="Times New Roman"/>
                <w:lang w:val="en-US" w:eastAsia="zh-CN"/>
              </w:rPr>
              <w:t>免烧砌块</w:t>
            </w:r>
            <w:r>
              <w:rPr>
                <w:rFonts w:hint="default" w:ascii="Times New Roman" w:hAnsi="Times New Roman" w:cs="Times New Roman"/>
                <w:lang w:val="en-US" w:eastAsia="zh-CN"/>
              </w:rPr>
              <w:t>，从用途而言</w:t>
            </w:r>
            <w:r>
              <w:rPr>
                <w:rFonts w:hint="eastAsia" w:cs="Times New Roman"/>
                <w:lang w:val="en-US" w:eastAsia="zh-CN"/>
              </w:rPr>
              <w:t>适用</w:t>
            </w:r>
            <w:r>
              <w:rPr>
                <w:rFonts w:hint="default" w:ascii="Times New Roman" w:hAnsi="Times New Roman" w:cs="Times New Roman"/>
                <w:lang w:val="en-US" w:eastAsia="zh-CN"/>
              </w:rPr>
              <w:t>于混凝土骨料，但理化性质和陶粒较为类似，因此综合对照技术规范。本项目窑炉烟气配套收集设施，并设置布袋除尘、碱液喷淋塔等治理设施，排气筒严格执行国家或地方大气污染物排放标准。本项目废气采用活性炭喷射处理，减少二噁英的排放。</w:t>
            </w:r>
          </w:p>
          <w:p w14:paraId="2E9B00D4">
            <w:pPr>
              <w:pStyle w:val="15"/>
              <w:keepNext w:val="0"/>
              <w:keepLines w:val="0"/>
              <w:pageBreakBefore w:val="0"/>
              <w:kinsoku/>
              <w:wordWrap/>
              <w:overflowPunct/>
              <w:topLinePunct w:val="0"/>
              <w:autoSpaceDE/>
              <w:autoSpaceDN/>
              <w:bidi w:val="0"/>
              <w:adjustRightInd/>
              <w:snapToGrid/>
              <w:spacing w:after="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综上，拟综合利用的水基岩屑属于一般工业固废；根据建设单位提供的水基钻屑检测报告，本项目拟处理的水基岩屑不含有五类重金属</w:t>
            </w:r>
            <w:r>
              <w:rPr>
                <w:rFonts w:hint="eastAsia" w:cs="Times New Roman"/>
                <w:lang w:val="en-US" w:eastAsia="zh-CN"/>
              </w:rPr>
              <w:t>、</w:t>
            </w:r>
            <w:r>
              <w:rPr>
                <w:rFonts w:hint="default" w:ascii="Times New Roman" w:hAnsi="Times New Roman" w:cs="Times New Roman"/>
                <w:lang w:val="en-US" w:eastAsia="zh-CN"/>
              </w:rPr>
              <w:t>其他有环境毒性的超标物质，符合规范要求；作为原料能够满足产品生产需求，用于制备</w:t>
            </w:r>
            <w:r>
              <w:rPr>
                <w:rFonts w:hint="eastAsia" w:cs="Times New Roman"/>
                <w:lang w:val="en-US" w:eastAsia="zh-CN"/>
              </w:rPr>
              <w:t>水稳层骨料</w:t>
            </w:r>
            <w:r>
              <w:rPr>
                <w:rFonts w:hint="default" w:ascii="Times New Roman" w:hAnsi="Times New Roman" w:cs="Times New Roman"/>
                <w:lang w:val="en-US" w:eastAsia="zh-CN"/>
              </w:rPr>
              <w:t>、</w:t>
            </w:r>
            <w:r>
              <w:rPr>
                <w:rFonts w:hint="eastAsia" w:cs="Times New Roman"/>
                <w:lang w:val="en-US" w:eastAsia="zh-CN"/>
              </w:rPr>
              <w:t>免烧砌块</w:t>
            </w:r>
            <w:r>
              <w:rPr>
                <w:rFonts w:hint="default" w:ascii="Times New Roman" w:hAnsi="Times New Roman" w:cs="Times New Roman"/>
                <w:lang w:val="en-US" w:eastAsia="zh-CN"/>
              </w:rPr>
              <w:t>可行。</w:t>
            </w:r>
          </w:p>
          <w:p w14:paraId="1A284E2F">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③水基岩屑原料要求</w:t>
            </w:r>
          </w:p>
          <w:p w14:paraId="1A41BD08">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Times New Roman" w:hAnsi="Times New Roman" w:cs="Times New Roman"/>
              </w:rPr>
            </w:pPr>
            <w:r>
              <w:rPr>
                <w:rFonts w:hint="default" w:ascii="Times New Roman" w:hAnsi="Times New Roman" w:eastAsia="宋体" w:cs="Times New Roman"/>
                <w:color w:val="000000"/>
                <w:kern w:val="0"/>
                <w:sz w:val="24"/>
                <w:szCs w:val="24"/>
                <w:lang w:val="en-US" w:eastAsia="zh-CN" w:bidi="ar"/>
              </w:rPr>
              <w:t>本项目不负责水基岩屑运输，由需处理单位运输至本项目厂房；本项目针对水基岩屑的</w:t>
            </w:r>
            <w:r>
              <w:rPr>
                <w:rFonts w:hint="default" w:ascii="Times New Roman" w:hAnsi="Times New Roman" w:cs="Times New Roman"/>
                <w:color w:val="000000"/>
                <w:kern w:val="0"/>
                <w:sz w:val="24"/>
                <w:szCs w:val="24"/>
                <w:lang w:val="en-US" w:eastAsia="zh-CN" w:bidi="ar"/>
              </w:rPr>
              <w:t>综合利用</w:t>
            </w:r>
            <w:r>
              <w:rPr>
                <w:rFonts w:hint="default" w:ascii="Times New Roman" w:hAnsi="Times New Roman" w:eastAsia="宋体" w:cs="Times New Roman"/>
                <w:color w:val="000000"/>
                <w:kern w:val="0"/>
                <w:sz w:val="24"/>
                <w:szCs w:val="24"/>
                <w:lang w:val="en-US" w:eastAsia="zh-CN" w:bidi="ar"/>
              </w:rPr>
              <w:t>，不涉及油基岩屑的处理。为确保本项目使用的岩屑为</w:t>
            </w:r>
            <w:r>
              <w:rPr>
                <w:rFonts w:hint="default" w:ascii="Times New Roman" w:hAnsi="Times New Roman" w:cs="Times New Roman"/>
                <w:color w:val="000000"/>
                <w:kern w:val="0"/>
                <w:sz w:val="24"/>
                <w:szCs w:val="24"/>
                <w:lang w:val="en-US" w:eastAsia="zh-CN" w:bidi="ar"/>
              </w:rPr>
              <w:t>空气钻水基岩屑、清水钻水基岩屑、聚合物钻水基岩屑</w:t>
            </w:r>
            <w:r>
              <w:rPr>
                <w:rFonts w:hint="default" w:ascii="Times New Roman" w:hAnsi="Times New Roman" w:eastAsia="宋体" w:cs="Times New Roman"/>
                <w:color w:val="000000"/>
                <w:kern w:val="0"/>
                <w:sz w:val="24"/>
                <w:szCs w:val="24"/>
                <w:lang w:val="en-US" w:eastAsia="zh-CN" w:bidi="ar"/>
              </w:rPr>
              <w:t>，</w:t>
            </w:r>
            <w:r>
              <w:rPr>
                <w:rFonts w:hint="default" w:ascii="Times New Roman" w:hAnsi="Times New Roman" w:eastAsia="宋体" w:cs="Times New Roman"/>
                <w:b/>
                <w:bCs/>
                <w:color w:val="000000"/>
                <w:kern w:val="0"/>
                <w:sz w:val="24"/>
                <w:szCs w:val="24"/>
                <w:lang w:val="en-US" w:eastAsia="zh-CN" w:bidi="ar"/>
              </w:rPr>
              <w:t>本环评提出以下要求：</w:t>
            </w:r>
            <w:r>
              <w:rPr>
                <w:rFonts w:hint="default" w:ascii="Times New Roman" w:hAnsi="Times New Roman" w:eastAsia="宋体" w:cs="Times New Roman"/>
                <w:color w:val="000000"/>
                <w:kern w:val="0"/>
                <w:sz w:val="24"/>
                <w:szCs w:val="24"/>
                <w:lang w:val="en-US" w:eastAsia="zh-CN" w:bidi="ar"/>
              </w:rPr>
              <w:t xml:space="preserve"> </w:t>
            </w:r>
          </w:p>
          <w:p w14:paraId="7DBD99D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color w:val="auto"/>
                <w:sz w:val="24"/>
                <w:szCs w:val="32"/>
              </w:rPr>
            </w:pPr>
            <w:r>
              <w:rPr>
                <w:rFonts w:hint="default" w:ascii="Times New Roman" w:hAnsi="Times New Roman" w:eastAsia="宋体" w:cs="Times New Roman"/>
                <w:color w:val="000000"/>
                <w:kern w:val="0"/>
                <w:sz w:val="24"/>
                <w:szCs w:val="24"/>
                <w:lang w:val="en-US" w:eastAsia="zh-CN" w:bidi="ar"/>
              </w:rPr>
              <w:t>A、</w:t>
            </w:r>
            <w:r>
              <w:rPr>
                <w:rFonts w:hint="default" w:ascii="Times New Roman" w:hAnsi="Times New Roman" w:cs="Times New Roman"/>
                <w:color w:val="auto"/>
                <w:sz w:val="24"/>
                <w:szCs w:val="32"/>
              </w:rPr>
              <w:t>本项目只针对水基岩屑的处理，不涉及油基岩屑的处理。</w:t>
            </w:r>
          </w:p>
          <w:p w14:paraId="1FD78080">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Times New Roman" w:hAnsi="Times New Roman" w:cs="Times New Roman"/>
                <w:color w:val="auto"/>
                <w:sz w:val="24"/>
                <w:szCs w:val="32"/>
                <w:lang w:eastAsia="zh-CN"/>
              </w:rPr>
            </w:pPr>
            <w:r>
              <w:rPr>
                <w:rFonts w:hint="default" w:ascii="Times New Roman" w:hAnsi="Times New Roman" w:cs="Times New Roman"/>
                <w:color w:val="auto"/>
                <w:sz w:val="24"/>
                <w:szCs w:val="32"/>
                <w:lang w:eastAsia="zh-CN"/>
              </w:rPr>
              <w:t>水基岩屑和油基岩屑的区别在于：</w:t>
            </w:r>
            <w:r>
              <w:rPr>
                <w:rFonts w:hint="default" w:ascii="Times New Roman" w:hAnsi="Times New Roman" w:cs="Times New Roman"/>
                <w:color w:val="auto"/>
                <w:sz w:val="24"/>
                <w:szCs w:val="32"/>
              </w:rPr>
              <w:t>油基钻井岩屑</w:t>
            </w:r>
            <w:r>
              <w:rPr>
                <w:rFonts w:hint="default" w:ascii="Times New Roman" w:hAnsi="Times New Roman" w:cs="Times New Roman"/>
                <w:color w:val="auto"/>
                <w:sz w:val="24"/>
                <w:szCs w:val="32"/>
                <w:lang w:eastAsia="zh-CN"/>
              </w:rPr>
              <w:t>外观为黑色，</w:t>
            </w:r>
            <w:r>
              <w:rPr>
                <w:rFonts w:hint="default" w:ascii="Times New Roman" w:hAnsi="Times New Roman" w:cs="Times New Roman"/>
                <w:color w:val="auto"/>
                <w:sz w:val="24"/>
                <w:szCs w:val="32"/>
              </w:rPr>
              <w:t>一般含油率在10%~40%，含水率10%~20%，其中还含有大量的苯系物、酚类、蒽、芘等有恶臭的有毒物质，</w:t>
            </w:r>
            <w:r>
              <w:rPr>
                <w:rFonts w:hint="default" w:ascii="Times New Roman" w:hAnsi="Times New Roman" w:cs="Times New Roman"/>
                <w:color w:val="auto"/>
                <w:sz w:val="24"/>
                <w:szCs w:val="32"/>
                <w:lang w:eastAsia="zh-CN"/>
              </w:rPr>
              <w:t>异味重，</w:t>
            </w:r>
            <w:r>
              <w:rPr>
                <w:rFonts w:hint="default" w:ascii="Times New Roman" w:hAnsi="Times New Roman" w:cs="Times New Roman"/>
                <w:color w:val="auto"/>
                <w:sz w:val="24"/>
                <w:szCs w:val="32"/>
              </w:rPr>
              <w:t>成分比较复杂，属于多相体系，一般由水包油(O/W)、油包水(W/O)以及大量的悬浮固体组成，黏度较大，固相难以彻底沉降。</w:t>
            </w:r>
            <w:r>
              <w:rPr>
                <w:rFonts w:hint="default" w:ascii="Times New Roman" w:hAnsi="Times New Roman" w:cs="Times New Roman"/>
                <w:color w:val="auto"/>
                <w:sz w:val="24"/>
                <w:szCs w:val="32"/>
                <w:lang w:eastAsia="zh-CN"/>
              </w:rPr>
              <w:t>水基岩屑为泥土棕褐色，不含油，且无明显异味。</w:t>
            </w:r>
          </w:p>
          <w:p w14:paraId="744A7DC3">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B、每次运回岩屑时需要明确岩屑性质为水基岩屑，相关负责人签字确认</w:t>
            </w:r>
            <w:r>
              <w:rPr>
                <w:rFonts w:hint="eastAsia" w:cs="Times New Roman"/>
                <w:color w:val="000000"/>
                <w:kern w:val="0"/>
                <w:sz w:val="24"/>
                <w:szCs w:val="24"/>
                <w:lang w:val="en-US" w:eastAsia="zh-CN" w:bidi="ar"/>
              </w:rPr>
              <w:t>。</w:t>
            </w:r>
            <w:r>
              <w:rPr>
                <w:rFonts w:hint="default" w:ascii="Times New Roman" w:hAnsi="Times New Roman" w:eastAsia="宋体" w:cs="Times New Roman"/>
                <w:color w:val="000000"/>
                <w:kern w:val="0"/>
                <w:sz w:val="24"/>
                <w:szCs w:val="24"/>
                <w:lang w:val="en-US" w:eastAsia="zh-CN" w:bidi="ar"/>
              </w:rPr>
              <w:t xml:space="preserve"> </w:t>
            </w:r>
          </w:p>
          <w:p w14:paraId="450A16E3">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Times New Roman" w:hAnsi="Times New Roman" w:cs="Times New Roman"/>
                <w:color w:val="000000"/>
                <w:kern w:val="0"/>
                <w:sz w:val="24"/>
                <w:szCs w:val="24"/>
                <w:lang w:val="en-US" w:eastAsia="zh-CN" w:bidi="ar"/>
              </w:rPr>
            </w:pPr>
            <w:r>
              <w:rPr>
                <w:rFonts w:hint="default" w:ascii="Times New Roman" w:hAnsi="Times New Roman" w:cs="Times New Roman"/>
                <w:color w:val="000000"/>
                <w:kern w:val="0"/>
                <w:sz w:val="24"/>
                <w:szCs w:val="24"/>
                <w:lang w:val="en-US" w:eastAsia="zh-CN" w:bidi="ar"/>
              </w:rPr>
              <w:t>C、本项目来料单位需提供井场环保手续，明确钻井方式。</w:t>
            </w:r>
          </w:p>
          <w:p w14:paraId="32A103D7">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cs="Times New Roman"/>
                <w:color w:val="000000"/>
                <w:kern w:val="0"/>
                <w:sz w:val="24"/>
                <w:szCs w:val="24"/>
                <w:lang w:val="en-US" w:eastAsia="zh-CN" w:bidi="ar"/>
              </w:rPr>
              <w:t>D</w:t>
            </w:r>
            <w:r>
              <w:rPr>
                <w:rFonts w:hint="default" w:ascii="Times New Roman" w:hAnsi="Times New Roman" w:eastAsia="宋体" w:cs="Times New Roman"/>
                <w:color w:val="000000"/>
                <w:kern w:val="0"/>
                <w:sz w:val="24"/>
                <w:szCs w:val="24"/>
                <w:lang w:val="en-US" w:eastAsia="zh-CN" w:bidi="ar"/>
              </w:rPr>
              <w:t>、本项目建设单位需定期对不同来源的水基岩屑进行检测</w:t>
            </w:r>
            <w:r>
              <w:rPr>
                <w:rFonts w:hint="default" w:ascii="Times New Roman" w:hAnsi="Times New Roman" w:cs="Times New Roman"/>
                <w:color w:val="000000"/>
                <w:kern w:val="0"/>
                <w:sz w:val="24"/>
                <w:szCs w:val="24"/>
                <w:lang w:val="en-US" w:eastAsia="zh-CN" w:bidi="ar"/>
              </w:rPr>
              <w:t>；</w:t>
            </w:r>
            <w:r>
              <w:rPr>
                <w:rFonts w:hint="default" w:ascii="Times New Roman" w:hAnsi="Times New Roman" w:eastAsia="宋体" w:cs="Times New Roman"/>
                <w:color w:val="000000"/>
                <w:kern w:val="0"/>
                <w:sz w:val="24"/>
                <w:szCs w:val="24"/>
                <w:lang w:val="en-US" w:eastAsia="zh-CN" w:bidi="ar"/>
              </w:rPr>
              <w:t>若经分析，其来料属危险废物或不适宜于本项目处理，应由来料单位回收，不得在本项目内进行处理。</w:t>
            </w:r>
          </w:p>
          <w:p w14:paraId="1EB9C566">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cs="Times New Roman"/>
                <w:color w:val="000000"/>
                <w:kern w:val="0"/>
                <w:sz w:val="24"/>
                <w:szCs w:val="24"/>
                <w:lang w:val="en-US" w:eastAsia="zh-CN" w:bidi="ar"/>
              </w:rPr>
              <w:t>E</w:t>
            </w:r>
            <w:r>
              <w:rPr>
                <w:rFonts w:hint="default" w:ascii="Times New Roman" w:hAnsi="Times New Roman" w:eastAsia="宋体" w:cs="Times New Roman"/>
                <w:color w:val="000000"/>
                <w:kern w:val="0"/>
                <w:sz w:val="24"/>
                <w:szCs w:val="24"/>
                <w:lang w:val="en-US" w:eastAsia="zh-CN" w:bidi="ar"/>
              </w:rPr>
              <w:t>、钻井工程建设单位负责运输水基岩屑至本项目厂内，采用运输的车辆需为专用厢式全密闭运输车或罐装运输车，选择运输路线短、对沿路影响小的路线，避免装卸、运输途中产生二次污染和可能发生的环境风险。</w:t>
            </w:r>
          </w:p>
          <w:p w14:paraId="3E03E3E8">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Times New Roman" w:hAnsi="Times New Roman" w:eastAsia="宋体" w:cs="Times New Roman"/>
                <w:color w:val="000000"/>
                <w:kern w:val="0"/>
                <w:sz w:val="24"/>
                <w:szCs w:val="24"/>
                <w:lang w:val="en-US" w:eastAsia="zh-CN" w:bidi="ar"/>
              </w:rPr>
            </w:pPr>
            <w:r>
              <w:rPr>
                <w:rFonts w:hint="eastAsia" w:cs="Times New Roman"/>
                <w:color w:val="000000"/>
                <w:kern w:val="0"/>
                <w:sz w:val="24"/>
                <w:szCs w:val="24"/>
                <w:lang w:val="en-US" w:eastAsia="zh-CN" w:bidi="ar"/>
              </w:rPr>
              <w:t>F、</w:t>
            </w:r>
            <w:r>
              <w:rPr>
                <w:rFonts w:hint="default" w:ascii="Times New Roman" w:hAnsi="Times New Roman" w:eastAsia="宋体" w:cs="Times New Roman"/>
                <w:color w:val="000000"/>
                <w:kern w:val="0"/>
                <w:sz w:val="24"/>
                <w:szCs w:val="24"/>
                <w:lang w:val="en-US" w:eastAsia="zh-CN" w:bidi="ar"/>
              </w:rPr>
              <w:t>项目水基岩屑来源不得随意变更，若确需变更，应出具新来源单位对水基岩屑的检测报告，且项目接收的水基岩屑只能用于制备</w:t>
            </w:r>
            <w:r>
              <w:rPr>
                <w:rFonts w:hint="eastAsia" w:cs="Times New Roman"/>
                <w:color w:val="000000"/>
                <w:kern w:val="0"/>
                <w:sz w:val="24"/>
                <w:szCs w:val="24"/>
                <w:lang w:val="en-US" w:eastAsia="zh-CN" w:bidi="ar"/>
              </w:rPr>
              <w:t>水稳层骨料</w:t>
            </w:r>
            <w:r>
              <w:rPr>
                <w:rFonts w:hint="default" w:ascii="Times New Roman" w:hAnsi="Times New Roman" w:eastAsia="宋体" w:cs="Times New Roman"/>
                <w:color w:val="000000"/>
                <w:kern w:val="0"/>
                <w:sz w:val="24"/>
                <w:szCs w:val="24"/>
                <w:lang w:val="en-US" w:eastAsia="zh-CN" w:bidi="ar"/>
              </w:rPr>
              <w:t>，不得另作他用。</w:t>
            </w:r>
          </w:p>
          <w:p w14:paraId="02C0A496">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cs="Times New Roman"/>
                <w:b/>
                <w:bCs/>
                <w:color w:val="000000"/>
                <w:kern w:val="0"/>
                <w:sz w:val="24"/>
                <w:szCs w:val="24"/>
                <w:lang w:val="en-US" w:eastAsia="zh-CN" w:bidi="ar"/>
              </w:rPr>
            </w:pPr>
            <w:r>
              <w:rPr>
                <w:rFonts w:hint="eastAsia" w:cs="Times New Roman"/>
                <w:b/>
                <w:bCs/>
                <w:color w:val="000000"/>
                <w:kern w:val="0"/>
                <w:sz w:val="24"/>
                <w:szCs w:val="24"/>
                <w:lang w:val="en-US" w:eastAsia="zh-CN" w:bidi="ar"/>
              </w:rPr>
              <w:t>（2）热脱附干渣的综合利用方案</w:t>
            </w:r>
          </w:p>
          <w:p w14:paraId="3ADB567E">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cs="Times New Roman"/>
                <w:b/>
                <w:bCs/>
                <w:color w:val="000000"/>
                <w:kern w:val="0"/>
                <w:sz w:val="24"/>
                <w:szCs w:val="24"/>
                <w:lang w:val="en-US" w:eastAsia="zh-CN" w:bidi="ar"/>
              </w:rPr>
            </w:pPr>
            <w:r>
              <w:rPr>
                <w:rFonts w:hint="eastAsia" w:cs="Times New Roman"/>
                <w:b/>
                <w:bCs/>
                <w:color w:val="000000"/>
                <w:kern w:val="0"/>
                <w:sz w:val="24"/>
                <w:szCs w:val="24"/>
                <w:lang w:val="en-US" w:eastAsia="zh-CN" w:bidi="ar"/>
              </w:rPr>
              <w:t>1）本项目热脱附干渣综合利用情况</w:t>
            </w:r>
          </w:p>
          <w:p w14:paraId="46D5477F">
            <w:pPr>
              <w:keepNext w:val="0"/>
              <w:keepLines w:val="0"/>
              <w:pageBreakBefore w:val="0"/>
              <w:numPr>
                <w:ilvl w:val="0"/>
                <w:numId w:val="0"/>
              </w:numPr>
              <w:kinsoku/>
              <w:wordWrap/>
              <w:overflowPunct/>
              <w:topLinePunct w:val="0"/>
              <w:autoSpaceDE/>
              <w:autoSpaceDN/>
              <w:bidi w:val="0"/>
              <w:adjustRightInd/>
              <w:snapToGrid/>
              <w:ind w:firstLine="480" w:firstLineChars="200"/>
              <w:textAlignment w:val="auto"/>
              <w:rPr>
                <w:rFonts w:hint="eastAsia" w:eastAsia="宋体"/>
                <w:color w:val="000000" w:themeColor="text1"/>
                <w:lang w:eastAsia="zh-CN"/>
                <w14:textFill>
                  <w14:solidFill>
                    <w14:schemeClr w14:val="tx1"/>
                  </w14:solidFill>
                </w14:textFill>
              </w:rPr>
            </w:pPr>
            <w:r>
              <w:rPr>
                <w:rFonts w:hint="eastAsia"/>
                <w:color w:val="000000" w:themeColor="text1"/>
                <w14:textFill>
                  <w14:solidFill>
                    <w14:schemeClr w14:val="tx1"/>
                  </w14:solidFill>
                </w14:textFill>
              </w:rPr>
              <w:t>本项目接收的干渣来源于四川安瑞环境治理有限公司连续式热脱附装置生产线产出的干渣，属于处理危险废物“油基岩屑”最终的产出物</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本项目只接收经鉴定为一般固废的热脱附干渣</w:t>
            </w:r>
            <w:r>
              <w:rPr>
                <w:rFonts w:hint="eastAsia"/>
                <w:color w:val="000000" w:themeColor="text1"/>
                <w:lang w:eastAsia="zh-CN"/>
                <w14:textFill>
                  <w14:solidFill>
                    <w14:schemeClr w14:val="tx1"/>
                  </w14:solidFill>
                </w14:textFill>
              </w:rPr>
              <w:t>。</w:t>
            </w:r>
          </w:p>
          <w:p w14:paraId="27A3BD77">
            <w:pPr>
              <w:keepNext w:val="0"/>
              <w:keepLines w:val="0"/>
              <w:pageBreakBefore w:val="0"/>
              <w:numPr>
                <w:ilvl w:val="0"/>
                <w:numId w:val="0"/>
              </w:numPr>
              <w:kinsoku/>
              <w:wordWrap/>
              <w:overflowPunct/>
              <w:topLinePunct w:val="0"/>
              <w:autoSpaceDE/>
              <w:autoSpaceDN/>
              <w:bidi w:val="0"/>
              <w:adjustRightInd/>
              <w:snapToGrid/>
              <w:ind w:firstLine="480" w:firstLineChars="200"/>
              <w:textAlignment w:val="auto"/>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本项目设计最大年综合利用热脱附干渣4.2万t。</w:t>
            </w:r>
          </w:p>
          <w:p w14:paraId="3F823520">
            <w:pPr>
              <w:keepNext w:val="0"/>
              <w:keepLines w:val="0"/>
              <w:pageBreakBefore w:val="0"/>
              <w:numPr>
                <w:ilvl w:val="0"/>
                <w:numId w:val="0"/>
              </w:numPr>
              <w:kinsoku/>
              <w:wordWrap/>
              <w:overflowPunct/>
              <w:topLinePunct w:val="0"/>
              <w:autoSpaceDE/>
              <w:autoSpaceDN/>
              <w:bidi w:val="0"/>
              <w:adjustRightInd/>
              <w:snapToGrid/>
              <w:ind w:firstLine="482" w:firstLineChars="200"/>
              <w:textAlignment w:val="auto"/>
              <w:rPr>
                <w:rFonts w:hint="default"/>
                <w:b/>
                <w:bCs/>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2）热脱附干渣理化性质及综合利用可行性分析</w:t>
            </w:r>
          </w:p>
          <w:p w14:paraId="09BE586E">
            <w:pPr>
              <w:keepNext w:val="0"/>
              <w:keepLines w:val="0"/>
              <w:pageBreakBefore w:val="0"/>
              <w:numPr>
                <w:ilvl w:val="0"/>
                <w:numId w:val="0"/>
              </w:numPr>
              <w:kinsoku/>
              <w:wordWrap/>
              <w:overflowPunct/>
              <w:topLinePunct w:val="0"/>
              <w:autoSpaceDE/>
              <w:autoSpaceDN/>
              <w:bidi w:val="0"/>
              <w:adjustRightInd/>
              <w:snapToGrid/>
              <w:ind w:firstLine="482" w:firstLineChars="200"/>
              <w:textAlignment w:val="auto"/>
              <w:rPr>
                <w:rFonts w:hint="eastAsia"/>
                <w:b/>
                <w:bCs/>
                <w:color w:val="000000" w:themeColor="text1"/>
                <w:lang w:val="en-US" w:eastAsia="zh-CN"/>
                <w14:textFill>
                  <w14:solidFill>
                    <w14:schemeClr w14:val="tx1"/>
                  </w14:solidFill>
                </w14:textFill>
              </w:rPr>
            </w:pPr>
            <w:r>
              <w:rPr>
                <w:rFonts w:hint="eastAsia"/>
                <w:b/>
                <w:bCs/>
                <w:color w:val="000000" w:themeColor="text1"/>
                <w:lang w:eastAsia="zh-CN"/>
                <w14:textFill>
                  <w14:solidFill>
                    <w14:schemeClr w14:val="tx1"/>
                  </w14:solidFill>
                </w14:textFill>
              </w:rPr>
              <w:t>①</w:t>
            </w:r>
            <w:r>
              <w:rPr>
                <w:rFonts w:hint="eastAsia"/>
                <w:b/>
                <w:bCs/>
                <w:color w:val="000000" w:themeColor="text1"/>
                <w:lang w:val="en-US" w:eastAsia="zh-CN"/>
                <w14:textFill>
                  <w14:solidFill>
                    <w14:schemeClr w14:val="tx1"/>
                  </w14:solidFill>
                </w14:textFill>
              </w:rPr>
              <w:t>热脱附干渣的理化性质</w:t>
            </w:r>
          </w:p>
          <w:p w14:paraId="03C5D96C">
            <w:pPr>
              <w:keepNext w:val="0"/>
              <w:keepLines w:val="0"/>
              <w:pageBreakBefore w:val="0"/>
              <w:numPr>
                <w:ilvl w:val="0"/>
                <w:numId w:val="0"/>
              </w:numPr>
              <w:kinsoku/>
              <w:wordWrap/>
              <w:overflowPunct/>
              <w:topLinePunct w:val="0"/>
              <w:autoSpaceDE/>
              <w:autoSpaceDN/>
              <w:bidi w:val="0"/>
              <w:adjustRightInd/>
              <w:snapToGrid/>
              <w:ind w:firstLine="480" w:firstLineChars="200"/>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热脱附干渣</w:t>
            </w:r>
            <w:r>
              <w:rPr>
                <w:rFonts w:hint="eastAsia"/>
                <w:color w:val="000000" w:themeColor="text1"/>
                <w:lang w:val="en-US" w:eastAsia="zh-CN"/>
                <w14:textFill>
                  <w14:solidFill>
                    <w14:schemeClr w14:val="tx1"/>
                  </w14:solidFill>
                </w14:textFill>
              </w:rPr>
              <w:t>来</w:t>
            </w:r>
            <w:r>
              <w:rPr>
                <w:rFonts w:hint="eastAsia"/>
                <w:color w:val="000000" w:themeColor="text1"/>
                <w14:textFill>
                  <w14:solidFill>
                    <w14:schemeClr w14:val="tx1"/>
                  </w14:solidFill>
                </w14:textFill>
              </w:rPr>
              <w:t>源于油</w:t>
            </w:r>
            <w:r>
              <w:rPr>
                <w:rFonts w:hint="eastAsia"/>
                <w:color w:val="000000" w:themeColor="text1"/>
                <w:lang w:val="en-US" w:eastAsia="zh-CN"/>
                <w14:textFill>
                  <w14:solidFill>
                    <w14:schemeClr w14:val="tx1"/>
                  </w14:solidFill>
                </w14:textFill>
              </w:rPr>
              <w:t>基</w:t>
            </w:r>
            <w:r>
              <w:rPr>
                <w:rFonts w:hint="eastAsia"/>
                <w:color w:val="000000" w:themeColor="text1"/>
                <w14:textFill>
                  <w14:solidFill>
                    <w14:schemeClr w14:val="tx1"/>
                  </w14:solidFill>
                </w14:textFill>
              </w:rPr>
              <w:t>钻屑、油基泥浆中的固相成分</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主要</w:t>
            </w:r>
            <w:r>
              <w:rPr>
                <w:rFonts w:hint="eastAsia"/>
                <w:color w:val="000000" w:themeColor="text1"/>
                <w:lang w:val="en-US" w:eastAsia="zh-CN"/>
                <w14:textFill>
                  <w14:solidFill>
                    <w14:schemeClr w14:val="tx1"/>
                  </w14:solidFill>
                </w14:textFill>
              </w:rPr>
              <w:t>有二氧化硅、</w:t>
            </w:r>
            <w:r>
              <w:rPr>
                <w:rFonts w:hint="eastAsia"/>
                <w:color w:val="000000" w:themeColor="text1"/>
                <w14:textFill>
                  <w14:solidFill>
                    <w14:schemeClr w14:val="tx1"/>
                  </w14:solidFill>
                </w14:textFill>
              </w:rPr>
              <w:t>三氧化二铁、三氧化二铝等，回收的干渣含油率&lt;0.3%。热脱附干渣去向可对应《天然气开采含油污泥综合利用后剩余固相利用处置标准》</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DB51/T2850-2021</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中“铺垫井场和井场道路</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制烧结砖、烧结陶粒或作为井场地坪及井场道路混凝土掺配料</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水泥窑协同处置”，本项目作为水稳料</w:t>
            </w:r>
            <w:r>
              <w:rPr>
                <w:rFonts w:hint="eastAsia"/>
                <w:color w:val="000000" w:themeColor="text1"/>
                <w:lang w:val="en-US" w:eastAsia="zh-CN"/>
                <w14:textFill>
                  <w14:solidFill>
                    <w14:schemeClr w14:val="tx1"/>
                  </w14:solidFill>
                </w14:textFill>
              </w:rPr>
              <w:t>骨料</w:t>
            </w:r>
            <w:r>
              <w:rPr>
                <w:rFonts w:hint="eastAsia"/>
                <w:color w:val="000000" w:themeColor="text1"/>
                <w14:textFill>
                  <w14:solidFill>
                    <w14:schemeClr w14:val="tx1"/>
                  </w14:solidFill>
                </w14:textFill>
              </w:rPr>
              <w:t>生产使用，根据《天然气开采含油污泥综合利用后剩余固相利用处置标准》</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DB51/T2850-2021</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要求</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作为烧结砖、烧结逃离原料的剩余固......掺烧比例不应大于25%</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质量百分含量</w:t>
            </w:r>
            <w:r>
              <w:rPr>
                <w:rFonts w:hint="eastAsia"/>
                <w:color w:val="000000" w:themeColor="text1"/>
                <w:lang w:eastAsia="zh-CN"/>
                <w14:textFill>
                  <w14:solidFill>
                    <w14:schemeClr w14:val="tx1"/>
                  </w14:solidFill>
                </w14:textFill>
              </w:rPr>
              <w:t>）”。</w:t>
            </w:r>
          </w:p>
          <w:p w14:paraId="27302E78">
            <w:pPr>
              <w:keepNext w:val="0"/>
              <w:keepLines w:val="0"/>
              <w:pageBreakBefore w:val="0"/>
              <w:numPr>
                <w:ilvl w:val="0"/>
                <w:numId w:val="0"/>
              </w:numPr>
              <w:kinsoku/>
              <w:wordWrap/>
              <w:overflowPunct/>
              <w:topLinePunct w:val="0"/>
              <w:autoSpaceDE/>
              <w:autoSpaceDN/>
              <w:bidi w:val="0"/>
              <w:adjustRightInd/>
              <w:snapToGrid/>
              <w:ind w:firstLine="480" w:firstLineChars="200"/>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四川安瑞环境治理有限公司于2024年3月委托四川科正检测技术有限公司编制了“泸县油基钻屑及含油废弃物资源化利用项目干渣”危险特性鉴别报告，并邀约行业专家召开了评审会议，形成了“专家评审意见”，本项目引用其危险特性鉴别报告结论及专家评审意见</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详见附件</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，本项目接收的连续式热脱附装置生产线产出的干渣</w:t>
            </w:r>
            <w:r>
              <w:rPr>
                <w:rFonts w:hint="eastAsia"/>
                <w:b/>
                <w:bCs/>
                <w:color w:val="000000" w:themeColor="text1"/>
                <w:lang w:val="en-US" w:eastAsia="zh-CN"/>
                <w14:textFill>
                  <w14:solidFill>
                    <w14:schemeClr w14:val="tx1"/>
                  </w14:solidFill>
                </w14:textFill>
              </w:rPr>
              <w:t>经鉴定</w:t>
            </w:r>
            <w:r>
              <w:rPr>
                <w:rFonts w:hint="eastAsia"/>
                <w:b/>
                <w:bCs/>
                <w:color w:val="000000" w:themeColor="text1"/>
                <w14:textFill>
                  <w14:solidFill>
                    <w14:schemeClr w14:val="tx1"/>
                  </w14:solidFill>
                </w14:textFill>
              </w:rPr>
              <w:t>属于一般固体废物</w:t>
            </w:r>
            <w:r>
              <w:rPr>
                <w:rFonts w:hint="eastAsia"/>
                <w:color w:val="000000" w:themeColor="text1"/>
                <w14:textFill>
                  <w14:solidFill>
                    <w14:schemeClr w14:val="tx1"/>
                  </w14:solidFill>
                </w14:textFill>
              </w:rPr>
              <w:t>。根据国科质量检验研究院出具的测试报告</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报告编号</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CR132407WQ00288</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，油基岩屑热脱附干渣成分如下，各项指标均满足</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天然气开采含油污泥综合利用后剩余固相利用处置标准》</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DB51/T2850-2021</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要求。</w:t>
            </w:r>
          </w:p>
          <w:p w14:paraId="0646C260">
            <w:pPr>
              <w:spacing w:before="107" w:line="220" w:lineRule="auto"/>
              <w:ind w:left="2349"/>
              <w:rPr>
                <w:rFonts w:ascii="宋体" w:hAnsi="宋体" w:eastAsia="宋体" w:cs="宋体"/>
                <w:color w:val="000000" w:themeColor="text1"/>
                <w:sz w:val="21"/>
                <w:szCs w:val="21"/>
                <w14:textFill>
                  <w14:solidFill>
                    <w14:schemeClr w14:val="tx1"/>
                  </w14:solidFill>
                </w14:textFill>
              </w:rPr>
            </w:pPr>
            <w:r>
              <w:rPr>
                <w:rFonts w:ascii="宋体" w:hAnsi="宋体" w:eastAsia="宋体" w:cs="宋体"/>
                <w:b/>
                <w:bCs/>
                <w:color w:val="000000" w:themeColor="text1"/>
                <w:spacing w:val="-2"/>
                <w:sz w:val="21"/>
                <w:szCs w:val="21"/>
                <w14:textFill>
                  <w14:solidFill>
                    <w14:schemeClr w14:val="tx1"/>
                  </w14:solidFill>
                </w14:textFill>
              </w:rPr>
              <w:t>表</w:t>
            </w:r>
            <w:r>
              <w:rPr>
                <w:rFonts w:hint="eastAsia" w:cs="Times New Roman"/>
                <w:b/>
                <w:bCs/>
                <w:color w:val="000000" w:themeColor="text1"/>
                <w:spacing w:val="-2"/>
                <w:sz w:val="21"/>
                <w:szCs w:val="21"/>
                <w:lang w:val="en-US" w:eastAsia="zh-CN"/>
                <w14:textFill>
                  <w14:solidFill>
                    <w14:schemeClr w14:val="tx1"/>
                  </w14:solidFill>
                </w14:textFill>
              </w:rPr>
              <w:t>2-6</w:t>
            </w:r>
            <w:r>
              <w:rPr>
                <w:rFonts w:ascii="Times New Roman" w:hAnsi="Times New Roman" w:eastAsia="Times New Roman" w:cs="Times New Roman"/>
                <w:b/>
                <w:bCs/>
                <w:color w:val="000000" w:themeColor="text1"/>
                <w:spacing w:val="-2"/>
                <w:sz w:val="21"/>
                <w:szCs w:val="21"/>
                <w14:textFill>
                  <w14:solidFill>
                    <w14:schemeClr w14:val="tx1"/>
                  </w14:solidFill>
                </w14:textFill>
              </w:rPr>
              <w:t xml:space="preserve"> </w:t>
            </w:r>
            <w:r>
              <w:rPr>
                <w:rFonts w:ascii="宋体" w:hAnsi="宋体" w:eastAsia="宋体" w:cs="宋体"/>
                <w:b/>
                <w:bCs/>
                <w:color w:val="000000" w:themeColor="text1"/>
                <w:spacing w:val="-2"/>
                <w:sz w:val="21"/>
                <w:szCs w:val="21"/>
                <w14:textFill>
                  <w14:solidFill>
                    <w14:schemeClr w14:val="tx1"/>
                  </w14:solidFill>
                </w14:textFill>
              </w:rPr>
              <w:t>热脱附干渣成分检测结果</w:t>
            </w:r>
          </w:p>
          <w:tbl>
            <w:tblPr>
              <w:tblStyle w:val="48"/>
              <w:tblW w:w="4998"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2325"/>
              <w:gridCol w:w="2320"/>
              <w:gridCol w:w="2320"/>
              <w:gridCol w:w="2325"/>
            </w:tblGrid>
            <w:tr w14:paraId="6B7994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trPr>
              <w:tc>
                <w:tcPr>
                  <w:tcW w:w="1251" w:type="pct"/>
                  <w:tcBorders>
                    <w:left w:val="single" w:color="000000" w:sz="6" w:space="0"/>
                    <w:right w:val="single" w:color="000000" w:sz="8" w:space="0"/>
                  </w:tcBorders>
                  <w:vAlign w:val="center"/>
                </w:tcPr>
                <w:p w14:paraId="32ADF742">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pacing w:val="-5"/>
                      <w:sz w:val="21"/>
                      <w:szCs w:val="21"/>
                      <w14:textFill>
                        <w14:solidFill>
                          <w14:schemeClr w14:val="tx1"/>
                        </w14:solidFill>
                      </w14:textFill>
                    </w:rPr>
                    <w:t>序号</w:t>
                  </w:r>
                </w:p>
              </w:tc>
              <w:tc>
                <w:tcPr>
                  <w:tcW w:w="1248" w:type="pct"/>
                  <w:tcBorders>
                    <w:left w:val="single" w:color="000000" w:sz="8" w:space="0"/>
                    <w:right w:val="single" w:color="000000" w:sz="8" w:space="0"/>
                  </w:tcBorders>
                  <w:vAlign w:val="center"/>
                </w:tcPr>
                <w:p w14:paraId="050F2E07">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pacing w:val="-4"/>
                      <w:sz w:val="21"/>
                      <w:szCs w:val="21"/>
                      <w14:textFill>
                        <w14:solidFill>
                          <w14:schemeClr w14:val="tx1"/>
                        </w14:solidFill>
                      </w14:textFill>
                    </w:rPr>
                    <w:t>测试项目</w:t>
                  </w:r>
                </w:p>
              </w:tc>
              <w:tc>
                <w:tcPr>
                  <w:tcW w:w="1248" w:type="pct"/>
                  <w:tcBorders>
                    <w:left w:val="single" w:color="000000" w:sz="8" w:space="0"/>
                    <w:right w:val="single" w:color="000000" w:sz="8" w:space="0"/>
                  </w:tcBorders>
                  <w:vAlign w:val="center"/>
                </w:tcPr>
                <w:p w14:paraId="0609C9D1">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pacing w:val="-4"/>
                      <w:sz w:val="21"/>
                      <w:szCs w:val="21"/>
                      <w14:textFill>
                        <w14:solidFill>
                          <w14:schemeClr w14:val="tx1"/>
                        </w14:solidFill>
                      </w14:textFill>
                    </w:rPr>
                    <w:t>测试结果</w:t>
                  </w:r>
                </w:p>
              </w:tc>
              <w:tc>
                <w:tcPr>
                  <w:tcW w:w="1251" w:type="pct"/>
                  <w:tcBorders>
                    <w:left w:val="single" w:color="000000" w:sz="8" w:space="0"/>
                    <w:bottom w:val="single" w:color="000000" w:sz="6" w:space="0"/>
                  </w:tcBorders>
                  <w:vAlign w:val="center"/>
                </w:tcPr>
                <w:p w14:paraId="12E0C04C">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pacing w:val="-6"/>
                      <w:sz w:val="21"/>
                      <w:szCs w:val="21"/>
                      <w14:textFill>
                        <w14:solidFill>
                          <w14:schemeClr w14:val="tx1"/>
                        </w14:solidFill>
                      </w14:textFill>
                    </w:rPr>
                    <w:t>单位</w:t>
                  </w:r>
                </w:p>
              </w:tc>
            </w:tr>
            <w:tr w14:paraId="457C25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trPr>
              <w:tc>
                <w:tcPr>
                  <w:tcW w:w="1251" w:type="pct"/>
                  <w:tcBorders>
                    <w:left w:val="single" w:color="000000" w:sz="6" w:space="0"/>
                    <w:right w:val="single" w:color="000000" w:sz="8" w:space="0"/>
                  </w:tcBorders>
                  <w:vAlign w:val="center"/>
                </w:tcPr>
                <w:p w14:paraId="3E3AF2CD">
                  <w:pPr>
                    <w:pStyle w:val="49"/>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spacing w:val="4"/>
                      <w14:textFill>
                        <w14:solidFill>
                          <w14:schemeClr w14:val="tx1"/>
                        </w14:solidFill>
                      </w14:textFill>
                    </w:rPr>
                    <w:t>1</w:t>
                  </w:r>
                </w:p>
              </w:tc>
              <w:tc>
                <w:tcPr>
                  <w:tcW w:w="1248" w:type="pct"/>
                  <w:tcBorders>
                    <w:left w:val="single" w:color="000000" w:sz="8" w:space="0"/>
                    <w:right w:val="single" w:color="000000" w:sz="8" w:space="0"/>
                  </w:tcBorders>
                  <w:vAlign w:val="center"/>
                </w:tcPr>
                <w:p w14:paraId="5F942999">
                  <w:pPr>
                    <w:pStyle w:val="49"/>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eastAsia="宋体" w:cs="Times New Roman"/>
                      <w:b w:val="0"/>
                      <w:bCs w:val="0"/>
                      <w:color w:val="000000" w:themeColor="text1"/>
                      <w:spacing w:val="-4"/>
                      <w14:textFill>
                        <w14:solidFill>
                          <w14:schemeClr w14:val="tx1"/>
                        </w14:solidFill>
                      </w14:textFill>
                    </w:rPr>
                    <w:t>灼烧减量</w:t>
                  </w:r>
                  <w:r>
                    <w:rPr>
                      <w:rFonts w:hint="default" w:ascii="Times New Roman" w:hAnsi="Times New Roman" w:eastAsia="宋体" w:cs="Times New Roman"/>
                      <w:b w:val="0"/>
                      <w:bCs w:val="0"/>
                      <w:color w:val="000000" w:themeColor="text1"/>
                      <w:spacing w:val="-44"/>
                      <w14:textFill>
                        <w14:solidFill>
                          <w14:schemeClr w14:val="tx1"/>
                        </w14:solidFill>
                      </w14:textFill>
                    </w:rPr>
                    <w:t xml:space="preserve"> </w:t>
                  </w:r>
                  <w:r>
                    <w:rPr>
                      <w:rFonts w:hint="default" w:ascii="Times New Roman" w:hAnsi="Times New Roman" w:cs="Times New Roman"/>
                      <w:b w:val="0"/>
                      <w:bCs w:val="0"/>
                      <w:color w:val="000000" w:themeColor="text1"/>
                      <w:spacing w:val="-4"/>
                      <w14:textFill>
                        <w14:solidFill>
                          <w14:schemeClr w14:val="tx1"/>
                        </w14:solidFill>
                      </w14:textFill>
                    </w:rPr>
                    <w:t>LOSS</w:t>
                  </w:r>
                </w:p>
              </w:tc>
              <w:tc>
                <w:tcPr>
                  <w:tcW w:w="1248" w:type="pct"/>
                  <w:tcBorders>
                    <w:left w:val="single" w:color="000000" w:sz="8" w:space="0"/>
                    <w:right w:val="single" w:color="000000" w:sz="8" w:space="0"/>
                  </w:tcBorders>
                  <w:vAlign w:val="center"/>
                </w:tcPr>
                <w:p w14:paraId="1337795D">
                  <w:pPr>
                    <w:pStyle w:val="49"/>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spacing w:val="2"/>
                      <w14:textFill>
                        <w14:solidFill>
                          <w14:schemeClr w14:val="tx1"/>
                        </w14:solidFill>
                      </w14:textFill>
                    </w:rPr>
                    <w:t>8.71</w:t>
                  </w:r>
                </w:p>
              </w:tc>
              <w:tc>
                <w:tcPr>
                  <w:tcW w:w="1251" w:type="pct"/>
                  <w:tcBorders>
                    <w:left w:val="single" w:color="000000" w:sz="8" w:space="0"/>
                    <w:bottom w:val="single" w:color="000000" w:sz="6" w:space="0"/>
                  </w:tcBorders>
                  <w:vAlign w:val="center"/>
                </w:tcPr>
                <w:p w14:paraId="3F3D2019">
                  <w:pPr>
                    <w:pStyle w:val="49"/>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14:textFill>
                        <w14:solidFill>
                          <w14:schemeClr w14:val="tx1"/>
                        </w14:solidFill>
                      </w14:textFill>
                    </w:rPr>
                    <w:t>%</w:t>
                  </w:r>
                </w:p>
              </w:tc>
            </w:tr>
            <w:tr w14:paraId="42CD68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trPr>
              <w:tc>
                <w:tcPr>
                  <w:tcW w:w="1251" w:type="pct"/>
                  <w:tcBorders>
                    <w:left w:val="single" w:color="000000" w:sz="6" w:space="0"/>
                    <w:right w:val="single" w:color="000000" w:sz="8" w:space="0"/>
                  </w:tcBorders>
                  <w:vAlign w:val="center"/>
                </w:tcPr>
                <w:p w14:paraId="5A9086E2">
                  <w:pPr>
                    <w:pStyle w:val="49"/>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14:textFill>
                        <w14:solidFill>
                          <w14:schemeClr w14:val="tx1"/>
                        </w14:solidFill>
                      </w14:textFill>
                    </w:rPr>
                    <w:t>2</w:t>
                  </w:r>
                </w:p>
              </w:tc>
              <w:tc>
                <w:tcPr>
                  <w:tcW w:w="1248" w:type="pct"/>
                  <w:tcBorders>
                    <w:left w:val="single" w:color="000000" w:sz="8" w:space="0"/>
                    <w:right w:val="single" w:color="000000" w:sz="8" w:space="0"/>
                  </w:tcBorders>
                  <w:vAlign w:val="center"/>
                </w:tcPr>
                <w:p w14:paraId="5D69E8EE">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pacing w:val="-4"/>
                      <w:sz w:val="21"/>
                      <w:szCs w:val="21"/>
                      <w14:textFill>
                        <w14:solidFill>
                          <w14:schemeClr w14:val="tx1"/>
                        </w14:solidFill>
                      </w14:textFill>
                    </w:rPr>
                    <w:t>三氧化二铝</w:t>
                  </w:r>
                </w:p>
              </w:tc>
              <w:tc>
                <w:tcPr>
                  <w:tcW w:w="1248" w:type="pct"/>
                  <w:tcBorders>
                    <w:left w:val="single" w:color="000000" w:sz="8" w:space="0"/>
                    <w:right w:val="single" w:color="000000" w:sz="8" w:space="0"/>
                  </w:tcBorders>
                  <w:vAlign w:val="center"/>
                </w:tcPr>
                <w:p w14:paraId="5DB97692">
                  <w:pPr>
                    <w:pStyle w:val="49"/>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spacing w:val="2"/>
                      <w14:textFill>
                        <w14:solidFill>
                          <w14:schemeClr w14:val="tx1"/>
                        </w14:solidFill>
                      </w14:textFill>
                    </w:rPr>
                    <w:t>2.73</w:t>
                  </w:r>
                </w:p>
              </w:tc>
              <w:tc>
                <w:tcPr>
                  <w:tcW w:w="1251" w:type="pct"/>
                  <w:tcBorders>
                    <w:left w:val="single" w:color="000000" w:sz="8" w:space="0"/>
                    <w:bottom w:val="single" w:color="000000" w:sz="6" w:space="0"/>
                  </w:tcBorders>
                  <w:vAlign w:val="center"/>
                </w:tcPr>
                <w:p w14:paraId="38BA0177">
                  <w:pPr>
                    <w:pStyle w:val="49"/>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14:textFill>
                        <w14:solidFill>
                          <w14:schemeClr w14:val="tx1"/>
                        </w14:solidFill>
                      </w14:textFill>
                    </w:rPr>
                    <w:t>%</w:t>
                  </w:r>
                </w:p>
              </w:tc>
            </w:tr>
            <w:tr w14:paraId="6EBD03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trPr>
              <w:tc>
                <w:tcPr>
                  <w:tcW w:w="1251" w:type="pct"/>
                  <w:tcBorders>
                    <w:left w:val="single" w:color="000000" w:sz="6" w:space="0"/>
                    <w:right w:val="single" w:color="000000" w:sz="8" w:space="0"/>
                  </w:tcBorders>
                  <w:vAlign w:val="center"/>
                </w:tcPr>
                <w:p w14:paraId="3D41D584">
                  <w:pPr>
                    <w:pStyle w:val="49"/>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spacing w:val="1"/>
                      <w14:textFill>
                        <w14:solidFill>
                          <w14:schemeClr w14:val="tx1"/>
                        </w14:solidFill>
                      </w14:textFill>
                    </w:rPr>
                    <w:t>3</w:t>
                  </w:r>
                </w:p>
              </w:tc>
              <w:tc>
                <w:tcPr>
                  <w:tcW w:w="1248" w:type="pct"/>
                  <w:tcBorders>
                    <w:left w:val="single" w:color="000000" w:sz="8" w:space="0"/>
                    <w:right w:val="single" w:color="000000" w:sz="8" w:space="0"/>
                  </w:tcBorders>
                  <w:vAlign w:val="center"/>
                </w:tcPr>
                <w:p w14:paraId="1831335D">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pacing w:val="-5"/>
                      <w:sz w:val="21"/>
                      <w:szCs w:val="21"/>
                      <w14:textFill>
                        <w14:solidFill>
                          <w14:schemeClr w14:val="tx1"/>
                        </w14:solidFill>
                      </w14:textFill>
                    </w:rPr>
                    <w:t>二氧化硅</w:t>
                  </w:r>
                </w:p>
              </w:tc>
              <w:tc>
                <w:tcPr>
                  <w:tcW w:w="1248" w:type="pct"/>
                  <w:tcBorders>
                    <w:left w:val="single" w:color="000000" w:sz="8" w:space="0"/>
                    <w:right w:val="single" w:color="000000" w:sz="8" w:space="0"/>
                  </w:tcBorders>
                  <w:vAlign w:val="center"/>
                </w:tcPr>
                <w:p w14:paraId="3409BA1E">
                  <w:pPr>
                    <w:pStyle w:val="49"/>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spacing w:val="2"/>
                      <w14:textFill>
                        <w14:solidFill>
                          <w14:schemeClr w14:val="tx1"/>
                        </w14:solidFill>
                      </w14:textFill>
                    </w:rPr>
                    <w:t>17.36</w:t>
                  </w:r>
                </w:p>
              </w:tc>
              <w:tc>
                <w:tcPr>
                  <w:tcW w:w="1251" w:type="pct"/>
                  <w:tcBorders>
                    <w:left w:val="single" w:color="000000" w:sz="8" w:space="0"/>
                    <w:bottom w:val="single" w:color="000000" w:sz="6" w:space="0"/>
                  </w:tcBorders>
                  <w:vAlign w:val="center"/>
                </w:tcPr>
                <w:p w14:paraId="0F365215">
                  <w:pPr>
                    <w:pStyle w:val="49"/>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14:textFill>
                        <w14:solidFill>
                          <w14:schemeClr w14:val="tx1"/>
                        </w14:solidFill>
                      </w14:textFill>
                    </w:rPr>
                    <w:t>%</w:t>
                  </w:r>
                </w:p>
              </w:tc>
            </w:tr>
            <w:tr w14:paraId="6BBFA1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trPr>
              <w:tc>
                <w:tcPr>
                  <w:tcW w:w="1251" w:type="pct"/>
                  <w:tcBorders>
                    <w:left w:val="single" w:color="000000" w:sz="6" w:space="0"/>
                    <w:right w:val="single" w:color="000000" w:sz="8" w:space="0"/>
                  </w:tcBorders>
                  <w:vAlign w:val="center"/>
                </w:tcPr>
                <w:p w14:paraId="436BD1F0">
                  <w:pPr>
                    <w:pStyle w:val="49"/>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14:textFill>
                        <w14:solidFill>
                          <w14:schemeClr w14:val="tx1"/>
                        </w14:solidFill>
                      </w14:textFill>
                    </w:rPr>
                    <w:t>4</w:t>
                  </w:r>
                </w:p>
              </w:tc>
              <w:tc>
                <w:tcPr>
                  <w:tcW w:w="1248" w:type="pct"/>
                  <w:tcBorders>
                    <w:left w:val="single" w:color="000000" w:sz="8" w:space="0"/>
                    <w:right w:val="single" w:color="000000" w:sz="8" w:space="0"/>
                  </w:tcBorders>
                  <w:vAlign w:val="center"/>
                </w:tcPr>
                <w:p w14:paraId="16A7A186">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pacing w:val="-4"/>
                      <w:sz w:val="21"/>
                      <w:szCs w:val="21"/>
                      <w14:textFill>
                        <w14:solidFill>
                          <w14:schemeClr w14:val="tx1"/>
                        </w14:solidFill>
                      </w14:textFill>
                    </w:rPr>
                    <w:t>三氧化二铁</w:t>
                  </w:r>
                </w:p>
              </w:tc>
              <w:tc>
                <w:tcPr>
                  <w:tcW w:w="1248" w:type="pct"/>
                  <w:tcBorders>
                    <w:left w:val="single" w:color="000000" w:sz="8" w:space="0"/>
                    <w:right w:val="single" w:color="000000" w:sz="8" w:space="0"/>
                  </w:tcBorders>
                  <w:vAlign w:val="center"/>
                </w:tcPr>
                <w:p w14:paraId="34EA3B4E">
                  <w:pPr>
                    <w:pStyle w:val="49"/>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spacing w:val="-6"/>
                      <w14:textFill>
                        <w14:solidFill>
                          <w14:schemeClr w14:val="tx1"/>
                        </w14:solidFill>
                      </w14:textFill>
                    </w:rPr>
                    <w:t>2.06</w:t>
                  </w:r>
                </w:p>
              </w:tc>
              <w:tc>
                <w:tcPr>
                  <w:tcW w:w="1251" w:type="pct"/>
                  <w:tcBorders>
                    <w:left w:val="single" w:color="000000" w:sz="8" w:space="0"/>
                    <w:bottom w:val="single" w:color="000000" w:sz="6" w:space="0"/>
                  </w:tcBorders>
                  <w:vAlign w:val="center"/>
                </w:tcPr>
                <w:p w14:paraId="0BBF6B06">
                  <w:pPr>
                    <w:pStyle w:val="49"/>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14:textFill>
                        <w14:solidFill>
                          <w14:schemeClr w14:val="tx1"/>
                        </w14:solidFill>
                      </w14:textFill>
                    </w:rPr>
                    <w:t>%</w:t>
                  </w:r>
                </w:p>
              </w:tc>
            </w:tr>
            <w:tr w14:paraId="3FF370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trPr>
              <w:tc>
                <w:tcPr>
                  <w:tcW w:w="1251" w:type="pct"/>
                  <w:tcBorders>
                    <w:left w:val="single" w:color="000000" w:sz="6" w:space="0"/>
                    <w:right w:val="single" w:color="000000" w:sz="8" w:space="0"/>
                  </w:tcBorders>
                  <w:vAlign w:val="center"/>
                </w:tcPr>
                <w:p w14:paraId="12C71DCB">
                  <w:pPr>
                    <w:pStyle w:val="49"/>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14:textFill>
                        <w14:solidFill>
                          <w14:schemeClr w14:val="tx1"/>
                        </w14:solidFill>
                      </w14:textFill>
                    </w:rPr>
                    <w:t>5</w:t>
                  </w:r>
                </w:p>
              </w:tc>
              <w:tc>
                <w:tcPr>
                  <w:tcW w:w="1248" w:type="pct"/>
                  <w:tcBorders>
                    <w:left w:val="single" w:color="000000" w:sz="8" w:space="0"/>
                    <w:right w:val="single" w:color="000000" w:sz="8" w:space="0"/>
                  </w:tcBorders>
                  <w:vAlign w:val="center"/>
                </w:tcPr>
                <w:p w14:paraId="2AC0812B">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pacing w:val="-5"/>
                      <w:sz w:val="21"/>
                      <w:szCs w:val="21"/>
                      <w14:textFill>
                        <w14:solidFill>
                          <w14:schemeClr w14:val="tx1"/>
                        </w14:solidFill>
                      </w14:textFill>
                    </w:rPr>
                    <w:t>氧化钙</w:t>
                  </w:r>
                </w:p>
              </w:tc>
              <w:tc>
                <w:tcPr>
                  <w:tcW w:w="1248" w:type="pct"/>
                  <w:tcBorders>
                    <w:left w:val="single" w:color="000000" w:sz="8" w:space="0"/>
                    <w:right w:val="single" w:color="000000" w:sz="8" w:space="0"/>
                  </w:tcBorders>
                  <w:vAlign w:val="center"/>
                </w:tcPr>
                <w:p w14:paraId="31FE4271">
                  <w:pPr>
                    <w:pStyle w:val="49"/>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spacing w:val="2"/>
                      <w14:textFill>
                        <w14:solidFill>
                          <w14:schemeClr w14:val="tx1"/>
                        </w14:solidFill>
                      </w14:textFill>
                    </w:rPr>
                    <w:t>7.61</w:t>
                  </w:r>
                </w:p>
              </w:tc>
              <w:tc>
                <w:tcPr>
                  <w:tcW w:w="1251" w:type="pct"/>
                  <w:tcBorders>
                    <w:left w:val="single" w:color="000000" w:sz="8" w:space="0"/>
                    <w:bottom w:val="single" w:color="000000" w:sz="6" w:space="0"/>
                  </w:tcBorders>
                  <w:vAlign w:val="center"/>
                </w:tcPr>
                <w:p w14:paraId="7F03E97D">
                  <w:pPr>
                    <w:pStyle w:val="49"/>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14:textFill>
                        <w14:solidFill>
                          <w14:schemeClr w14:val="tx1"/>
                        </w14:solidFill>
                      </w14:textFill>
                    </w:rPr>
                    <w:t>%</w:t>
                  </w:r>
                </w:p>
              </w:tc>
            </w:tr>
            <w:tr w14:paraId="6BD843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trPr>
              <w:tc>
                <w:tcPr>
                  <w:tcW w:w="1251" w:type="pct"/>
                  <w:tcBorders>
                    <w:left w:val="single" w:color="000000" w:sz="6" w:space="0"/>
                    <w:right w:val="single" w:color="000000" w:sz="8" w:space="0"/>
                  </w:tcBorders>
                  <w:vAlign w:val="center"/>
                </w:tcPr>
                <w:p w14:paraId="27AF2A1F">
                  <w:pPr>
                    <w:pStyle w:val="49"/>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14:textFill>
                        <w14:solidFill>
                          <w14:schemeClr w14:val="tx1"/>
                        </w14:solidFill>
                      </w14:textFill>
                    </w:rPr>
                    <w:t>6</w:t>
                  </w:r>
                </w:p>
              </w:tc>
              <w:tc>
                <w:tcPr>
                  <w:tcW w:w="1248" w:type="pct"/>
                  <w:tcBorders>
                    <w:left w:val="single" w:color="000000" w:sz="8" w:space="0"/>
                    <w:right w:val="single" w:color="000000" w:sz="8" w:space="0"/>
                  </w:tcBorders>
                  <w:vAlign w:val="center"/>
                </w:tcPr>
                <w:p w14:paraId="44E1D8DE">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pacing w:val="-5"/>
                      <w:sz w:val="21"/>
                      <w:szCs w:val="21"/>
                      <w14:textFill>
                        <w14:solidFill>
                          <w14:schemeClr w14:val="tx1"/>
                        </w14:solidFill>
                      </w14:textFill>
                    </w:rPr>
                    <w:t>氧化镁</w:t>
                  </w:r>
                </w:p>
              </w:tc>
              <w:tc>
                <w:tcPr>
                  <w:tcW w:w="1248" w:type="pct"/>
                  <w:tcBorders>
                    <w:left w:val="single" w:color="000000" w:sz="8" w:space="0"/>
                    <w:right w:val="single" w:color="000000" w:sz="8" w:space="0"/>
                  </w:tcBorders>
                  <w:vAlign w:val="center"/>
                </w:tcPr>
                <w:p w14:paraId="100404F0">
                  <w:pPr>
                    <w:pStyle w:val="49"/>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spacing w:val="-9"/>
                      <w14:textFill>
                        <w14:solidFill>
                          <w14:schemeClr w14:val="tx1"/>
                        </w14:solidFill>
                      </w14:textFill>
                    </w:rPr>
                    <w:t>0.82</w:t>
                  </w:r>
                </w:p>
              </w:tc>
              <w:tc>
                <w:tcPr>
                  <w:tcW w:w="1251" w:type="pct"/>
                  <w:tcBorders>
                    <w:left w:val="single" w:color="000000" w:sz="8" w:space="0"/>
                    <w:bottom w:val="single" w:color="000000" w:sz="6" w:space="0"/>
                  </w:tcBorders>
                  <w:vAlign w:val="center"/>
                </w:tcPr>
                <w:p w14:paraId="4C423D67">
                  <w:pPr>
                    <w:pStyle w:val="49"/>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14:textFill>
                        <w14:solidFill>
                          <w14:schemeClr w14:val="tx1"/>
                        </w14:solidFill>
                      </w14:textFill>
                    </w:rPr>
                    <w:t>%</w:t>
                  </w:r>
                </w:p>
              </w:tc>
            </w:tr>
            <w:tr w14:paraId="10FFBC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trPr>
              <w:tc>
                <w:tcPr>
                  <w:tcW w:w="1251" w:type="pct"/>
                  <w:tcBorders>
                    <w:left w:val="single" w:color="000000" w:sz="6" w:space="0"/>
                    <w:right w:val="single" w:color="000000" w:sz="8" w:space="0"/>
                  </w:tcBorders>
                  <w:vAlign w:val="center"/>
                </w:tcPr>
                <w:p w14:paraId="05C99C41">
                  <w:pPr>
                    <w:pStyle w:val="49"/>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14:textFill>
                        <w14:solidFill>
                          <w14:schemeClr w14:val="tx1"/>
                        </w14:solidFill>
                      </w14:textFill>
                    </w:rPr>
                    <w:t>7</w:t>
                  </w:r>
                </w:p>
              </w:tc>
              <w:tc>
                <w:tcPr>
                  <w:tcW w:w="1248" w:type="pct"/>
                  <w:tcBorders>
                    <w:left w:val="single" w:color="000000" w:sz="8" w:space="0"/>
                    <w:right w:val="single" w:color="000000" w:sz="8" w:space="0"/>
                  </w:tcBorders>
                  <w:vAlign w:val="center"/>
                </w:tcPr>
                <w:p w14:paraId="602103C0">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pacing w:val="-5"/>
                      <w:sz w:val="21"/>
                      <w:szCs w:val="21"/>
                      <w14:textFill>
                        <w14:solidFill>
                          <w14:schemeClr w14:val="tx1"/>
                        </w14:solidFill>
                      </w14:textFill>
                    </w:rPr>
                    <w:t>氧化钾</w:t>
                  </w:r>
                </w:p>
              </w:tc>
              <w:tc>
                <w:tcPr>
                  <w:tcW w:w="1248" w:type="pct"/>
                  <w:tcBorders>
                    <w:left w:val="single" w:color="000000" w:sz="8" w:space="0"/>
                    <w:right w:val="single" w:color="000000" w:sz="8" w:space="0"/>
                  </w:tcBorders>
                  <w:vAlign w:val="center"/>
                </w:tcPr>
                <w:p w14:paraId="0095FD5B">
                  <w:pPr>
                    <w:pStyle w:val="49"/>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spacing w:val="-11"/>
                      <w14:textFill>
                        <w14:solidFill>
                          <w14:schemeClr w14:val="tx1"/>
                        </w14:solidFill>
                      </w14:textFill>
                    </w:rPr>
                    <w:t>0.64</w:t>
                  </w:r>
                </w:p>
              </w:tc>
              <w:tc>
                <w:tcPr>
                  <w:tcW w:w="1251" w:type="pct"/>
                  <w:tcBorders>
                    <w:left w:val="single" w:color="000000" w:sz="8" w:space="0"/>
                    <w:bottom w:val="single" w:color="000000" w:sz="6" w:space="0"/>
                  </w:tcBorders>
                  <w:vAlign w:val="center"/>
                </w:tcPr>
                <w:p w14:paraId="3908E30F">
                  <w:pPr>
                    <w:pStyle w:val="49"/>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14:textFill>
                        <w14:solidFill>
                          <w14:schemeClr w14:val="tx1"/>
                        </w14:solidFill>
                      </w14:textFill>
                    </w:rPr>
                    <w:t>%</w:t>
                  </w:r>
                </w:p>
              </w:tc>
            </w:tr>
            <w:tr w14:paraId="6789CB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trPr>
              <w:tc>
                <w:tcPr>
                  <w:tcW w:w="1251" w:type="pct"/>
                  <w:tcBorders>
                    <w:left w:val="single" w:color="000000" w:sz="6" w:space="0"/>
                    <w:right w:val="single" w:color="000000" w:sz="8" w:space="0"/>
                  </w:tcBorders>
                  <w:vAlign w:val="center"/>
                </w:tcPr>
                <w:p w14:paraId="6D05669D">
                  <w:pPr>
                    <w:pStyle w:val="49"/>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14:textFill>
                        <w14:solidFill>
                          <w14:schemeClr w14:val="tx1"/>
                        </w14:solidFill>
                      </w14:textFill>
                    </w:rPr>
                    <w:t>8</w:t>
                  </w:r>
                </w:p>
              </w:tc>
              <w:tc>
                <w:tcPr>
                  <w:tcW w:w="1248" w:type="pct"/>
                  <w:tcBorders>
                    <w:left w:val="single" w:color="000000" w:sz="8" w:space="0"/>
                    <w:right w:val="single" w:color="000000" w:sz="8" w:space="0"/>
                  </w:tcBorders>
                  <w:vAlign w:val="center"/>
                </w:tcPr>
                <w:p w14:paraId="0CCC115F">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pacing w:val="-5"/>
                      <w:sz w:val="21"/>
                      <w:szCs w:val="21"/>
                      <w14:textFill>
                        <w14:solidFill>
                          <w14:schemeClr w14:val="tx1"/>
                        </w14:solidFill>
                      </w14:textFill>
                    </w:rPr>
                    <w:t>氧化钠</w:t>
                  </w:r>
                </w:p>
              </w:tc>
              <w:tc>
                <w:tcPr>
                  <w:tcW w:w="1248" w:type="pct"/>
                  <w:tcBorders>
                    <w:left w:val="single" w:color="000000" w:sz="8" w:space="0"/>
                    <w:right w:val="single" w:color="000000" w:sz="8" w:space="0"/>
                  </w:tcBorders>
                  <w:vAlign w:val="center"/>
                </w:tcPr>
                <w:p w14:paraId="75269FC4">
                  <w:pPr>
                    <w:pStyle w:val="49"/>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spacing w:val="-2"/>
                      <w14:textFill>
                        <w14:solidFill>
                          <w14:schemeClr w14:val="tx1"/>
                        </w14:solidFill>
                      </w14:textFill>
                    </w:rPr>
                    <w:t>0.41</w:t>
                  </w:r>
                </w:p>
              </w:tc>
              <w:tc>
                <w:tcPr>
                  <w:tcW w:w="1251" w:type="pct"/>
                  <w:tcBorders>
                    <w:left w:val="single" w:color="000000" w:sz="8" w:space="0"/>
                    <w:bottom w:val="single" w:color="000000" w:sz="6" w:space="0"/>
                  </w:tcBorders>
                  <w:vAlign w:val="center"/>
                </w:tcPr>
                <w:p w14:paraId="2A2C86FF">
                  <w:pPr>
                    <w:pStyle w:val="49"/>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14:textFill>
                        <w14:solidFill>
                          <w14:schemeClr w14:val="tx1"/>
                        </w14:solidFill>
                      </w14:textFill>
                    </w:rPr>
                    <w:t>%</w:t>
                  </w:r>
                </w:p>
              </w:tc>
            </w:tr>
            <w:tr w14:paraId="5BBB55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trPr>
              <w:tc>
                <w:tcPr>
                  <w:tcW w:w="1251" w:type="pct"/>
                  <w:tcBorders>
                    <w:left w:val="single" w:color="000000" w:sz="6" w:space="0"/>
                    <w:right w:val="single" w:color="000000" w:sz="8" w:space="0"/>
                  </w:tcBorders>
                  <w:vAlign w:val="center"/>
                </w:tcPr>
                <w:p w14:paraId="76508905">
                  <w:pPr>
                    <w:pStyle w:val="49"/>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14:textFill>
                        <w14:solidFill>
                          <w14:schemeClr w14:val="tx1"/>
                        </w14:solidFill>
                      </w14:textFill>
                    </w:rPr>
                    <w:t>9</w:t>
                  </w:r>
                </w:p>
              </w:tc>
              <w:tc>
                <w:tcPr>
                  <w:tcW w:w="1248" w:type="pct"/>
                  <w:tcBorders>
                    <w:left w:val="single" w:color="000000" w:sz="8" w:space="0"/>
                    <w:right w:val="single" w:color="000000" w:sz="8" w:space="0"/>
                  </w:tcBorders>
                  <w:vAlign w:val="center"/>
                </w:tcPr>
                <w:p w14:paraId="0134A651">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pacing w:val="-5"/>
                      <w:sz w:val="21"/>
                      <w:szCs w:val="21"/>
                      <w14:textFill>
                        <w14:solidFill>
                          <w14:schemeClr w14:val="tx1"/>
                        </w14:solidFill>
                      </w14:textFill>
                    </w:rPr>
                    <w:t>二氧化钛</w:t>
                  </w:r>
                </w:p>
              </w:tc>
              <w:tc>
                <w:tcPr>
                  <w:tcW w:w="1248" w:type="pct"/>
                  <w:tcBorders>
                    <w:left w:val="single" w:color="000000" w:sz="8" w:space="0"/>
                    <w:right w:val="single" w:color="000000" w:sz="8" w:space="0"/>
                  </w:tcBorders>
                  <w:vAlign w:val="center"/>
                </w:tcPr>
                <w:p w14:paraId="5934707F">
                  <w:pPr>
                    <w:pStyle w:val="49"/>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14:textFill>
                        <w14:solidFill>
                          <w14:schemeClr w14:val="tx1"/>
                        </w14:solidFill>
                      </w14:textFill>
                    </w:rPr>
                    <w:t>0.12</w:t>
                  </w:r>
                </w:p>
              </w:tc>
              <w:tc>
                <w:tcPr>
                  <w:tcW w:w="1251" w:type="pct"/>
                  <w:tcBorders>
                    <w:left w:val="single" w:color="000000" w:sz="8" w:space="0"/>
                    <w:bottom w:val="single" w:color="000000" w:sz="6" w:space="0"/>
                  </w:tcBorders>
                  <w:vAlign w:val="center"/>
                </w:tcPr>
                <w:p w14:paraId="42B45570">
                  <w:pPr>
                    <w:pStyle w:val="49"/>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14:textFill>
                        <w14:solidFill>
                          <w14:schemeClr w14:val="tx1"/>
                        </w14:solidFill>
                      </w14:textFill>
                    </w:rPr>
                    <w:t>%</w:t>
                  </w:r>
                </w:p>
              </w:tc>
            </w:tr>
            <w:tr w14:paraId="5572C5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trPr>
              <w:tc>
                <w:tcPr>
                  <w:tcW w:w="1251" w:type="pct"/>
                  <w:tcBorders>
                    <w:left w:val="single" w:color="000000" w:sz="6" w:space="0"/>
                    <w:right w:val="single" w:color="000000" w:sz="8" w:space="0"/>
                  </w:tcBorders>
                  <w:vAlign w:val="center"/>
                </w:tcPr>
                <w:p w14:paraId="6D85A968">
                  <w:pPr>
                    <w:pStyle w:val="49"/>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spacing w:val="2"/>
                      <w14:textFill>
                        <w14:solidFill>
                          <w14:schemeClr w14:val="tx1"/>
                        </w14:solidFill>
                      </w14:textFill>
                    </w:rPr>
                    <w:t>10</w:t>
                  </w:r>
                </w:p>
              </w:tc>
              <w:tc>
                <w:tcPr>
                  <w:tcW w:w="1248" w:type="pct"/>
                  <w:tcBorders>
                    <w:left w:val="single" w:color="000000" w:sz="8" w:space="0"/>
                    <w:right w:val="single" w:color="000000" w:sz="8" w:space="0"/>
                  </w:tcBorders>
                  <w:vAlign w:val="center"/>
                </w:tcPr>
                <w:p w14:paraId="7853D790">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pacing w:val="-4"/>
                      <w:sz w:val="21"/>
                      <w:szCs w:val="21"/>
                      <w14:textFill>
                        <w14:solidFill>
                          <w14:schemeClr w14:val="tx1"/>
                        </w14:solidFill>
                      </w14:textFill>
                    </w:rPr>
                    <w:t>三氧化二硼</w:t>
                  </w:r>
                </w:p>
              </w:tc>
              <w:tc>
                <w:tcPr>
                  <w:tcW w:w="1248" w:type="pct"/>
                  <w:tcBorders>
                    <w:left w:val="single" w:color="000000" w:sz="8" w:space="0"/>
                    <w:right w:val="single" w:color="000000" w:sz="8" w:space="0"/>
                  </w:tcBorders>
                  <w:vAlign w:val="center"/>
                </w:tcPr>
                <w:p w14:paraId="7C99549A">
                  <w:pPr>
                    <w:pStyle w:val="49"/>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spacing w:val="-7"/>
                      <w14:textFill>
                        <w14:solidFill>
                          <w14:schemeClr w14:val="tx1"/>
                        </w14:solidFill>
                      </w14:textFill>
                    </w:rPr>
                    <w:t>&lt;0.05</w:t>
                  </w:r>
                </w:p>
              </w:tc>
              <w:tc>
                <w:tcPr>
                  <w:tcW w:w="1251" w:type="pct"/>
                  <w:tcBorders>
                    <w:left w:val="single" w:color="000000" w:sz="8" w:space="0"/>
                    <w:bottom w:val="single" w:color="000000" w:sz="6" w:space="0"/>
                  </w:tcBorders>
                  <w:vAlign w:val="center"/>
                </w:tcPr>
                <w:p w14:paraId="49D21232">
                  <w:pPr>
                    <w:pStyle w:val="49"/>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14:textFill>
                        <w14:solidFill>
                          <w14:schemeClr w14:val="tx1"/>
                        </w14:solidFill>
                      </w14:textFill>
                    </w:rPr>
                    <w:t>%</w:t>
                  </w:r>
                </w:p>
              </w:tc>
            </w:tr>
            <w:tr w14:paraId="55D9ED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trPr>
              <w:tc>
                <w:tcPr>
                  <w:tcW w:w="1251" w:type="pct"/>
                  <w:tcBorders>
                    <w:left w:val="single" w:color="000000" w:sz="6" w:space="0"/>
                    <w:right w:val="single" w:color="000000" w:sz="8" w:space="0"/>
                  </w:tcBorders>
                  <w:vAlign w:val="center"/>
                </w:tcPr>
                <w:p w14:paraId="584EEBB5">
                  <w:pPr>
                    <w:pStyle w:val="49"/>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spacing w:val="13"/>
                      <w14:textFill>
                        <w14:solidFill>
                          <w14:schemeClr w14:val="tx1"/>
                        </w14:solidFill>
                      </w14:textFill>
                    </w:rPr>
                    <w:t>11</w:t>
                  </w:r>
                </w:p>
              </w:tc>
              <w:tc>
                <w:tcPr>
                  <w:tcW w:w="1248" w:type="pct"/>
                  <w:tcBorders>
                    <w:left w:val="single" w:color="000000" w:sz="8" w:space="0"/>
                    <w:right w:val="single" w:color="000000" w:sz="8" w:space="0"/>
                  </w:tcBorders>
                  <w:vAlign w:val="center"/>
                </w:tcPr>
                <w:p w14:paraId="397B683C">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pacing w:val="-5"/>
                      <w:sz w:val="21"/>
                      <w:szCs w:val="21"/>
                      <w14:textFill>
                        <w14:solidFill>
                          <w14:schemeClr w14:val="tx1"/>
                        </w14:solidFill>
                      </w14:textFill>
                    </w:rPr>
                    <w:t>氧化钡</w:t>
                  </w:r>
                </w:p>
              </w:tc>
              <w:tc>
                <w:tcPr>
                  <w:tcW w:w="1248" w:type="pct"/>
                  <w:tcBorders>
                    <w:left w:val="single" w:color="000000" w:sz="8" w:space="0"/>
                    <w:right w:val="single" w:color="000000" w:sz="8" w:space="0"/>
                  </w:tcBorders>
                  <w:vAlign w:val="center"/>
                </w:tcPr>
                <w:p w14:paraId="5CFC57DE">
                  <w:pPr>
                    <w:pStyle w:val="49"/>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spacing w:val="-3"/>
                      <w14:textFill>
                        <w14:solidFill>
                          <w14:schemeClr w14:val="tx1"/>
                        </w14:solidFill>
                      </w14:textFill>
                    </w:rPr>
                    <w:t>&lt;0.01</w:t>
                  </w:r>
                </w:p>
              </w:tc>
              <w:tc>
                <w:tcPr>
                  <w:tcW w:w="1251" w:type="pct"/>
                  <w:tcBorders>
                    <w:left w:val="single" w:color="000000" w:sz="8" w:space="0"/>
                    <w:bottom w:val="single" w:color="000000" w:sz="6" w:space="0"/>
                  </w:tcBorders>
                  <w:vAlign w:val="center"/>
                </w:tcPr>
                <w:p w14:paraId="226C5F50">
                  <w:pPr>
                    <w:pStyle w:val="49"/>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14:textFill>
                        <w14:solidFill>
                          <w14:schemeClr w14:val="tx1"/>
                        </w14:solidFill>
                      </w14:textFill>
                    </w:rPr>
                    <w:t>%</w:t>
                  </w:r>
                </w:p>
              </w:tc>
            </w:tr>
            <w:tr w14:paraId="580B71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trPr>
              <w:tc>
                <w:tcPr>
                  <w:tcW w:w="1251" w:type="pct"/>
                  <w:tcBorders>
                    <w:left w:val="single" w:color="000000" w:sz="6" w:space="0"/>
                    <w:right w:val="single" w:color="000000" w:sz="8" w:space="0"/>
                  </w:tcBorders>
                  <w:vAlign w:val="center"/>
                </w:tcPr>
                <w:p w14:paraId="58EC2EF9">
                  <w:pPr>
                    <w:pStyle w:val="49"/>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spacing w:val="3"/>
                      <w14:textFill>
                        <w14:solidFill>
                          <w14:schemeClr w14:val="tx1"/>
                        </w14:solidFill>
                      </w14:textFill>
                    </w:rPr>
                    <w:t>12</w:t>
                  </w:r>
                </w:p>
              </w:tc>
              <w:tc>
                <w:tcPr>
                  <w:tcW w:w="1248" w:type="pct"/>
                  <w:tcBorders>
                    <w:left w:val="single" w:color="000000" w:sz="8" w:space="0"/>
                    <w:right w:val="single" w:color="000000" w:sz="8" w:space="0"/>
                  </w:tcBorders>
                  <w:vAlign w:val="center"/>
                </w:tcPr>
                <w:p w14:paraId="5C8747A4">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pacing w:val="-5"/>
                      <w:sz w:val="21"/>
                      <w:szCs w:val="21"/>
                      <w14:textFill>
                        <w14:solidFill>
                          <w14:schemeClr w14:val="tx1"/>
                        </w14:solidFill>
                      </w14:textFill>
                    </w:rPr>
                    <w:t>氧化铜</w:t>
                  </w:r>
                </w:p>
              </w:tc>
              <w:tc>
                <w:tcPr>
                  <w:tcW w:w="1248" w:type="pct"/>
                  <w:tcBorders>
                    <w:left w:val="single" w:color="000000" w:sz="8" w:space="0"/>
                    <w:right w:val="single" w:color="000000" w:sz="8" w:space="0"/>
                  </w:tcBorders>
                  <w:vAlign w:val="center"/>
                </w:tcPr>
                <w:p w14:paraId="6B311D7B">
                  <w:pPr>
                    <w:pStyle w:val="49"/>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spacing w:val="-7"/>
                      <w14:textFill>
                        <w14:solidFill>
                          <w14:schemeClr w14:val="tx1"/>
                        </w14:solidFill>
                      </w14:textFill>
                    </w:rPr>
                    <w:t>&lt;0.05</w:t>
                  </w:r>
                </w:p>
              </w:tc>
              <w:tc>
                <w:tcPr>
                  <w:tcW w:w="1251" w:type="pct"/>
                  <w:tcBorders>
                    <w:left w:val="single" w:color="000000" w:sz="8" w:space="0"/>
                    <w:bottom w:val="single" w:color="000000" w:sz="6" w:space="0"/>
                  </w:tcBorders>
                  <w:vAlign w:val="center"/>
                </w:tcPr>
                <w:p w14:paraId="7D31F618">
                  <w:pPr>
                    <w:pStyle w:val="49"/>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14:textFill>
                        <w14:solidFill>
                          <w14:schemeClr w14:val="tx1"/>
                        </w14:solidFill>
                      </w14:textFill>
                    </w:rPr>
                    <w:t>%</w:t>
                  </w:r>
                </w:p>
              </w:tc>
            </w:tr>
            <w:tr w14:paraId="6D22A1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trPr>
              <w:tc>
                <w:tcPr>
                  <w:tcW w:w="1251" w:type="pct"/>
                  <w:tcBorders>
                    <w:left w:val="single" w:color="000000" w:sz="6" w:space="0"/>
                    <w:right w:val="single" w:color="000000" w:sz="8" w:space="0"/>
                  </w:tcBorders>
                  <w:vAlign w:val="center"/>
                </w:tcPr>
                <w:p w14:paraId="6B8B5DD6">
                  <w:pPr>
                    <w:pStyle w:val="49"/>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spacing w:val="6"/>
                      <w14:textFill>
                        <w14:solidFill>
                          <w14:schemeClr w14:val="tx1"/>
                        </w14:solidFill>
                      </w14:textFill>
                    </w:rPr>
                    <w:t>13</w:t>
                  </w:r>
                </w:p>
              </w:tc>
              <w:tc>
                <w:tcPr>
                  <w:tcW w:w="1248" w:type="pct"/>
                  <w:tcBorders>
                    <w:left w:val="single" w:color="000000" w:sz="8" w:space="0"/>
                    <w:right w:val="single" w:color="000000" w:sz="8" w:space="0"/>
                  </w:tcBorders>
                  <w:vAlign w:val="center"/>
                </w:tcPr>
                <w:p w14:paraId="3D24F35B">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pacing w:val="-4"/>
                      <w:sz w:val="21"/>
                      <w:szCs w:val="21"/>
                      <w14:textFill>
                        <w14:solidFill>
                          <w14:schemeClr w14:val="tx1"/>
                        </w14:solidFill>
                      </w14:textFill>
                    </w:rPr>
                    <w:t>碳酸钡</w:t>
                  </w:r>
                </w:p>
              </w:tc>
              <w:tc>
                <w:tcPr>
                  <w:tcW w:w="1248" w:type="pct"/>
                  <w:tcBorders>
                    <w:left w:val="single" w:color="000000" w:sz="8" w:space="0"/>
                    <w:right w:val="single" w:color="000000" w:sz="8" w:space="0"/>
                  </w:tcBorders>
                  <w:vAlign w:val="center"/>
                </w:tcPr>
                <w:p w14:paraId="27C5182B">
                  <w:pPr>
                    <w:pStyle w:val="49"/>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spacing w:val="1"/>
                      <w14:textFill>
                        <w14:solidFill>
                          <w14:schemeClr w14:val="tx1"/>
                        </w14:solidFill>
                      </w14:textFill>
                    </w:rPr>
                    <w:t>1.39</w:t>
                  </w:r>
                </w:p>
              </w:tc>
              <w:tc>
                <w:tcPr>
                  <w:tcW w:w="1251" w:type="pct"/>
                  <w:tcBorders>
                    <w:left w:val="single" w:color="000000" w:sz="8" w:space="0"/>
                    <w:bottom w:val="single" w:color="000000" w:sz="6" w:space="0"/>
                  </w:tcBorders>
                  <w:vAlign w:val="center"/>
                </w:tcPr>
                <w:p w14:paraId="1DCA2DC4">
                  <w:pPr>
                    <w:pStyle w:val="49"/>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14:textFill>
                        <w14:solidFill>
                          <w14:schemeClr w14:val="tx1"/>
                        </w14:solidFill>
                      </w14:textFill>
                    </w:rPr>
                    <w:t>%</w:t>
                  </w:r>
                </w:p>
              </w:tc>
            </w:tr>
            <w:tr w14:paraId="29AE23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trPr>
              <w:tc>
                <w:tcPr>
                  <w:tcW w:w="1251" w:type="pct"/>
                  <w:tcBorders>
                    <w:left w:val="single" w:color="000000" w:sz="6" w:space="0"/>
                    <w:right w:val="single" w:color="000000" w:sz="8" w:space="0"/>
                  </w:tcBorders>
                  <w:vAlign w:val="center"/>
                </w:tcPr>
                <w:p w14:paraId="21269A68">
                  <w:pPr>
                    <w:pStyle w:val="49"/>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spacing w:val="2"/>
                      <w14:textFill>
                        <w14:solidFill>
                          <w14:schemeClr w14:val="tx1"/>
                        </w14:solidFill>
                      </w14:textFill>
                    </w:rPr>
                    <w:t>14</w:t>
                  </w:r>
                </w:p>
              </w:tc>
              <w:tc>
                <w:tcPr>
                  <w:tcW w:w="1248" w:type="pct"/>
                  <w:tcBorders>
                    <w:left w:val="single" w:color="000000" w:sz="8" w:space="0"/>
                    <w:right w:val="single" w:color="000000" w:sz="8" w:space="0"/>
                  </w:tcBorders>
                  <w:vAlign w:val="center"/>
                </w:tcPr>
                <w:p w14:paraId="4E338EBF">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pacing w:val="-4"/>
                      <w:sz w:val="21"/>
                      <w:szCs w:val="21"/>
                      <w14:textFill>
                        <w14:solidFill>
                          <w14:schemeClr w14:val="tx1"/>
                        </w14:solidFill>
                      </w14:textFill>
                    </w:rPr>
                    <w:t>硫酸钡</w:t>
                  </w:r>
                </w:p>
              </w:tc>
              <w:tc>
                <w:tcPr>
                  <w:tcW w:w="1248" w:type="pct"/>
                  <w:tcBorders>
                    <w:left w:val="single" w:color="000000" w:sz="8" w:space="0"/>
                    <w:right w:val="single" w:color="000000" w:sz="8" w:space="0"/>
                  </w:tcBorders>
                  <w:vAlign w:val="center"/>
                </w:tcPr>
                <w:p w14:paraId="1B91BA38">
                  <w:pPr>
                    <w:pStyle w:val="49"/>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spacing w:val="1"/>
                      <w14:textFill>
                        <w14:solidFill>
                          <w14:schemeClr w14:val="tx1"/>
                        </w14:solidFill>
                      </w14:textFill>
                    </w:rPr>
                    <w:t>57.01</w:t>
                  </w:r>
                </w:p>
              </w:tc>
              <w:tc>
                <w:tcPr>
                  <w:tcW w:w="1251" w:type="pct"/>
                  <w:tcBorders>
                    <w:left w:val="single" w:color="000000" w:sz="8" w:space="0"/>
                    <w:bottom w:val="single" w:color="000000" w:sz="6" w:space="0"/>
                  </w:tcBorders>
                  <w:vAlign w:val="center"/>
                </w:tcPr>
                <w:p w14:paraId="364A1AAA">
                  <w:pPr>
                    <w:pStyle w:val="49"/>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14:textFill>
                        <w14:solidFill>
                          <w14:schemeClr w14:val="tx1"/>
                        </w14:solidFill>
                      </w14:textFill>
                    </w:rPr>
                    <w:t>%</w:t>
                  </w:r>
                </w:p>
              </w:tc>
            </w:tr>
            <w:tr w14:paraId="5A114A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trPr>
              <w:tc>
                <w:tcPr>
                  <w:tcW w:w="1251" w:type="pct"/>
                  <w:tcBorders>
                    <w:left w:val="single" w:color="000000" w:sz="6" w:space="0"/>
                    <w:right w:val="single" w:color="000000" w:sz="8" w:space="0"/>
                  </w:tcBorders>
                  <w:vAlign w:val="center"/>
                </w:tcPr>
                <w:p w14:paraId="096CB31F">
                  <w:pPr>
                    <w:pStyle w:val="49"/>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spacing w:val="5"/>
                      <w14:textFill>
                        <w14:solidFill>
                          <w14:schemeClr w14:val="tx1"/>
                        </w14:solidFill>
                      </w14:textFill>
                    </w:rPr>
                    <w:t>15</w:t>
                  </w:r>
                </w:p>
              </w:tc>
              <w:tc>
                <w:tcPr>
                  <w:tcW w:w="1248" w:type="pct"/>
                  <w:tcBorders>
                    <w:left w:val="single" w:color="000000" w:sz="8" w:space="0"/>
                    <w:right w:val="single" w:color="000000" w:sz="8" w:space="0"/>
                  </w:tcBorders>
                  <w:vAlign w:val="center"/>
                </w:tcPr>
                <w:p w14:paraId="790775D7">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pacing w:val="-5"/>
                      <w:sz w:val="21"/>
                      <w:szCs w:val="21"/>
                      <w14:textFill>
                        <w14:solidFill>
                          <w14:schemeClr w14:val="tx1"/>
                        </w14:solidFill>
                      </w14:textFill>
                    </w:rPr>
                    <w:t>氧化锂</w:t>
                  </w:r>
                </w:p>
              </w:tc>
              <w:tc>
                <w:tcPr>
                  <w:tcW w:w="1248" w:type="pct"/>
                  <w:tcBorders>
                    <w:left w:val="single" w:color="000000" w:sz="8" w:space="0"/>
                    <w:right w:val="single" w:color="000000" w:sz="8" w:space="0"/>
                  </w:tcBorders>
                  <w:vAlign w:val="center"/>
                </w:tcPr>
                <w:p w14:paraId="5584A525">
                  <w:pPr>
                    <w:pStyle w:val="49"/>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spacing w:val="-3"/>
                      <w14:textFill>
                        <w14:solidFill>
                          <w14:schemeClr w14:val="tx1"/>
                        </w14:solidFill>
                      </w14:textFill>
                    </w:rPr>
                    <w:t>&lt;0.01</w:t>
                  </w:r>
                </w:p>
              </w:tc>
              <w:tc>
                <w:tcPr>
                  <w:tcW w:w="1251" w:type="pct"/>
                  <w:tcBorders>
                    <w:left w:val="single" w:color="000000" w:sz="8" w:space="0"/>
                    <w:bottom w:val="single" w:color="000000" w:sz="6" w:space="0"/>
                  </w:tcBorders>
                  <w:vAlign w:val="center"/>
                </w:tcPr>
                <w:p w14:paraId="178B9B03">
                  <w:pPr>
                    <w:pStyle w:val="49"/>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14:textFill>
                        <w14:solidFill>
                          <w14:schemeClr w14:val="tx1"/>
                        </w14:solidFill>
                      </w14:textFill>
                    </w:rPr>
                    <w:t>%</w:t>
                  </w:r>
                </w:p>
              </w:tc>
            </w:tr>
            <w:tr w14:paraId="016786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trPr>
              <w:tc>
                <w:tcPr>
                  <w:tcW w:w="1251" w:type="pct"/>
                  <w:tcBorders>
                    <w:left w:val="single" w:color="000000" w:sz="6" w:space="0"/>
                    <w:right w:val="single" w:color="000000" w:sz="8" w:space="0"/>
                  </w:tcBorders>
                  <w:vAlign w:val="center"/>
                </w:tcPr>
                <w:p w14:paraId="17097E71">
                  <w:pPr>
                    <w:pStyle w:val="49"/>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spacing w:val="2"/>
                      <w14:textFill>
                        <w14:solidFill>
                          <w14:schemeClr w14:val="tx1"/>
                        </w14:solidFill>
                      </w14:textFill>
                    </w:rPr>
                    <w:t>16</w:t>
                  </w:r>
                </w:p>
              </w:tc>
              <w:tc>
                <w:tcPr>
                  <w:tcW w:w="1248" w:type="pct"/>
                  <w:tcBorders>
                    <w:left w:val="single" w:color="000000" w:sz="8" w:space="0"/>
                    <w:right w:val="single" w:color="000000" w:sz="8" w:space="0"/>
                  </w:tcBorders>
                  <w:vAlign w:val="center"/>
                </w:tcPr>
                <w:p w14:paraId="7E1B7288">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pacing w:val="-5"/>
                      <w:sz w:val="21"/>
                      <w:szCs w:val="21"/>
                      <w14:textFill>
                        <w14:solidFill>
                          <w14:schemeClr w14:val="tx1"/>
                        </w14:solidFill>
                      </w14:textFill>
                    </w:rPr>
                    <w:t>一氧化铅</w:t>
                  </w:r>
                </w:p>
              </w:tc>
              <w:tc>
                <w:tcPr>
                  <w:tcW w:w="1248" w:type="pct"/>
                  <w:tcBorders>
                    <w:left w:val="single" w:color="000000" w:sz="8" w:space="0"/>
                    <w:right w:val="single" w:color="000000" w:sz="8" w:space="0"/>
                  </w:tcBorders>
                  <w:vAlign w:val="center"/>
                </w:tcPr>
                <w:p w14:paraId="569087FD">
                  <w:pPr>
                    <w:pStyle w:val="49"/>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spacing w:val="-3"/>
                      <w14:textFill>
                        <w14:solidFill>
                          <w14:schemeClr w14:val="tx1"/>
                        </w14:solidFill>
                      </w14:textFill>
                    </w:rPr>
                    <w:t>&lt;0.01</w:t>
                  </w:r>
                </w:p>
              </w:tc>
              <w:tc>
                <w:tcPr>
                  <w:tcW w:w="1251" w:type="pct"/>
                  <w:tcBorders>
                    <w:left w:val="single" w:color="000000" w:sz="8" w:space="0"/>
                    <w:bottom w:val="single" w:color="000000" w:sz="6" w:space="0"/>
                  </w:tcBorders>
                  <w:vAlign w:val="center"/>
                </w:tcPr>
                <w:p w14:paraId="5CF2A239">
                  <w:pPr>
                    <w:pStyle w:val="49"/>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14:textFill>
                        <w14:solidFill>
                          <w14:schemeClr w14:val="tx1"/>
                        </w14:solidFill>
                      </w14:textFill>
                    </w:rPr>
                    <w:t>%</w:t>
                  </w:r>
                </w:p>
              </w:tc>
            </w:tr>
            <w:tr w14:paraId="42A078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trPr>
              <w:tc>
                <w:tcPr>
                  <w:tcW w:w="1251" w:type="pct"/>
                  <w:tcBorders>
                    <w:left w:val="single" w:color="000000" w:sz="6" w:space="0"/>
                    <w:right w:val="single" w:color="000000" w:sz="8" w:space="0"/>
                  </w:tcBorders>
                  <w:vAlign w:val="center"/>
                </w:tcPr>
                <w:p w14:paraId="6EAF23EA">
                  <w:pPr>
                    <w:pStyle w:val="49"/>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spacing w:val="5"/>
                      <w14:textFill>
                        <w14:solidFill>
                          <w14:schemeClr w14:val="tx1"/>
                        </w14:solidFill>
                      </w14:textFill>
                    </w:rPr>
                    <w:t>17</w:t>
                  </w:r>
                </w:p>
              </w:tc>
              <w:tc>
                <w:tcPr>
                  <w:tcW w:w="1248" w:type="pct"/>
                  <w:tcBorders>
                    <w:left w:val="single" w:color="000000" w:sz="8" w:space="0"/>
                    <w:right w:val="single" w:color="000000" w:sz="8" w:space="0"/>
                  </w:tcBorders>
                  <w:vAlign w:val="center"/>
                </w:tcPr>
                <w:p w14:paraId="5EA10743">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pacing w:val="-5"/>
                      <w:sz w:val="21"/>
                      <w:szCs w:val="21"/>
                      <w14:textFill>
                        <w14:solidFill>
                          <w14:schemeClr w14:val="tx1"/>
                        </w14:solidFill>
                      </w14:textFill>
                    </w:rPr>
                    <w:t>氧化锌</w:t>
                  </w:r>
                </w:p>
              </w:tc>
              <w:tc>
                <w:tcPr>
                  <w:tcW w:w="1248" w:type="pct"/>
                  <w:tcBorders>
                    <w:left w:val="single" w:color="000000" w:sz="8" w:space="0"/>
                    <w:right w:val="single" w:color="000000" w:sz="8" w:space="0"/>
                  </w:tcBorders>
                  <w:vAlign w:val="center"/>
                </w:tcPr>
                <w:p w14:paraId="4215CBAE">
                  <w:pPr>
                    <w:pStyle w:val="49"/>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spacing w:val="-12"/>
                      <w14:textFill>
                        <w14:solidFill>
                          <w14:schemeClr w14:val="tx1"/>
                        </w14:solidFill>
                      </w14:textFill>
                    </w:rPr>
                    <w:t>0.08</w:t>
                  </w:r>
                </w:p>
              </w:tc>
              <w:tc>
                <w:tcPr>
                  <w:tcW w:w="1251" w:type="pct"/>
                  <w:tcBorders>
                    <w:left w:val="single" w:color="000000" w:sz="8" w:space="0"/>
                    <w:bottom w:val="single" w:color="000000" w:sz="6" w:space="0"/>
                  </w:tcBorders>
                  <w:vAlign w:val="center"/>
                </w:tcPr>
                <w:p w14:paraId="713773A9">
                  <w:pPr>
                    <w:pStyle w:val="49"/>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14:textFill>
                        <w14:solidFill>
                          <w14:schemeClr w14:val="tx1"/>
                        </w14:solidFill>
                      </w14:textFill>
                    </w:rPr>
                    <w:t>%</w:t>
                  </w:r>
                </w:p>
              </w:tc>
            </w:tr>
            <w:tr w14:paraId="34AD08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trPr>
              <w:tc>
                <w:tcPr>
                  <w:tcW w:w="1251" w:type="pct"/>
                  <w:tcBorders>
                    <w:left w:val="single" w:color="000000" w:sz="6" w:space="0"/>
                    <w:right w:val="single" w:color="000000" w:sz="8" w:space="0"/>
                  </w:tcBorders>
                  <w:vAlign w:val="center"/>
                </w:tcPr>
                <w:p w14:paraId="6EFC82CC">
                  <w:pPr>
                    <w:pStyle w:val="49"/>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spacing w:val="2"/>
                      <w14:textFill>
                        <w14:solidFill>
                          <w14:schemeClr w14:val="tx1"/>
                        </w14:solidFill>
                      </w14:textFill>
                    </w:rPr>
                    <w:t>18</w:t>
                  </w:r>
                </w:p>
              </w:tc>
              <w:tc>
                <w:tcPr>
                  <w:tcW w:w="1248" w:type="pct"/>
                  <w:tcBorders>
                    <w:left w:val="single" w:color="000000" w:sz="8" w:space="0"/>
                    <w:right w:val="single" w:color="000000" w:sz="8" w:space="0"/>
                  </w:tcBorders>
                  <w:vAlign w:val="center"/>
                </w:tcPr>
                <w:p w14:paraId="4C63D2E1">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pacing w:val="-5"/>
                      <w:sz w:val="21"/>
                      <w:szCs w:val="21"/>
                      <w14:textFill>
                        <w14:solidFill>
                          <w14:schemeClr w14:val="tx1"/>
                        </w14:solidFill>
                      </w14:textFill>
                    </w:rPr>
                    <w:t>氧化锶</w:t>
                  </w:r>
                </w:p>
              </w:tc>
              <w:tc>
                <w:tcPr>
                  <w:tcW w:w="1248" w:type="pct"/>
                  <w:tcBorders>
                    <w:left w:val="single" w:color="000000" w:sz="8" w:space="0"/>
                    <w:right w:val="single" w:color="000000" w:sz="8" w:space="0"/>
                  </w:tcBorders>
                  <w:vAlign w:val="center"/>
                </w:tcPr>
                <w:p w14:paraId="19EDE27D">
                  <w:pPr>
                    <w:pStyle w:val="49"/>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spacing w:val="-3"/>
                      <w14:textFill>
                        <w14:solidFill>
                          <w14:schemeClr w14:val="tx1"/>
                        </w14:solidFill>
                      </w14:textFill>
                    </w:rPr>
                    <w:t>0.33</w:t>
                  </w:r>
                </w:p>
              </w:tc>
              <w:tc>
                <w:tcPr>
                  <w:tcW w:w="1251" w:type="pct"/>
                  <w:tcBorders>
                    <w:left w:val="single" w:color="000000" w:sz="8" w:space="0"/>
                    <w:bottom w:val="single" w:color="000000" w:sz="6" w:space="0"/>
                  </w:tcBorders>
                  <w:vAlign w:val="center"/>
                </w:tcPr>
                <w:p w14:paraId="4C6F3C3D">
                  <w:pPr>
                    <w:pStyle w:val="49"/>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14:textFill>
                        <w14:solidFill>
                          <w14:schemeClr w14:val="tx1"/>
                        </w14:solidFill>
                      </w14:textFill>
                    </w:rPr>
                    <w:t>%</w:t>
                  </w:r>
                </w:p>
              </w:tc>
            </w:tr>
            <w:tr w14:paraId="552DBA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trPr>
              <w:tc>
                <w:tcPr>
                  <w:tcW w:w="1251" w:type="pct"/>
                  <w:tcBorders>
                    <w:left w:val="single" w:color="000000" w:sz="6" w:space="0"/>
                    <w:right w:val="single" w:color="000000" w:sz="8" w:space="0"/>
                  </w:tcBorders>
                  <w:vAlign w:val="center"/>
                </w:tcPr>
                <w:p w14:paraId="0C8EA28F">
                  <w:pPr>
                    <w:pStyle w:val="49"/>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spacing w:val="2"/>
                      <w14:textFill>
                        <w14:solidFill>
                          <w14:schemeClr w14:val="tx1"/>
                        </w14:solidFill>
                      </w14:textFill>
                    </w:rPr>
                    <w:t>19</w:t>
                  </w:r>
                </w:p>
              </w:tc>
              <w:tc>
                <w:tcPr>
                  <w:tcW w:w="1248" w:type="pct"/>
                  <w:tcBorders>
                    <w:left w:val="single" w:color="000000" w:sz="8" w:space="0"/>
                    <w:right w:val="single" w:color="000000" w:sz="8" w:space="0"/>
                  </w:tcBorders>
                  <w:vAlign w:val="center"/>
                </w:tcPr>
                <w:p w14:paraId="27D10FF5">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pacing w:val="-5"/>
                      <w:sz w:val="21"/>
                      <w:szCs w:val="21"/>
                      <w14:textFill>
                        <w14:solidFill>
                          <w14:schemeClr w14:val="tx1"/>
                        </w14:solidFill>
                      </w14:textFill>
                    </w:rPr>
                    <w:t>一氧化锰</w:t>
                  </w:r>
                </w:p>
              </w:tc>
              <w:tc>
                <w:tcPr>
                  <w:tcW w:w="1248" w:type="pct"/>
                  <w:tcBorders>
                    <w:left w:val="single" w:color="000000" w:sz="8" w:space="0"/>
                    <w:right w:val="single" w:color="000000" w:sz="8" w:space="0"/>
                  </w:tcBorders>
                  <w:vAlign w:val="center"/>
                </w:tcPr>
                <w:p w14:paraId="38E0A398">
                  <w:pPr>
                    <w:pStyle w:val="49"/>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spacing w:val="-10"/>
                      <w14:textFill>
                        <w14:solidFill>
                          <w14:schemeClr w14:val="tx1"/>
                        </w14:solidFill>
                      </w14:textFill>
                    </w:rPr>
                    <w:t>0.03</w:t>
                  </w:r>
                </w:p>
              </w:tc>
              <w:tc>
                <w:tcPr>
                  <w:tcW w:w="1251" w:type="pct"/>
                  <w:tcBorders>
                    <w:left w:val="single" w:color="000000" w:sz="8" w:space="0"/>
                    <w:bottom w:val="single" w:color="000000" w:sz="6" w:space="0"/>
                  </w:tcBorders>
                  <w:vAlign w:val="center"/>
                </w:tcPr>
                <w:p w14:paraId="723FD94F">
                  <w:pPr>
                    <w:pStyle w:val="49"/>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14:textFill>
                        <w14:solidFill>
                          <w14:schemeClr w14:val="tx1"/>
                        </w14:solidFill>
                      </w14:textFill>
                    </w:rPr>
                    <w:t>%</w:t>
                  </w:r>
                </w:p>
              </w:tc>
            </w:tr>
            <w:tr w14:paraId="120497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trPr>
              <w:tc>
                <w:tcPr>
                  <w:tcW w:w="1251" w:type="pct"/>
                  <w:tcBorders>
                    <w:left w:val="single" w:color="000000" w:sz="6" w:space="0"/>
                    <w:right w:val="single" w:color="000000" w:sz="8" w:space="0"/>
                  </w:tcBorders>
                  <w:vAlign w:val="center"/>
                </w:tcPr>
                <w:p w14:paraId="30C6467A">
                  <w:pPr>
                    <w:pStyle w:val="49"/>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spacing w:val="-1"/>
                      <w14:textFill>
                        <w14:solidFill>
                          <w14:schemeClr w14:val="tx1"/>
                        </w14:solidFill>
                      </w14:textFill>
                    </w:rPr>
                    <w:t>20</w:t>
                  </w:r>
                </w:p>
              </w:tc>
              <w:tc>
                <w:tcPr>
                  <w:tcW w:w="1248" w:type="pct"/>
                  <w:tcBorders>
                    <w:left w:val="single" w:color="000000" w:sz="8" w:space="0"/>
                    <w:right w:val="single" w:color="000000" w:sz="8" w:space="0"/>
                  </w:tcBorders>
                  <w:vAlign w:val="center"/>
                </w:tcPr>
                <w:p w14:paraId="2D21C386">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pacing w:val="-5"/>
                      <w:sz w:val="21"/>
                      <w:szCs w:val="21"/>
                      <w14:textFill>
                        <w14:solidFill>
                          <w14:schemeClr w14:val="tx1"/>
                        </w14:solidFill>
                      </w14:textFill>
                    </w:rPr>
                    <w:t>一氧化镍</w:t>
                  </w:r>
                </w:p>
              </w:tc>
              <w:tc>
                <w:tcPr>
                  <w:tcW w:w="1248" w:type="pct"/>
                  <w:tcBorders>
                    <w:left w:val="single" w:color="000000" w:sz="8" w:space="0"/>
                    <w:right w:val="single" w:color="000000" w:sz="8" w:space="0"/>
                  </w:tcBorders>
                  <w:vAlign w:val="center"/>
                </w:tcPr>
                <w:p w14:paraId="4B370440">
                  <w:pPr>
                    <w:pStyle w:val="49"/>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spacing w:val="-3"/>
                      <w14:textFill>
                        <w14:solidFill>
                          <w14:schemeClr w14:val="tx1"/>
                        </w14:solidFill>
                      </w14:textFill>
                    </w:rPr>
                    <w:t>&lt;0.01</w:t>
                  </w:r>
                </w:p>
              </w:tc>
              <w:tc>
                <w:tcPr>
                  <w:tcW w:w="1251" w:type="pct"/>
                  <w:tcBorders>
                    <w:left w:val="single" w:color="000000" w:sz="8" w:space="0"/>
                    <w:bottom w:val="single" w:color="000000" w:sz="6" w:space="0"/>
                  </w:tcBorders>
                  <w:vAlign w:val="center"/>
                </w:tcPr>
                <w:p w14:paraId="3FE76E14">
                  <w:pPr>
                    <w:pStyle w:val="49"/>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14:textFill>
                        <w14:solidFill>
                          <w14:schemeClr w14:val="tx1"/>
                        </w14:solidFill>
                      </w14:textFill>
                    </w:rPr>
                    <w:t>%</w:t>
                  </w:r>
                </w:p>
              </w:tc>
            </w:tr>
            <w:tr w14:paraId="2E3B17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trPr>
              <w:tc>
                <w:tcPr>
                  <w:tcW w:w="1251" w:type="pct"/>
                  <w:tcBorders>
                    <w:left w:val="single" w:color="000000" w:sz="6" w:space="0"/>
                    <w:right w:val="single" w:color="000000" w:sz="8" w:space="0"/>
                  </w:tcBorders>
                  <w:vAlign w:val="center"/>
                </w:tcPr>
                <w:p w14:paraId="7A8DC199">
                  <w:pPr>
                    <w:pStyle w:val="49"/>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spacing w:val="14"/>
                      <w14:textFill>
                        <w14:solidFill>
                          <w14:schemeClr w14:val="tx1"/>
                        </w14:solidFill>
                      </w14:textFill>
                    </w:rPr>
                    <w:t>21</w:t>
                  </w:r>
                </w:p>
              </w:tc>
              <w:tc>
                <w:tcPr>
                  <w:tcW w:w="1248" w:type="pct"/>
                  <w:tcBorders>
                    <w:left w:val="single" w:color="000000" w:sz="8" w:space="0"/>
                    <w:right w:val="single" w:color="000000" w:sz="8" w:space="0"/>
                  </w:tcBorders>
                  <w:vAlign w:val="center"/>
                </w:tcPr>
                <w:p w14:paraId="309A0DC9">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pacing w:val="-5"/>
                      <w:sz w:val="21"/>
                      <w:szCs w:val="21"/>
                      <w14:textFill>
                        <w14:solidFill>
                          <w14:schemeClr w14:val="tx1"/>
                        </w14:solidFill>
                      </w14:textFill>
                    </w:rPr>
                    <w:t>氧化镉</w:t>
                  </w:r>
                </w:p>
              </w:tc>
              <w:tc>
                <w:tcPr>
                  <w:tcW w:w="1248" w:type="pct"/>
                  <w:tcBorders>
                    <w:left w:val="single" w:color="000000" w:sz="8" w:space="0"/>
                    <w:right w:val="single" w:color="000000" w:sz="8" w:space="0"/>
                  </w:tcBorders>
                  <w:vAlign w:val="center"/>
                </w:tcPr>
                <w:p w14:paraId="33039928">
                  <w:pPr>
                    <w:pStyle w:val="49"/>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spacing w:val="-3"/>
                      <w14:textFill>
                        <w14:solidFill>
                          <w14:schemeClr w14:val="tx1"/>
                        </w14:solidFill>
                      </w14:textFill>
                    </w:rPr>
                    <w:t>&lt;0.01</w:t>
                  </w:r>
                </w:p>
              </w:tc>
              <w:tc>
                <w:tcPr>
                  <w:tcW w:w="1251" w:type="pct"/>
                  <w:tcBorders>
                    <w:left w:val="single" w:color="000000" w:sz="8" w:space="0"/>
                    <w:bottom w:val="single" w:color="000000" w:sz="6" w:space="0"/>
                  </w:tcBorders>
                  <w:vAlign w:val="center"/>
                </w:tcPr>
                <w:p w14:paraId="423FE645">
                  <w:pPr>
                    <w:pStyle w:val="49"/>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14:textFill>
                        <w14:solidFill>
                          <w14:schemeClr w14:val="tx1"/>
                        </w14:solidFill>
                      </w14:textFill>
                    </w:rPr>
                    <w:t>%</w:t>
                  </w:r>
                </w:p>
              </w:tc>
            </w:tr>
            <w:tr w14:paraId="6D11E3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trPr>
              <w:tc>
                <w:tcPr>
                  <w:tcW w:w="1251" w:type="pct"/>
                  <w:tcBorders>
                    <w:left w:val="single" w:color="000000" w:sz="6" w:space="0"/>
                    <w:right w:val="single" w:color="000000" w:sz="8" w:space="0"/>
                  </w:tcBorders>
                  <w:vAlign w:val="center"/>
                </w:tcPr>
                <w:p w14:paraId="168A815A">
                  <w:pPr>
                    <w:pStyle w:val="49"/>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spacing w:val="1"/>
                      <w14:textFill>
                        <w14:solidFill>
                          <w14:schemeClr w14:val="tx1"/>
                        </w14:solidFill>
                      </w14:textFill>
                    </w:rPr>
                    <w:t>22</w:t>
                  </w:r>
                </w:p>
              </w:tc>
              <w:tc>
                <w:tcPr>
                  <w:tcW w:w="1248" w:type="pct"/>
                  <w:tcBorders>
                    <w:left w:val="single" w:color="000000" w:sz="8" w:space="0"/>
                    <w:right w:val="single" w:color="000000" w:sz="8" w:space="0"/>
                  </w:tcBorders>
                  <w:vAlign w:val="center"/>
                </w:tcPr>
                <w:p w14:paraId="7C696342">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pacing w:val="-4"/>
                      <w:sz w:val="21"/>
                      <w:szCs w:val="21"/>
                      <w14:textFill>
                        <w14:solidFill>
                          <w14:schemeClr w14:val="tx1"/>
                        </w14:solidFill>
                      </w14:textFill>
                    </w:rPr>
                    <w:t>三氧化二铬</w:t>
                  </w:r>
                </w:p>
              </w:tc>
              <w:tc>
                <w:tcPr>
                  <w:tcW w:w="1248" w:type="pct"/>
                  <w:tcBorders>
                    <w:left w:val="single" w:color="000000" w:sz="8" w:space="0"/>
                    <w:right w:val="single" w:color="000000" w:sz="8" w:space="0"/>
                  </w:tcBorders>
                  <w:vAlign w:val="center"/>
                </w:tcPr>
                <w:p w14:paraId="3ADEBC94">
                  <w:pPr>
                    <w:pStyle w:val="49"/>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spacing w:val="-3"/>
                      <w14:textFill>
                        <w14:solidFill>
                          <w14:schemeClr w14:val="tx1"/>
                        </w14:solidFill>
                      </w14:textFill>
                    </w:rPr>
                    <w:t>&lt;0.01</w:t>
                  </w:r>
                </w:p>
              </w:tc>
              <w:tc>
                <w:tcPr>
                  <w:tcW w:w="1251" w:type="pct"/>
                  <w:tcBorders>
                    <w:left w:val="single" w:color="000000" w:sz="8" w:space="0"/>
                    <w:bottom w:val="single" w:color="000000" w:sz="6" w:space="0"/>
                  </w:tcBorders>
                  <w:vAlign w:val="center"/>
                </w:tcPr>
                <w:p w14:paraId="4716437A">
                  <w:pPr>
                    <w:pStyle w:val="49"/>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14:textFill>
                        <w14:solidFill>
                          <w14:schemeClr w14:val="tx1"/>
                        </w14:solidFill>
                      </w14:textFill>
                    </w:rPr>
                    <w:t>%</w:t>
                  </w:r>
                </w:p>
              </w:tc>
            </w:tr>
            <w:tr w14:paraId="4B3683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trPr>
              <w:tc>
                <w:tcPr>
                  <w:tcW w:w="1251" w:type="pct"/>
                  <w:tcBorders>
                    <w:left w:val="single" w:color="000000" w:sz="6" w:space="0"/>
                    <w:right w:val="single" w:color="000000" w:sz="8" w:space="0"/>
                  </w:tcBorders>
                  <w:vAlign w:val="center"/>
                </w:tcPr>
                <w:p w14:paraId="173B51E9">
                  <w:pPr>
                    <w:pStyle w:val="49"/>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spacing w:val="4"/>
                      <w14:textFill>
                        <w14:solidFill>
                          <w14:schemeClr w14:val="tx1"/>
                        </w14:solidFill>
                      </w14:textFill>
                    </w:rPr>
                    <w:t>23</w:t>
                  </w:r>
                </w:p>
              </w:tc>
              <w:tc>
                <w:tcPr>
                  <w:tcW w:w="1248" w:type="pct"/>
                  <w:tcBorders>
                    <w:left w:val="single" w:color="000000" w:sz="8" w:space="0"/>
                    <w:right w:val="single" w:color="000000" w:sz="8" w:space="0"/>
                  </w:tcBorders>
                  <w:vAlign w:val="center"/>
                </w:tcPr>
                <w:p w14:paraId="251B925F">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pacing w:val="-4"/>
                      <w:sz w:val="21"/>
                      <w:szCs w:val="21"/>
                      <w14:textFill>
                        <w14:solidFill>
                          <w14:schemeClr w14:val="tx1"/>
                        </w14:solidFill>
                      </w14:textFill>
                    </w:rPr>
                    <w:t>五氧化二磷</w:t>
                  </w:r>
                </w:p>
              </w:tc>
              <w:tc>
                <w:tcPr>
                  <w:tcW w:w="1248" w:type="pct"/>
                  <w:tcBorders>
                    <w:left w:val="single" w:color="000000" w:sz="8" w:space="0"/>
                    <w:right w:val="single" w:color="000000" w:sz="8" w:space="0"/>
                  </w:tcBorders>
                  <w:vAlign w:val="center"/>
                </w:tcPr>
                <w:p w14:paraId="2C4257A0">
                  <w:pPr>
                    <w:pStyle w:val="49"/>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spacing w:val="-12"/>
                      <w14:textFill>
                        <w14:solidFill>
                          <w14:schemeClr w14:val="tx1"/>
                        </w14:solidFill>
                      </w14:textFill>
                    </w:rPr>
                    <w:t>0.08</w:t>
                  </w:r>
                </w:p>
              </w:tc>
              <w:tc>
                <w:tcPr>
                  <w:tcW w:w="1251" w:type="pct"/>
                  <w:tcBorders>
                    <w:left w:val="single" w:color="000000" w:sz="8" w:space="0"/>
                    <w:bottom w:val="single" w:color="000000" w:sz="6" w:space="0"/>
                  </w:tcBorders>
                  <w:vAlign w:val="center"/>
                </w:tcPr>
                <w:p w14:paraId="14C74742">
                  <w:pPr>
                    <w:pStyle w:val="49"/>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14:textFill>
                        <w14:solidFill>
                          <w14:schemeClr w14:val="tx1"/>
                        </w14:solidFill>
                      </w14:textFill>
                    </w:rPr>
                    <w:t>%</w:t>
                  </w:r>
                </w:p>
              </w:tc>
            </w:tr>
            <w:tr w14:paraId="42B1FB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trPr>
              <w:tc>
                <w:tcPr>
                  <w:tcW w:w="1251" w:type="pct"/>
                  <w:tcBorders>
                    <w:left w:val="single" w:color="000000" w:sz="6" w:space="0"/>
                    <w:right w:val="single" w:color="000000" w:sz="8" w:space="0"/>
                  </w:tcBorders>
                  <w:vAlign w:val="center"/>
                </w:tcPr>
                <w:p w14:paraId="19D41B41">
                  <w:pPr>
                    <w:pStyle w:val="49"/>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spacing w:val="-1"/>
                      <w14:textFill>
                        <w14:solidFill>
                          <w14:schemeClr w14:val="tx1"/>
                        </w14:solidFill>
                      </w14:textFill>
                    </w:rPr>
                    <w:t>24</w:t>
                  </w:r>
                </w:p>
              </w:tc>
              <w:tc>
                <w:tcPr>
                  <w:tcW w:w="1248" w:type="pct"/>
                  <w:tcBorders>
                    <w:left w:val="single" w:color="000000" w:sz="8" w:space="0"/>
                    <w:right w:val="single" w:color="000000" w:sz="8" w:space="0"/>
                  </w:tcBorders>
                  <w:vAlign w:val="center"/>
                </w:tcPr>
                <w:p w14:paraId="4431397D">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pacing w:val="-4"/>
                      <w:sz w:val="21"/>
                      <w:szCs w:val="21"/>
                      <w14:textFill>
                        <w14:solidFill>
                          <w14:schemeClr w14:val="tx1"/>
                        </w14:solidFill>
                      </w14:textFill>
                    </w:rPr>
                    <w:t>三氧化硫</w:t>
                  </w:r>
                </w:p>
              </w:tc>
              <w:tc>
                <w:tcPr>
                  <w:tcW w:w="1248" w:type="pct"/>
                  <w:tcBorders>
                    <w:left w:val="single" w:color="000000" w:sz="8" w:space="0"/>
                    <w:right w:val="single" w:color="000000" w:sz="8" w:space="0"/>
                  </w:tcBorders>
                  <w:vAlign w:val="center"/>
                </w:tcPr>
                <w:p w14:paraId="20D7F784">
                  <w:pPr>
                    <w:pStyle w:val="49"/>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spacing w:val="-3"/>
                      <w14:textFill>
                        <w14:solidFill>
                          <w14:schemeClr w14:val="tx1"/>
                        </w14:solidFill>
                      </w14:textFill>
                    </w:rPr>
                    <w:t>&lt;0.01</w:t>
                  </w:r>
                </w:p>
              </w:tc>
              <w:tc>
                <w:tcPr>
                  <w:tcW w:w="1251" w:type="pct"/>
                  <w:tcBorders>
                    <w:left w:val="single" w:color="000000" w:sz="8" w:space="0"/>
                    <w:bottom w:val="single" w:color="000000" w:sz="6" w:space="0"/>
                  </w:tcBorders>
                  <w:vAlign w:val="center"/>
                </w:tcPr>
                <w:p w14:paraId="57F66D5F">
                  <w:pPr>
                    <w:pStyle w:val="49"/>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14:textFill>
                        <w14:solidFill>
                          <w14:schemeClr w14:val="tx1"/>
                        </w14:solidFill>
                      </w14:textFill>
                    </w:rPr>
                    <w:t>%</w:t>
                  </w:r>
                </w:p>
              </w:tc>
            </w:tr>
            <w:tr w14:paraId="6D9705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trPr>
              <w:tc>
                <w:tcPr>
                  <w:tcW w:w="1251" w:type="pct"/>
                  <w:tcBorders>
                    <w:left w:val="single" w:color="000000" w:sz="6" w:space="0"/>
                    <w:right w:val="single" w:color="000000" w:sz="8" w:space="0"/>
                  </w:tcBorders>
                  <w:vAlign w:val="center"/>
                </w:tcPr>
                <w:p w14:paraId="7171B315">
                  <w:pPr>
                    <w:pStyle w:val="49"/>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spacing w:val="3"/>
                      <w14:textFill>
                        <w14:solidFill>
                          <w14:schemeClr w14:val="tx1"/>
                        </w14:solidFill>
                      </w14:textFill>
                    </w:rPr>
                    <w:t>25</w:t>
                  </w:r>
                </w:p>
              </w:tc>
              <w:tc>
                <w:tcPr>
                  <w:tcW w:w="1248" w:type="pct"/>
                  <w:tcBorders>
                    <w:left w:val="single" w:color="000000" w:sz="8" w:space="0"/>
                    <w:right w:val="single" w:color="000000" w:sz="8" w:space="0"/>
                  </w:tcBorders>
                  <w:vAlign w:val="center"/>
                </w:tcPr>
                <w:p w14:paraId="2A2B0670">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pacing w:val="-5"/>
                      <w:sz w:val="21"/>
                      <w:szCs w:val="21"/>
                      <w14:textFill>
                        <w14:solidFill>
                          <w14:schemeClr w14:val="tx1"/>
                        </w14:solidFill>
                      </w14:textFill>
                    </w:rPr>
                    <w:t>一氧化钴</w:t>
                  </w:r>
                </w:p>
              </w:tc>
              <w:tc>
                <w:tcPr>
                  <w:tcW w:w="1248" w:type="pct"/>
                  <w:tcBorders>
                    <w:left w:val="single" w:color="000000" w:sz="8" w:space="0"/>
                    <w:right w:val="single" w:color="000000" w:sz="8" w:space="0"/>
                  </w:tcBorders>
                  <w:vAlign w:val="center"/>
                </w:tcPr>
                <w:p w14:paraId="5FD8B1AB">
                  <w:pPr>
                    <w:pStyle w:val="49"/>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spacing w:val="-3"/>
                      <w14:textFill>
                        <w14:solidFill>
                          <w14:schemeClr w14:val="tx1"/>
                        </w14:solidFill>
                      </w14:textFill>
                    </w:rPr>
                    <w:t>&lt;0.01</w:t>
                  </w:r>
                </w:p>
              </w:tc>
              <w:tc>
                <w:tcPr>
                  <w:tcW w:w="1251" w:type="pct"/>
                  <w:tcBorders>
                    <w:left w:val="single" w:color="000000" w:sz="8" w:space="0"/>
                    <w:bottom w:val="single" w:color="000000" w:sz="6" w:space="0"/>
                  </w:tcBorders>
                  <w:vAlign w:val="center"/>
                </w:tcPr>
                <w:p w14:paraId="7A9BFB4B">
                  <w:pPr>
                    <w:pStyle w:val="49"/>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14:textFill>
                        <w14:solidFill>
                          <w14:schemeClr w14:val="tx1"/>
                        </w14:solidFill>
                      </w14:textFill>
                    </w:rPr>
                    <w:t>%</w:t>
                  </w:r>
                </w:p>
              </w:tc>
            </w:tr>
            <w:tr w14:paraId="46FC84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trPr>
              <w:tc>
                <w:tcPr>
                  <w:tcW w:w="1251" w:type="pct"/>
                  <w:tcBorders>
                    <w:left w:val="single" w:color="000000" w:sz="6" w:space="0"/>
                    <w:right w:val="single" w:color="000000" w:sz="8" w:space="0"/>
                  </w:tcBorders>
                  <w:vAlign w:val="center"/>
                </w:tcPr>
                <w:p w14:paraId="6AF30998">
                  <w:pPr>
                    <w:pStyle w:val="49"/>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spacing w:val="-1"/>
                      <w14:textFill>
                        <w14:solidFill>
                          <w14:schemeClr w14:val="tx1"/>
                        </w14:solidFill>
                      </w14:textFill>
                    </w:rPr>
                    <w:t>26</w:t>
                  </w:r>
                </w:p>
              </w:tc>
              <w:tc>
                <w:tcPr>
                  <w:tcW w:w="1248" w:type="pct"/>
                  <w:tcBorders>
                    <w:left w:val="single" w:color="000000" w:sz="8" w:space="0"/>
                    <w:right w:val="single" w:color="000000" w:sz="8" w:space="0"/>
                  </w:tcBorders>
                  <w:vAlign w:val="center"/>
                </w:tcPr>
                <w:p w14:paraId="5EECA6C9">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pacing w:val="-3"/>
                      <w:sz w:val="21"/>
                      <w:szCs w:val="21"/>
                      <w14:textFill>
                        <w14:solidFill>
                          <w14:schemeClr w14:val="tx1"/>
                        </w14:solidFill>
                      </w14:textFill>
                    </w:rPr>
                    <w:t>氯</w:t>
                  </w:r>
                </w:p>
              </w:tc>
              <w:tc>
                <w:tcPr>
                  <w:tcW w:w="1248" w:type="pct"/>
                  <w:tcBorders>
                    <w:left w:val="single" w:color="000000" w:sz="8" w:space="0"/>
                    <w:right w:val="single" w:color="000000" w:sz="8" w:space="0"/>
                  </w:tcBorders>
                  <w:vAlign w:val="center"/>
                </w:tcPr>
                <w:p w14:paraId="063718BC">
                  <w:pPr>
                    <w:pStyle w:val="49"/>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spacing w:val="-5"/>
                      <w14:textFill>
                        <w14:solidFill>
                          <w14:schemeClr w14:val="tx1"/>
                        </w14:solidFill>
                      </w14:textFill>
                    </w:rPr>
                    <w:t>1.08</w:t>
                  </w:r>
                </w:p>
              </w:tc>
              <w:tc>
                <w:tcPr>
                  <w:tcW w:w="1251" w:type="pct"/>
                  <w:tcBorders>
                    <w:left w:val="single" w:color="000000" w:sz="8" w:space="0"/>
                  </w:tcBorders>
                  <w:vAlign w:val="center"/>
                </w:tcPr>
                <w:p w14:paraId="6C655485">
                  <w:pPr>
                    <w:pStyle w:val="49"/>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14:textFill>
                        <w14:solidFill>
                          <w14:schemeClr w14:val="tx1"/>
                        </w14:solidFill>
                      </w14:textFill>
                    </w:rPr>
                    <w:t>%</w:t>
                  </w:r>
                </w:p>
              </w:tc>
            </w:tr>
            <w:tr w14:paraId="14CC48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trPr>
              <w:tc>
                <w:tcPr>
                  <w:tcW w:w="1251" w:type="pct"/>
                  <w:vAlign w:val="center"/>
                </w:tcPr>
                <w:p w14:paraId="67AF6DBB">
                  <w:pPr>
                    <w:pStyle w:val="49"/>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spacing w:val="2"/>
                      <w14:textFill>
                        <w14:solidFill>
                          <w14:schemeClr w14:val="tx1"/>
                        </w14:solidFill>
                      </w14:textFill>
                    </w:rPr>
                    <w:t>27</w:t>
                  </w:r>
                </w:p>
              </w:tc>
              <w:tc>
                <w:tcPr>
                  <w:tcW w:w="1248" w:type="pct"/>
                  <w:vAlign w:val="center"/>
                </w:tcPr>
                <w:p w14:paraId="1EAEB80B">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pacing w:val="-3"/>
                      <w:sz w:val="21"/>
                      <w:szCs w:val="21"/>
                      <w14:textFill>
                        <w14:solidFill>
                          <w14:schemeClr w14:val="tx1"/>
                        </w14:solidFill>
                      </w14:textFill>
                    </w:rPr>
                    <w:t>氟</w:t>
                  </w:r>
                </w:p>
              </w:tc>
              <w:tc>
                <w:tcPr>
                  <w:tcW w:w="1248" w:type="pct"/>
                  <w:vAlign w:val="center"/>
                </w:tcPr>
                <w:p w14:paraId="40133636">
                  <w:pPr>
                    <w:pStyle w:val="49"/>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spacing w:val="1"/>
                      <w14:textFill>
                        <w14:solidFill>
                          <w14:schemeClr w14:val="tx1"/>
                        </w14:solidFill>
                      </w14:textFill>
                    </w:rPr>
                    <w:t>0.51</w:t>
                  </w:r>
                </w:p>
              </w:tc>
              <w:tc>
                <w:tcPr>
                  <w:tcW w:w="1251" w:type="pct"/>
                  <w:vAlign w:val="center"/>
                </w:tcPr>
                <w:p w14:paraId="5EFAF173">
                  <w:pPr>
                    <w:pStyle w:val="49"/>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14:textFill>
                        <w14:solidFill>
                          <w14:schemeClr w14:val="tx1"/>
                        </w14:solidFill>
                      </w14:textFill>
                    </w:rPr>
                    <w:t>%</w:t>
                  </w:r>
                </w:p>
              </w:tc>
            </w:tr>
          </w:tbl>
          <w:p w14:paraId="39A5BCD4">
            <w:pPr>
              <w:keepNext w:val="0"/>
              <w:keepLines w:val="0"/>
              <w:pageBreakBefore w:val="0"/>
              <w:numPr>
                <w:ilvl w:val="0"/>
                <w:numId w:val="0"/>
              </w:numPr>
              <w:kinsoku/>
              <w:wordWrap/>
              <w:overflowPunct/>
              <w:topLinePunct w:val="0"/>
              <w:autoSpaceDE/>
              <w:autoSpaceDN/>
              <w:bidi w:val="0"/>
              <w:adjustRightInd/>
              <w:snapToGrid/>
              <w:ind w:firstLine="480" w:firstLineChars="200"/>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四川安瑞环境治理有限公司项目采用厌氧热回收工艺，在不改变有机物性质</w:t>
            </w:r>
            <w:r>
              <w:rPr>
                <w:rFonts w:hint="eastAsia" w:ascii="宋体" w:hAnsi="宋体" w:eastAsia="宋体" w:cs="宋体"/>
                <w:color w:val="000000" w:themeColor="text1"/>
                <w14:textFill>
                  <w14:solidFill>
                    <w14:schemeClr w14:val="tx1"/>
                  </w14:solidFill>
                </w14:textFill>
              </w:rPr>
              <w:t>(无裂解)情况下实现和其他液相(水和油类)一</w:t>
            </w:r>
            <w:r>
              <w:rPr>
                <w:rFonts w:hint="eastAsia"/>
                <w:color w:val="000000" w:themeColor="text1"/>
                <w14:textFill>
                  <w14:solidFill>
                    <w14:schemeClr w14:val="tx1"/>
                  </w14:solidFill>
                </w14:textFill>
              </w:rPr>
              <w:t>起与固相彻底分离，并分别进行资源化利用。四川安瑞环境治理有限公司采用的生产工艺不同于直接焚烧方式，生产过程中，液相通过间接加热物理汽化，物料不与燃烧器火焰或燃烧气体直接接触，且在惰性厌氧环境下，通过分段控制达到足以让液相汽化的温度，从而防止任何氧化或破坏碳氢化合物及其化学成分。回收后干渣作为建材生产替代原料。因此本项目外购油基岩屑热脱附干渣，作为水稳拌合料等生产原料，实现一般固废“减量化、资源化、无害化”的处理。</w:t>
            </w:r>
          </w:p>
          <w:p w14:paraId="741AA7DE">
            <w:pPr>
              <w:keepNext w:val="0"/>
              <w:keepLines w:val="0"/>
              <w:pageBreakBefore w:val="0"/>
              <w:numPr>
                <w:ilvl w:val="0"/>
                <w:numId w:val="0"/>
              </w:numPr>
              <w:kinsoku/>
              <w:wordWrap/>
              <w:overflowPunct/>
              <w:topLinePunct w:val="0"/>
              <w:autoSpaceDE/>
              <w:autoSpaceDN/>
              <w:bidi w:val="0"/>
              <w:adjustRightInd/>
              <w:snapToGrid/>
              <w:ind w:firstLine="480" w:firstLineChars="200"/>
              <w:textAlignment w:val="auto"/>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此外，根据四川安瑞环境治理有限公司提供的2025年7月11日委托青岛斯坦德衡立环境技术研究院有限公司检测的热脱附干渣浸出液的检测报告（编号：STD-QDD-ZL-156 02版），成分检测结果见下表。</w:t>
            </w:r>
          </w:p>
          <w:p w14:paraId="1DC2A808">
            <w:pPr>
              <w:keepNext w:val="0"/>
              <w:keepLines w:val="0"/>
              <w:pageBreakBefore w:val="0"/>
              <w:numPr>
                <w:ilvl w:val="0"/>
                <w:numId w:val="0"/>
              </w:numPr>
              <w:kinsoku/>
              <w:wordWrap/>
              <w:overflowPunct/>
              <w:topLinePunct w:val="0"/>
              <w:autoSpaceDE/>
              <w:autoSpaceDN/>
              <w:bidi w:val="0"/>
              <w:adjustRightInd/>
              <w:snapToGrid/>
              <w:jc w:val="center"/>
              <w:textAlignment w:val="auto"/>
              <w:rPr>
                <w:rFonts w:hint="default"/>
                <w:b/>
                <w:bCs/>
                <w:color w:val="000000" w:themeColor="text1"/>
                <w:sz w:val="21"/>
                <w:szCs w:val="20"/>
                <w:vertAlign w:val="baseline"/>
                <w:lang w:val="en-US" w:eastAsia="zh-CN"/>
                <w14:textFill>
                  <w14:solidFill>
                    <w14:schemeClr w14:val="tx1"/>
                  </w14:solidFill>
                </w14:textFill>
              </w:rPr>
            </w:pPr>
            <w:r>
              <w:rPr>
                <w:rFonts w:hint="eastAsia"/>
                <w:b/>
                <w:bCs/>
                <w:color w:val="000000" w:themeColor="text1"/>
                <w:sz w:val="21"/>
                <w:szCs w:val="20"/>
                <w:lang w:val="en-US" w:eastAsia="zh-CN"/>
                <w14:textFill>
                  <w14:solidFill>
                    <w14:schemeClr w14:val="tx1"/>
                  </w14:solidFill>
                </w14:textFill>
              </w:rPr>
              <w:t>表2-7 热脱附干渣的检测结果一览表</w:t>
            </w: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49"/>
              <w:gridCol w:w="1315"/>
              <w:gridCol w:w="2681"/>
              <w:gridCol w:w="1440"/>
              <w:gridCol w:w="1102"/>
              <w:gridCol w:w="1102"/>
            </w:tblGrid>
            <w:tr w14:paraId="51CEE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660" w:type="dxa"/>
                  <w:vAlign w:val="center"/>
                </w:tcPr>
                <w:p w14:paraId="7FBAE300">
                  <w:pPr>
                    <w:keepNext w:val="0"/>
                    <w:keepLines w:val="0"/>
                    <w:pageBreakBefore w:val="0"/>
                    <w:numPr>
                      <w:ilvl w:val="0"/>
                      <w:numId w:val="0"/>
                    </w:numPr>
                    <w:kinsoku/>
                    <w:wordWrap/>
                    <w:overflowPunct/>
                    <w:topLinePunct w:val="0"/>
                    <w:autoSpaceDE/>
                    <w:autoSpaceDN/>
                    <w:bidi w:val="0"/>
                    <w:adjustRightInd/>
                    <w:snapToGrid/>
                    <w:spacing w:line="240" w:lineRule="auto"/>
                    <w:jc w:val="center"/>
                    <w:textAlignment w:val="auto"/>
                    <w:rPr>
                      <w:rFonts w:hint="default"/>
                      <w:b/>
                      <w:bCs/>
                      <w:color w:val="000000" w:themeColor="text1"/>
                      <w:sz w:val="21"/>
                      <w:szCs w:val="20"/>
                      <w:vertAlign w:val="baseline"/>
                      <w:lang w:val="en-US" w:eastAsia="zh-CN"/>
                      <w14:textFill>
                        <w14:solidFill>
                          <w14:schemeClr w14:val="tx1"/>
                        </w14:solidFill>
                      </w14:textFill>
                    </w:rPr>
                  </w:pPr>
                  <w:r>
                    <w:rPr>
                      <w:rFonts w:hint="eastAsia"/>
                      <w:b/>
                      <w:bCs/>
                      <w:color w:val="000000" w:themeColor="text1"/>
                      <w:sz w:val="21"/>
                      <w:szCs w:val="20"/>
                      <w:vertAlign w:val="baseline"/>
                      <w:lang w:val="en-US" w:eastAsia="zh-CN"/>
                      <w14:textFill>
                        <w14:solidFill>
                          <w14:schemeClr w14:val="tx1"/>
                        </w14:solidFill>
                      </w14:textFill>
                    </w:rPr>
                    <w:t>检测项目</w:t>
                  </w:r>
                </w:p>
              </w:tc>
              <w:tc>
                <w:tcPr>
                  <w:tcW w:w="1332" w:type="dxa"/>
                  <w:vAlign w:val="center"/>
                </w:tcPr>
                <w:p w14:paraId="510B49F0">
                  <w:pPr>
                    <w:keepNext w:val="0"/>
                    <w:keepLines w:val="0"/>
                    <w:pageBreakBefore w:val="0"/>
                    <w:numPr>
                      <w:ilvl w:val="0"/>
                      <w:numId w:val="0"/>
                    </w:numPr>
                    <w:kinsoku/>
                    <w:wordWrap/>
                    <w:overflowPunct/>
                    <w:topLinePunct w:val="0"/>
                    <w:autoSpaceDE/>
                    <w:autoSpaceDN/>
                    <w:bidi w:val="0"/>
                    <w:adjustRightInd/>
                    <w:snapToGrid/>
                    <w:spacing w:line="240" w:lineRule="auto"/>
                    <w:jc w:val="center"/>
                    <w:textAlignment w:val="auto"/>
                    <w:rPr>
                      <w:rFonts w:hint="default"/>
                      <w:b/>
                      <w:bCs/>
                      <w:color w:val="000000" w:themeColor="text1"/>
                      <w:sz w:val="21"/>
                      <w:szCs w:val="20"/>
                      <w:vertAlign w:val="baseline"/>
                      <w:lang w:val="en-US" w:eastAsia="zh-CN"/>
                      <w14:textFill>
                        <w14:solidFill>
                          <w14:schemeClr w14:val="tx1"/>
                        </w14:solidFill>
                      </w14:textFill>
                    </w:rPr>
                  </w:pPr>
                  <w:r>
                    <w:rPr>
                      <w:rFonts w:hint="eastAsia"/>
                      <w:b/>
                      <w:bCs/>
                      <w:color w:val="000000" w:themeColor="text1"/>
                      <w:sz w:val="21"/>
                      <w:szCs w:val="20"/>
                      <w:vertAlign w:val="baseline"/>
                      <w:lang w:val="en-US" w:eastAsia="zh-CN"/>
                      <w14:textFill>
                        <w14:solidFill>
                          <w14:schemeClr w14:val="tx1"/>
                        </w14:solidFill>
                      </w14:textFill>
                    </w:rPr>
                    <w:t>单位</w:t>
                  </w:r>
                </w:p>
              </w:tc>
              <w:tc>
                <w:tcPr>
                  <w:tcW w:w="2730" w:type="dxa"/>
                  <w:vAlign w:val="center"/>
                </w:tcPr>
                <w:p w14:paraId="4A2D4906">
                  <w:pPr>
                    <w:keepNext w:val="0"/>
                    <w:keepLines w:val="0"/>
                    <w:pageBreakBefore w:val="0"/>
                    <w:numPr>
                      <w:ilvl w:val="0"/>
                      <w:numId w:val="0"/>
                    </w:numPr>
                    <w:kinsoku/>
                    <w:wordWrap/>
                    <w:overflowPunct/>
                    <w:topLinePunct w:val="0"/>
                    <w:autoSpaceDE/>
                    <w:autoSpaceDN/>
                    <w:bidi w:val="0"/>
                    <w:adjustRightInd/>
                    <w:snapToGrid/>
                    <w:spacing w:line="240" w:lineRule="auto"/>
                    <w:jc w:val="center"/>
                    <w:textAlignment w:val="auto"/>
                    <w:rPr>
                      <w:rFonts w:hint="default"/>
                      <w:b/>
                      <w:bCs/>
                      <w:color w:val="000000" w:themeColor="text1"/>
                      <w:sz w:val="21"/>
                      <w:szCs w:val="20"/>
                      <w:vertAlign w:val="baseline"/>
                      <w:lang w:val="en-US" w:eastAsia="zh-CN"/>
                      <w14:textFill>
                        <w14:solidFill>
                          <w14:schemeClr w14:val="tx1"/>
                        </w14:solidFill>
                      </w14:textFill>
                    </w:rPr>
                  </w:pPr>
                  <w:r>
                    <w:rPr>
                      <w:rFonts w:hint="eastAsia"/>
                      <w:b/>
                      <w:bCs/>
                      <w:color w:val="000000" w:themeColor="text1"/>
                      <w:sz w:val="21"/>
                      <w:szCs w:val="20"/>
                      <w:vertAlign w:val="baseline"/>
                      <w:lang w:val="en-US" w:eastAsia="zh-CN"/>
                      <w14:textFill>
                        <w14:solidFill>
                          <w14:schemeClr w14:val="tx1"/>
                        </w14:solidFill>
                      </w14:textFill>
                    </w:rPr>
                    <w:t>测试结果</w:t>
                  </w:r>
                </w:p>
              </w:tc>
              <w:tc>
                <w:tcPr>
                  <w:tcW w:w="1457" w:type="dxa"/>
                  <w:vAlign w:val="center"/>
                </w:tcPr>
                <w:p w14:paraId="28316544">
                  <w:pPr>
                    <w:keepNext w:val="0"/>
                    <w:keepLines w:val="0"/>
                    <w:pageBreakBefore w:val="0"/>
                    <w:numPr>
                      <w:ilvl w:val="0"/>
                      <w:numId w:val="0"/>
                    </w:numPr>
                    <w:kinsoku/>
                    <w:wordWrap/>
                    <w:overflowPunct/>
                    <w:topLinePunct w:val="0"/>
                    <w:autoSpaceDE/>
                    <w:autoSpaceDN/>
                    <w:bidi w:val="0"/>
                    <w:adjustRightInd/>
                    <w:snapToGrid/>
                    <w:spacing w:line="240" w:lineRule="auto"/>
                    <w:jc w:val="center"/>
                    <w:textAlignment w:val="auto"/>
                    <w:rPr>
                      <w:rFonts w:hint="default"/>
                      <w:b/>
                      <w:bCs/>
                      <w:color w:val="000000" w:themeColor="text1"/>
                      <w:sz w:val="21"/>
                      <w:szCs w:val="20"/>
                      <w:vertAlign w:val="baseline"/>
                      <w:lang w:val="en-US" w:eastAsia="zh-CN"/>
                      <w14:textFill>
                        <w14:solidFill>
                          <w14:schemeClr w14:val="tx1"/>
                        </w14:solidFill>
                      </w14:textFill>
                    </w:rPr>
                  </w:pPr>
                  <w:r>
                    <w:rPr>
                      <w:rFonts w:hint="eastAsia"/>
                      <w:b/>
                      <w:bCs/>
                      <w:color w:val="000000" w:themeColor="text1"/>
                      <w:sz w:val="21"/>
                      <w:szCs w:val="20"/>
                      <w:vertAlign w:val="baseline"/>
                      <w:lang w:val="en-US" w:eastAsia="zh-CN"/>
                      <w14:textFill>
                        <w14:solidFill>
                          <w14:schemeClr w14:val="tx1"/>
                        </w14:solidFill>
                      </w14:textFill>
                    </w:rPr>
                    <w:t>限值</w:t>
                  </w:r>
                </w:p>
              </w:tc>
              <w:tc>
                <w:tcPr>
                  <w:tcW w:w="1122" w:type="dxa"/>
                  <w:vAlign w:val="center"/>
                </w:tcPr>
                <w:p w14:paraId="3867FF4A">
                  <w:pPr>
                    <w:keepNext w:val="0"/>
                    <w:keepLines w:val="0"/>
                    <w:pageBreakBefore w:val="0"/>
                    <w:numPr>
                      <w:ilvl w:val="0"/>
                      <w:numId w:val="0"/>
                    </w:numPr>
                    <w:kinsoku/>
                    <w:wordWrap/>
                    <w:overflowPunct/>
                    <w:topLinePunct w:val="0"/>
                    <w:autoSpaceDE/>
                    <w:autoSpaceDN/>
                    <w:bidi w:val="0"/>
                    <w:adjustRightInd/>
                    <w:snapToGrid/>
                    <w:spacing w:line="240" w:lineRule="auto"/>
                    <w:jc w:val="center"/>
                    <w:textAlignment w:val="auto"/>
                    <w:rPr>
                      <w:rFonts w:hint="default"/>
                      <w:b/>
                      <w:bCs/>
                      <w:color w:val="000000" w:themeColor="text1"/>
                      <w:sz w:val="21"/>
                      <w:szCs w:val="20"/>
                      <w:vertAlign w:val="baseline"/>
                      <w:lang w:val="en-US" w:eastAsia="zh-CN"/>
                      <w14:textFill>
                        <w14:solidFill>
                          <w14:schemeClr w14:val="tx1"/>
                        </w14:solidFill>
                      </w14:textFill>
                    </w:rPr>
                  </w:pPr>
                  <w:r>
                    <w:rPr>
                      <w:rFonts w:hint="eastAsia"/>
                      <w:b/>
                      <w:bCs/>
                      <w:color w:val="000000" w:themeColor="text1"/>
                      <w:sz w:val="21"/>
                      <w:szCs w:val="20"/>
                      <w:vertAlign w:val="baseline"/>
                      <w:lang w:val="en-US" w:eastAsia="zh-CN"/>
                      <w14:textFill>
                        <w14:solidFill>
                          <w14:schemeClr w14:val="tx1"/>
                        </w14:solidFill>
                      </w14:textFill>
                    </w:rPr>
                    <w:t>判定</w:t>
                  </w:r>
                </w:p>
              </w:tc>
              <w:tc>
                <w:tcPr>
                  <w:tcW w:w="1122" w:type="dxa"/>
                  <w:vAlign w:val="center"/>
                </w:tcPr>
                <w:p w14:paraId="4ABFC660">
                  <w:pPr>
                    <w:keepNext w:val="0"/>
                    <w:keepLines w:val="0"/>
                    <w:pageBreakBefore w:val="0"/>
                    <w:numPr>
                      <w:ilvl w:val="0"/>
                      <w:numId w:val="0"/>
                    </w:numPr>
                    <w:kinsoku/>
                    <w:wordWrap/>
                    <w:overflowPunct/>
                    <w:topLinePunct w:val="0"/>
                    <w:autoSpaceDE/>
                    <w:autoSpaceDN/>
                    <w:bidi w:val="0"/>
                    <w:adjustRightInd/>
                    <w:snapToGrid/>
                    <w:spacing w:line="240" w:lineRule="auto"/>
                    <w:jc w:val="center"/>
                    <w:textAlignment w:val="auto"/>
                    <w:rPr>
                      <w:rFonts w:hint="default"/>
                      <w:b/>
                      <w:bCs/>
                      <w:color w:val="000000" w:themeColor="text1"/>
                      <w:sz w:val="21"/>
                      <w:szCs w:val="20"/>
                      <w:vertAlign w:val="baseline"/>
                      <w:lang w:val="en-US" w:eastAsia="zh-CN"/>
                      <w14:textFill>
                        <w14:solidFill>
                          <w14:schemeClr w14:val="tx1"/>
                        </w14:solidFill>
                      </w14:textFill>
                    </w:rPr>
                  </w:pPr>
                  <w:r>
                    <w:rPr>
                      <w:rFonts w:hint="eastAsia"/>
                      <w:b/>
                      <w:bCs/>
                      <w:color w:val="000000" w:themeColor="text1"/>
                      <w:sz w:val="21"/>
                      <w:szCs w:val="20"/>
                      <w:vertAlign w:val="baseline"/>
                      <w:lang w:val="en-US" w:eastAsia="zh-CN"/>
                      <w14:textFill>
                        <w14:solidFill>
                          <w14:schemeClr w14:val="tx1"/>
                        </w14:solidFill>
                      </w14:textFill>
                    </w:rPr>
                    <w:t>备注</w:t>
                  </w:r>
                </w:p>
              </w:tc>
            </w:tr>
            <w:tr w14:paraId="10DD6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1660" w:type="dxa"/>
                  <w:vAlign w:val="center"/>
                </w:tcPr>
                <w:p w14:paraId="0CB39F87">
                  <w:pPr>
                    <w:keepNext w:val="0"/>
                    <w:keepLines w:val="0"/>
                    <w:pageBreakBefore w:val="0"/>
                    <w:numPr>
                      <w:ilvl w:val="0"/>
                      <w:numId w:val="0"/>
                    </w:numPr>
                    <w:kinsoku/>
                    <w:wordWrap/>
                    <w:overflowPunct/>
                    <w:topLinePunct w:val="0"/>
                    <w:autoSpaceDE/>
                    <w:autoSpaceDN/>
                    <w:bidi w:val="0"/>
                    <w:adjustRightInd/>
                    <w:snapToGrid/>
                    <w:spacing w:line="240" w:lineRule="auto"/>
                    <w:jc w:val="center"/>
                    <w:textAlignment w:val="auto"/>
                    <w:rPr>
                      <w:rFonts w:hint="default"/>
                      <w:b w:val="0"/>
                      <w:bCs w:val="0"/>
                      <w:color w:val="000000" w:themeColor="text1"/>
                      <w:sz w:val="21"/>
                      <w:szCs w:val="20"/>
                      <w:vertAlign w:val="baseline"/>
                      <w:lang w:val="en-US" w:eastAsia="zh-CN"/>
                      <w14:textFill>
                        <w14:solidFill>
                          <w14:schemeClr w14:val="tx1"/>
                        </w14:solidFill>
                      </w14:textFill>
                    </w:rPr>
                  </w:pPr>
                  <w:r>
                    <w:rPr>
                      <w:rFonts w:hint="eastAsia"/>
                      <w:b w:val="0"/>
                      <w:bCs w:val="0"/>
                      <w:color w:val="000000" w:themeColor="text1"/>
                      <w:sz w:val="21"/>
                      <w:szCs w:val="20"/>
                      <w:vertAlign w:val="baseline"/>
                      <w:lang w:val="en-US" w:eastAsia="zh-CN"/>
                      <w14:textFill>
                        <w14:solidFill>
                          <w14:schemeClr w14:val="tx1"/>
                        </w14:solidFill>
                      </w14:textFill>
                    </w:rPr>
                    <w:t>氟化物</w:t>
                  </w:r>
                </w:p>
              </w:tc>
              <w:tc>
                <w:tcPr>
                  <w:tcW w:w="1332" w:type="dxa"/>
                  <w:vAlign w:val="center"/>
                </w:tcPr>
                <w:p w14:paraId="50AD632B">
                  <w:pPr>
                    <w:keepNext w:val="0"/>
                    <w:keepLines w:val="0"/>
                    <w:pageBreakBefore w:val="0"/>
                    <w:numPr>
                      <w:ilvl w:val="0"/>
                      <w:numId w:val="0"/>
                    </w:numPr>
                    <w:kinsoku/>
                    <w:wordWrap/>
                    <w:overflowPunct/>
                    <w:topLinePunct w:val="0"/>
                    <w:autoSpaceDE/>
                    <w:autoSpaceDN/>
                    <w:bidi w:val="0"/>
                    <w:adjustRightInd/>
                    <w:snapToGrid/>
                    <w:spacing w:line="240" w:lineRule="auto"/>
                    <w:jc w:val="center"/>
                    <w:textAlignment w:val="auto"/>
                    <w:rPr>
                      <w:rFonts w:hint="default"/>
                      <w:b w:val="0"/>
                      <w:bCs w:val="0"/>
                      <w:color w:val="000000" w:themeColor="text1"/>
                      <w:sz w:val="21"/>
                      <w:szCs w:val="20"/>
                      <w:vertAlign w:val="baseline"/>
                      <w:lang w:val="en-US" w:eastAsia="zh-CN"/>
                      <w14:textFill>
                        <w14:solidFill>
                          <w14:schemeClr w14:val="tx1"/>
                        </w14:solidFill>
                      </w14:textFill>
                    </w:rPr>
                  </w:pPr>
                  <w:r>
                    <w:rPr>
                      <w:rFonts w:hint="eastAsia"/>
                      <w:b w:val="0"/>
                      <w:bCs w:val="0"/>
                      <w:color w:val="000000" w:themeColor="text1"/>
                      <w:sz w:val="21"/>
                      <w:szCs w:val="20"/>
                      <w:vertAlign w:val="baseline"/>
                      <w:lang w:val="en-US" w:eastAsia="zh-CN"/>
                      <w14:textFill>
                        <w14:solidFill>
                          <w14:schemeClr w14:val="tx1"/>
                        </w14:solidFill>
                      </w14:textFill>
                    </w:rPr>
                    <w:t>mg/L</w:t>
                  </w:r>
                </w:p>
              </w:tc>
              <w:tc>
                <w:tcPr>
                  <w:tcW w:w="2730" w:type="dxa"/>
                  <w:vAlign w:val="center"/>
                </w:tcPr>
                <w:p w14:paraId="0B8ED5D0">
                  <w:pPr>
                    <w:keepNext w:val="0"/>
                    <w:keepLines w:val="0"/>
                    <w:pageBreakBefore w:val="0"/>
                    <w:numPr>
                      <w:ilvl w:val="0"/>
                      <w:numId w:val="0"/>
                    </w:numPr>
                    <w:kinsoku/>
                    <w:wordWrap/>
                    <w:overflowPunct/>
                    <w:topLinePunct w:val="0"/>
                    <w:autoSpaceDE/>
                    <w:autoSpaceDN/>
                    <w:bidi w:val="0"/>
                    <w:adjustRightInd/>
                    <w:snapToGrid/>
                    <w:spacing w:line="240" w:lineRule="auto"/>
                    <w:jc w:val="center"/>
                    <w:textAlignment w:val="auto"/>
                    <w:rPr>
                      <w:rFonts w:hint="default"/>
                      <w:b w:val="0"/>
                      <w:bCs w:val="0"/>
                      <w:color w:val="000000" w:themeColor="text1"/>
                      <w:sz w:val="21"/>
                      <w:szCs w:val="20"/>
                      <w:vertAlign w:val="baseline"/>
                      <w:lang w:val="en-US" w:eastAsia="zh-CN"/>
                      <w14:textFill>
                        <w14:solidFill>
                          <w14:schemeClr w14:val="tx1"/>
                        </w14:solidFill>
                      </w14:textFill>
                    </w:rPr>
                  </w:pPr>
                  <w:r>
                    <w:rPr>
                      <w:rFonts w:hint="eastAsia"/>
                      <w:b w:val="0"/>
                      <w:bCs w:val="0"/>
                      <w:color w:val="000000" w:themeColor="text1"/>
                      <w:sz w:val="21"/>
                      <w:szCs w:val="20"/>
                      <w:vertAlign w:val="baseline"/>
                      <w:lang w:val="en-US" w:eastAsia="zh-CN"/>
                      <w14:textFill>
                        <w14:solidFill>
                          <w14:schemeClr w14:val="tx1"/>
                        </w14:solidFill>
                      </w14:textFill>
                    </w:rPr>
                    <w:t>6.51</w:t>
                  </w:r>
                </w:p>
              </w:tc>
              <w:tc>
                <w:tcPr>
                  <w:tcW w:w="1457" w:type="dxa"/>
                  <w:vAlign w:val="center"/>
                </w:tcPr>
                <w:p w14:paraId="529A4E32">
                  <w:pPr>
                    <w:keepNext w:val="0"/>
                    <w:keepLines w:val="0"/>
                    <w:pageBreakBefore w:val="0"/>
                    <w:numPr>
                      <w:ilvl w:val="0"/>
                      <w:numId w:val="0"/>
                    </w:numPr>
                    <w:kinsoku/>
                    <w:wordWrap/>
                    <w:overflowPunct/>
                    <w:topLinePunct w:val="0"/>
                    <w:autoSpaceDE/>
                    <w:autoSpaceDN/>
                    <w:bidi w:val="0"/>
                    <w:adjustRightInd/>
                    <w:snapToGrid/>
                    <w:spacing w:line="240" w:lineRule="auto"/>
                    <w:jc w:val="center"/>
                    <w:textAlignment w:val="auto"/>
                    <w:rPr>
                      <w:rFonts w:hint="default"/>
                      <w:b w:val="0"/>
                      <w:bCs w:val="0"/>
                      <w:color w:val="000000" w:themeColor="text1"/>
                      <w:sz w:val="21"/>
                      <w:szCs w:val="20"/>
                      <w:vertAlign w:val="baseline"/>
                      <w:lang w:val="en-US" w:eastAsia="zh-CN"/>
                      <w14:textFill>
                        <w14:solidFill>
                          <w14:schemeClr w14:val="tx1"/>
                        </w14:solidFill>
                      </w14:textFill>
                    </w:rPr>
                  </w:pPr>
                  <w:r>
                    <w:rPr>
                      <w:rFonts w:hint="eastAsia"/>
                      <w:b w:val="0"/>
                      <w:bCs w:val="0"/>
                      <w:color w:val="000000" w:themeColor="text1"/>
                      <w:sz w:val="21"/>
                      <w:szCs w:val="20"/>
                      <w:vertAlign w:val="baseline"/>
                      <w:lang w:val="en-US" w:eastAsia="zh-CN"/>
                      <w14:textFill>
                        <w14:solidFill>
                          <w14:schemeClr w14:val="tx1"/>
                        </w14:solidFill>
                      </w14:textFill>
                    </w:rPr>
                    <w:t>＜100</w:t>
                  </w:r>
                </w:p>
              </w:tc>
              <w:tc>
                <w:tcPr>
                  <w:tcW w:w="1122" w:type="dxa"/>
                  <w:vAlign w:val="center"/>
                </w:tcPr>
                <w:p w14:paraId="49BFC074">
                  <w:pPr>
                    <w:keepNext w:val="0"/>
                    <w:keepLines w:val="0"/>
                    <w:pageBreakBefore w:val="0"/>
                    <w:numPr>
                      <w:ilvl w:val="0"/>
                      <w:numId w:val="0"/>
                    </w:numPr>
                    <w:kinsoku/>
                    <w:wordWrap/>
                    <w:overflowPunct/>
                    <w:topLinePunct w:val="0"/>
                    <w:autoSpaceDE/>
                    <w:autoSpaceDN/>
                    <w:bidi w:val="0"/>
                    <w:adjustRightInd/>
                    <w:snapToGrid/>
                    <w:spacing w:line="240" w:lineRule="auto"/>
                    <w:jc w:val="center"/>
                    <w:textAlignment w:val="auto"/>
                    <w:rPr>
                      <w:rFonts w:hint="default"/>
                      <w:b w:val="0"/>
                      <w:bCs w:val="0"/>
                      <w:color w:val="000000" w:themeColor="text1"/>
                      <w:sz w:val="21"/>
                      <w:szCs w:val="20"/>
                      <w:vertAlign w:val="baseline"/>
                      <w:lang w:val="en-US" w:eastAsia="zh-CN"/>
                      <w14:textFill>
                        <w14:solidFill>
                          <w14:schemeClr w14:val="tx1"/>
                        </w14:solidFill>
                      </w14:textFill>
                    </w:rPr>
                  </w:pPr>
                  <w:r>
                    <w:rPr>
                      <w:rFonts w:hint="eastAsia"/>
                      <w:b w:val="0"/>
                      <w:bCs w:val="0"/>
                      <w:color w:val="000000" w:themeColor="text1"/>
                      <w:sz w:val="21"/>
                      <w:szCs w:val="20"/>
                      <w:vertAlign w:val="baseline"/>
                      <w:lang w:val="en-US" w:eastAsia="zh-CN"/>
                      <w14:textFill>
                        <w14:solidFill>
                          <w14:schemeClr w14:val="tx1"/>
                        </w14:solidFill>
                      </w14:textFill>
                    </w:rPr>
                    <w:t>符合</w:t>
                  </w:r>
                </w:p>
              </w:tc>
              <w:tc>
                <w:tcPr>
                  <w:tcW w:w="1122" w:type="dxa"/>
                  <w:vMerge w:val="restart"/>
                  <w:vAlign w:val="center"/>
                </w:tcPr>
                <w:p w14:paraId="6840F306">
                  <w:pPr>
                    <w:keepNext w:val="0"/>
                    <w:keepLines w:val="0"/>
                    <w:pageBreakBefore w:val="0"/>
                    <w:numPr>
                      <w:ilvl w:val="0"/>
                      <w:numId w:val="0"/>
                    </w:numPr>
                    <w:kinsoku/>
                    <w:wordWrap/>
                    <w:overflowPunct/>
                    <w:topLinePunct w:val="0"/>
                    <w:autoSpaceDE/>
                    <w:autoSpaceDN/>
                    <w:bidi w:val="0"/>
                    <w:adjustRightInd/>
                    <w:snapToGrid/>
                    <w:spacing w:line="240" w:lineRule="auto"/>
                    <w:jc w:val="center"/>
                    <w:textAlignment w:val="auto"/>
                    <w:rPr>
                      <w:rFonts w:hint="eastAsia"/>
                      <w:b w:val="0"/>
                      <w:bCs w:val="0"/>
                      <w:color w:val="000000" w:themeColor="text1"/>
                      <w:sz w:val="21"/>
                      <w:szCs w:val="20"/>
                      <w:vertAlign w:val="baseline"/>
                      <w:lang w:val="en-US" w:eastAsia="zh-CN"/>
                      <w14:textFill>
                        <w14:solidFill>
                          <w14:schemeClr w14:val="tx1"/>
                        </w14:solidFill>
                      </w14:textFill>
                    </w:rPr>
                  </w:pPr>
                  <w:r>
                    <w:rPr>
                      <w:rFonts w:hint="eastAsia"/>
                      <w:b w:val="0"/>
                      <w:bCs w:val="0"/>
                      <w:color w:val="000000" w:themeColor="text1"/>
                      <w:sz w:val="21"/>
                      <w:szCs w:val="20"/>
                      <w:vertAlign w:val="baseline"/>
                      <w:lang w:val="en-US" w:eastAsia="zh-CN"/>
                      <w14:textFill>
                        <w14:solidFill>
                          <w14:schemeClr w14:val="tx1"/>
                        </w14:solidFill>
                      </w14:textFill>
                    </w:rPr>
                    <w:t>浸出液</w:t>
                  </w:r>
                </w:p>
                <w:p w14:paraId="342DE308">
                  <w:pPr>
                    <w:keepNext w:val="0"/>
                    <w:keepLines w:val="0"/>
                    <w:pageBreakBefore w:val="0"/>
                    <w:numPr>
                      <w:ilvl w:val="0"/>
                      <w:numId w:val="0"/>
                    </w:numPr>
                    <w:kinsoku/>
                    <w:wordWrap/>
                    <w:overflowPunct/>
                    <w:topLinePunct w:val="0"/>
                    <w:autoSpaceDE/>
                    <w:autoSpaceDN/>
                    <w:bidi w:val="0"/>
                    <w:adjustRightInd/>
                    <w:snapToGrid/>
                    <w:spacing w:line="240" w:lineRule="auto"/>
                    <w:jc w:val="center"/>
                    <w:textAlignment w:val="auto"/>
                    <w:rPr>
                      <w:rFonts w:hint="default"/>
                      <w:b w:val="0"/>
                      <w:bCs w:val="0"/>
                      <w:color w:val="000000" w:themeColor="text1"/>
                      <w:sz w:val="21"/>
                      <w:szCs w:val="20"/>
                      <w:vertAlign w:val="baseline"/>
                      <w:lang w:val="en-US" w:eastAsia="zh-CN"/>
                      <w14:textFill>
                        <w14:solidFill>
                          <w14:schemeClr w14:val="tx1"/>
                        </w14:solidFill>
                      </w14:textFill>
                    </w:rPr>
                  </w:pPr>
                  <w:r>
                    <w:rPr>
                      <w:rFonts w:hint="eastAsia"/>
                      <w:b w:val="0"/>
                      <w:bCs w:val="0"/>
                      <w:color w:val="000000" w:themeColor="text1"/>
                      <w:sz w:val="21"/>
                      <w:szCs w:val="20"/>
                      <w:vertAlign w:val="baseline"/>
                      <w:lang w:val="en-US" w:eastAsia="zh-CN"/>
                      <w14:textFill>
                        <w14:solidFill>
                          <w14:schemeClr w14:val="tx1"/>
                        </w14:solidFill>
                      </w14:textFill>
                    </w:rPr>
                    <w:t>测定</w:t>
                  </w:r>
                </w:p>
              </w:tc>
            </w:tr>
            <w:tr w14:paraId="77E65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660" w:type="dxa"/>
                  <w:vAlign w:val="center"/>
                </w:tcPr>
                <w:p w14:paraId="2DB4A74A">
                  <w:pPr>
                    <w:keepNext w:val="0"/>
                    <w:keepLines w:val="0"/>
                    <w:pageBreakBefore w:val="0"/>
                    <w:numPr>
                      <w:ilvl w:val="0"/>
                      <w:numId w:val="0"/>
                    </w:numPr>
                    <w:kinsoku/>
                    <w:wordWrap/>
                    <w:overflowPunct/>
                    <w:topLinePunct w:val="0"/>
                    <w:autoSpaceDE/>
                    <w:autoSpaceDN/>
                    <w:bidi w:val="0"/>
                    <w:adjustRightInd/>
                    <w:snapToGrid/>
                    <w:spacing w:line="240" w:lineRule="auto"/>
                    <w:jc w:val="center"/>
                    <w:textAlignment w:val="auto"/>
                    <w:rPr>
                      <w:rFonts w:hint="default"/>
                      <w:b w:val="0"/>
                      <w:bCs w:val="0"/>
                      <w:color w:val="000000" w:themeColor="text1"/>
                      <w:sz w:val="21"/>
                      <w:szCs w:val="20"/>
                      <w:vertAlign w:val="baseline"/>
                      <w:lang w:val="en-US" w:eastAsia="zh-CN"/>
                      <w14:textFill>
                        <w14:solidFill>
                          <w14:schemeClr w14:val="tx1"/>
                        </w14:solidFill>
                      </w14:textFill>
                    </w:rPr>
                  </w:pPr>
                  <w:r>
                    <w:rPr>
                      <w:rFonts w:hint="eastAsia"/>
                      <w:b w:val="0"/>
                      <w:bCs w:val="0"/>
                      <w:color w:val="000000" w:themeColor="text1"/>
                      <w:sz w:val="21"/>
                      <w:szCs w:val="20"/>
                      <w:vertAlign w:val="baseline"/>
                      <w:lang w:val="en-US" w:eastAsia="zh-CN"/>
                      <w14:textFill>
                        <w14:solidFill>
                          <w14:schemeClr w14:val="tx1"/>
                        </w14:solidFill>
                      </w14:textFill>
                    </w:rPr>
                    <w:t>pH值</w:t>
                  </w:r>
                </w:p>
              </w:tc>
              <w:tc>
                <w:tcPr>
                  <w:tcW w:w="1332" w:type="dxa"/>
                  <w:vAlign w:val="center"/>
                </w:tcPr>
                <w:p w14:paraId="508C8DB0">
                  <w:pPr>
                    <w:keepNext w:val="0"/>
                    <w:keepLines w:val="0"/>
                    <w:pageBreakBefore w:val="0"/>
                    <w:numPr>
                      <w:ilvl w:val="0"/>
                      <w:numId w:val="0"/>
                    </w:numPr>
                    <w:kinsoku/>
                    <w:wordWrap/>
                    <w:overflowPunct/>
                    <w:topLinePunct w:val="0"/>
                    <w:autoSpaceDE/>
                    <w:autoSpaceDN/>
                    <w:bidi w:val="0"/>
                    <w:adjustRightInd/>
                    <w:snapToGrid/>
                    <w:spacing w:line="240" w:lineRule="auto"/>
                    <w:jc w:val="center"/>
                    <w:textAlignment w:val="auto"/>
                    <w:rPr>
                      <w:rFonts w:hint="default"/>
                      <w:b w:val="0"/>
                      <w:bCs w:val="0"/>
                      <w:color w:val="000000" w:themeColor="text1"/>
                      <w:sz w:val="21"/>
                      <w:szCs w:val="20"/>
                      <w:vertAlign w:val="baseline"/>
                      <w:lang w:val="en-US" w:eastAsia="zh-CN"/>
                      <w14:textFill>
                        <w14:solidFill>
                          <w14:schemeClr w14:val="tx1"/>
                        </w14:solidFill>
                      </w14:textFill>
                    </w:rPr>
                  </w:pPr>
                  <w:r>
                    <w:rPr>
                      <w:rFonts w:hint="eastAsia"/>
                      <w:b w:val="0"/>
                      <w:bCs w:val="0"/>
                      <w:color w:val="000000" w:themeColor="text1"/>
                      <w:sz w:val="21"/>
                      <w:szCs w:val="20"/>
                      <w:vertAlign w:val="baseline"/>
                      <w:lang w:val="en-US" w:eastAsia="zh-CN"/>
                      <w14:textFill>
                        <w14:solidFill>
                          <w14:schemeClr w14:val="tx1"/>
                        </w14:solidFill>
                      </w14:textFill>
                    </w:rPr>
                    <w:t>无量纲</w:t>
                  </w:r>
                </w:p>
              </w:tc>
              <w:tc>
                <w:tcPr>
                  <w:tcW w:w="2730" w:type="dxa"/>
                  <w:vAlign w:val="center"/>
                </w:tcPr>
                <w:p w14:paraId="1DF6C995">
                  <w:pPr>
                    <w:keepNext w:val="0"/>
                    <w:keepLines w:val="0"/>
                    <w:pageBreakBefore w:val="0"/>
                    <w:numPr>
                      <w:ilvl w:val="0"/>
                      <w:numId w:val="0"/>
                    </w:numPr>
                    <w:kinsoku/>
                    <w:wordWrap/>
                    <w:overflowPunct/>
                    <w:topLinePunct w:val="0"/>
                    <w:autoSpaceDE/>
                    <w:autoSpaceDN/>
                    <w:bidi w:val="0"/>
                    <w:adjustRightInd/>
                    <w:snapToGrid/>
                    <w:spacing w:line="240" w:lineRule="auto"/>
                    <w:jc w:val="center"/>
                    <w:textAlignment w:val="auto"/>
                    <w:rPr>
                      <w:rFonts w:hint="default"/>
                      <w:b w:val="0"/>
                      <w:bCs w:val="0"/>
                      <w:color w:val="000000" w:themeColor="text1"/>
                      <w:sz w:val="21"/>
                      <w:szCs w:val="20"/>
                      <w:vertAlign w:val="baseline"/>
                      <w:lang w:val="en-US" w:eastAsia="zh-CN"/>
                      <w14:textFill>
                        <w14:solidFill>
                          <w14:schemeClr w14:val="tx1"/>
                        </w14:solidFill>
                      </w14:textFill>
                    </w:rPr>
                  </w:pPr>
                  <w:r>
                    <w:rPr>
                      <w:rFonts w:hint="eastAsia"/>
                      <w:b w:val="0"/>
                      <w:bCs w:val="0"/>
                      <w:color w:val="000000" w:themeColor="text1"/>
                      <w:sz w:val="21"/>
                      <w:szCs w:val="20"/>
                      <w:vertAlign w:val="baseline"/>
                      <w:lang w:val="en-US" w:eastAsia="zh-CN"/>
                      <w14:textFill>
                        <w14:solidFill>
                          <w14:schemeClr w14:val="tx1"/>
                        </w14:solidFill>
                      </w14:textFill>
                    </w:rPr>
                    <w:t>10.61</w:t>
                  </w:r>
                </w:p>
              </w:tc>
              <w:tc>
                <w:tcPr>
                  <w:tcW w:w="1457" w:type="dxa"/>
                  <w:vAlign w:val="center"/>
                </w:tcPr>
                <w:p w14:paraId="67BC4742">
                  <w:pPr>
                    <w:keepNext w:val="0"/>
                    <w:keepLines w:val="0"/>
                    <w:pageBreakBefore w:val="0"/>
                    <w:numPr>
                      <w:ilvl w:val="0"/>
                      <w:numId w:val="0"/>
                    </w:numPr>
                    <w:kinsoku/>
                    <w:wordWrap/>
                    <w:overflowPunct/>
                    <w:topLinePunct w:val="0"/>
                    <w:autoSpaceDE/>
                    <w:autoSpaceDN/>
                    <w:bidi w:val="0"/>
                    <w:adjustRightInd/>
                    <w:snapToGrid/>
                    <w:spacing w:line="240" w:lineRule="auto"/>
                    <w:jc w:val="center"/>
                    <w:textAlignment w:val="auto"/>
                    <w:rPr>
                      <w:rFonts w:hint="default"/>
                      <w:b w:val="0"/>
                      <w:bCs w:val="0"/>
                      <w:color w:val="000000" w:themeColor="text1"/>
                      <w:sz w:val="21"/>
                      <w:szCs w:val="20"/>
                      <w:vertAlign w:val="baseline"/>
                      <w:lang w:val="en-US" w:eastAsia="zh-CN"/>
                      <w14:textFill>
                        <w14:solidFill>
                          <w14:schemeClr w14:val="tx1"/>
                        </w14:solidFill>
                      </w14:textFill>
                    </w:rPr>
                  </w:pPr>
                  <w:r>
                    <w:rPr>
                      <w:rFonts w:hint="eastAsia"/>
                      <w:b w:val="0"/>
                      <w:bCs w:val="0"/>
                      <w:color w:val="000000" w:themeColor="text1"/>
                      <w:sz w:val="21"/>
                      <w:szCs w:val="20"/>
                      <w:vertAlign w:val="baseline"/>
                      <w:lang w:val="en-US" w:eastAsia="zh-CN"/>
                      <w14:textFill>
                        <w14:solidFill>
                          <w14:schemeClr w14:val="tx1"/>
                        </w14:solidFill>
                      </w14:textFill>
                    </w:rPr>
                    <w:t>6~11</w:t>
                  </w:r>
                </w:p>
              </w:tc>
              <w:tc>
                <w:tcPr>
                  <w:tcW w:w="1122" w:type="dxa"/>
                  <w:vAlign w:val="center"/>
                </w:tcPr>
                <w:p w14:paraId="3F89E4F1">
                  <w:pPr>
                    <w:keepNext w:val="0"/>
                    <w:keepLines w:val="0"/>
                    <w:pageBreakBefore w:val="0"/>
                    <w:numPr>
                      <w:ilvl w:val="0"/>
                      <w:numId w:val="0"/>
                    </w:numPr>
                    <w:kinsoku/>
                    <w:wordWrap/>
                    <w:overflowPunct/>
                    <w:topLinePunct w:val="0"/>
                    <w:autoSpaceDE/>
                    <w:autoSpaceDN/>
                    <w:bidi w:val="0"/>
                    <w:adjustRightInd/>
                    <w:snapToGrid/>
                    <w:spacing w:line="240" w:lineRule="auto"/>
                    <w:jc w:val="center"/>
                    <w:textAlignment w:val="auto"/>
                    <w:rPr>
                      <w:rFonts w:hint="default"/>
                      <w:b w:val="0"/>
                      <w:bCs w:val="0"/>
                      <w:color w:val="000000" w:themeColor="text1"/>
                      <w:sz w:val="21"/>
                      <w:szCs w:val="20"/>
                      <w:vertAlign w:val="baseline"/>
                      <w:lang w:val="en-US" w:eastAsia="zh-CN"/>
                      <w14:textFill>
                        <w14:solidFill>
                          <w14:schemeClr w14:val="tx1"/>
                        </w14:solidFill>
                      </w14:textFill>
                    </w:rPr>
                  </w:pPr>
                  <w:r>
                    <w:rPr>
                      <w:rFonts w:hint="eastAsia"/>
                      <w:b w:val="0"/>
                      <w:bCs w:val="0"/>
                      <w:color w:val="000000" w:themeColor="text1"/>
                      <w:sz w:val="21"/>
                      <w:szCs w:val="20"/>
                      <w:vertAlign w:val="baseline"/>
                      <w:lang w:val="en-US" w:eastAsia="zh-CN"/>
                      <w14:textFill>
                        <w14:solidFill>
                          <w14:schemeClr w14:val="tx1"/>
                        </w14:solidFill>
                      </w14:textFill>
                    </w:rPr>
                    <w:t>符合</w:t>
                  </w:r>
                </w:p>
              </w:tc>
              <w:tc>
                <w:tcPr>
                  <w:tcW w:w="1122" w:type="dxa"/>
                  <w:vMerge w:val="continue"/>
                  <w:vAlign w:val="center"/>
                </w:tcPr>
                <w:p w14:paraId="02ED89A4">
                  <w:pPr>
                    <w:keepNext w:val="0"/>
                    <w:keepLines w:val="0"/>
                    <w:pageBreakBefore w:val="0"/>
                    <w:numPr>
                      <w:ilvl w:val="0"/>
                      <w:numId w:val="0"/>
                    </w:numPr>
                    <w:kinsoku/>
                    <w:wordWrap/>
                    <w:overflowPunct/>
                    <w:topLinePunct w:val="0"/>
                    <w:autoSpaceDE/>
                    <w:autoSpaceDN/>
                    <w:bidi w:val="0"/>
                    <w:adjustRightInd/>
                    <w:snapToGrid/>
                    <w:spacing w:line="240" w:lineRule="auto"/>
                    <w:jc w:val="center"/>
                    <w:textAlignment w:val="auto"/>
                    <w:rPr>
                      <w:rFonts w:hint="eastAsia"/>
                      <w:b w:val="0"/>
                      <w:bCs w:val="0"/>
                      <w:color w:val="000000" w:themeColor="text1"/>
                      <w:sz w:val="21"/>
                      <w:szCs w:val="20"/>
                      <w:vertAlign w:val="baseline"/>
                      <w:lang w:val="en-US" w:eastAsia="zh-CN"/>
                      <w14:textFill>
                        <w14:solidFill>
                          <w14:schemeClr w14:val="tx1"/>
                        </w14:solidFill>
                      </w14:textFill>
                    </w:rPr>
                  </w:pPr>
                </w:p>
              </w:tc>
            </w:tr>
            <w:tr w14:paraId="2F9FA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660" w:type="dxa"/>
                  <w:vAlign w:val="center"/>
                </w:tcPr>
                <w:p w14:paraId="1B9A5911">
                  <w:pPr>
                    <w:keepNext w:val="0"/>
                    <w:keepLines w:val="0"/>
                    <w:pageBreakBefore w:val="0"/>
                    <w:numPr>
                      <w:ilvl w:val="0"/>
                      <w:numId w:val="0"/>
                    </w:numPr>
                    <w:kinsoku/>
                    <w:wordWrap/>
                    <w:overflowPunct/>
                    <w:topLinePunct w:val="0"/>
                    <w:autoSpaceDE/>
                    <w:autoSpaceDN/>
                    <w:bidi w:val="0"/>
                    <w:adjustRightInd/>
                    <w:snapToGrid/>
                    <w:spacing w:line="240" w:lineRule="auto"/>
                    <w:jc w:val="center"/>
                    <w:textAlignment w:val="auto"/>
                    <w:rPr>
                      <w:rFonts w:hint="default"/>
                      <w:b w:val="0"/>
                      <w:bCs w:val="0"/>
                      <w:color w:val="000000" w:themeColor="text1"/>
                      <w:sz w:val="21"/>
                      <w:szCs w:val="20"/>
                      <w:vertAlign w:val="baseline"/>
                      <w:lang w:val="en-US" w:eastAsia="zh-CN"/>
                      <w14:textFill>
                        <w14:solidFill>
                          <w14:schemeClr w14:val="tx1"/>
                        </w14:solidFill>
                      </w14:textFill>
                    </w:rPr>
                  </w:pPr>
                  <w:r>
                    <w:rPr>
                      <w:rFonts w:hint="eastAsia"/>
                      <w:b w:val="0"/>
                      <w:bCs w:val="0"/>
                      <w:color w:val="000000" w:themeColor="text1"/>
                      <w:sz w:val="21"/>
                      <w:szCs w:val="20"/>
                      <w:vertAlign w:val="baseline"/>
                      <w:lang w:val="en-US" w:eastAsia="zh-CN"/>
                      <w14:textFill>
                        <w14:solidFill>
                          <w14:schemeClr w14:val="tx1"/>
                        </w14:solidFill>
                      </w14:textFill>
                    </w:rPr>
                    <w:t>钡</w:t>
                  </w:r>
                </w:p>
              </w:tc>
              <w:tc>
                <w:tcPr>
                  <w:tcW w:w="1332" w:type="dxa"/>
                  <w:vAlign w:val="center"/>
                </w:tcPr>
                <w:p w14:paraId="42265E25">
                  <w:pPr>
                    <w:keepNext w:val="0"/>
                    <w:keepLines w:val="0"/>
                    <w:pageBreakBefore w:val="0"/>
                    <w:numPr>
                      <w:ilvl w:val="0"/>
                      <w:numId w:val="0"/>
                    </w:numPr>
                    <w:kinsoku/>
                    <w:wordWrap/>
                    <w:overflowPunct/>
                    <w:topLinePunct w:val="0"/>
                    <w:autoSpaceDE/>
                    <w:autoSpaceDN/>
                    <w:bidi w:val="0"/>
                    <w:adjustRightInd/>
                    <w:snapToGrid/>
                    <w:spacing w:line="240" w:lineRule="auto"/>
                    <w:jc w:val="center"/>
                    <w:textAlignment w:val="auto"/>
                    <w:rPr>
                      <w:rFonts w:hint="default"/>
                      <w:b w:val="0"/>
                      <w:bCs w:val="0"/>
                      <w:color w:val="000000" w:themeColor="text1"/>
                      <w:sz w:val="21"/>
                      <w:szCs w:val="20"/>
                      <w:vertAlign w:val="baseline"/>
                      <w:lang w:val="en-US" w:eastAsia="zh-CN"/>
                      <w14:textFill>
                        <w14:solidFill>
                          <w14:schemeClr w14:val="tx1"/>
                        </w14:solidFill>
                      </w14:textFill>
                    </w:rPr>
                  </w:pPr>
                  <w:r>
                    <w:rPr>
                      <w:rFonts w:hint="eastAsia"/>
                      <w:b w:val="0"/>
                      <w:bCs w:val="0"/>
                      <w:color w:val="000000" w:themeColor="text1"/>
                      <w:sz w:val="21"/>
                      <w:szCs w:val="20"/>
                      <w:vertAlign w:val="baseline"/>
                      <w:lang w:val="en-US" w:eastAsia="zh-CN"/>
                      <w14:textFill>
                        <w14:solidFill>
                          <w14:schemeClr w14:val="tx1"/>
                        </w14:solidFill>
                      </w14:textFill>
                    </w:rPr>
                    <w:t>mg/L</w:t>
                  </w:r>
                </w:p>
              </w:tc>
              <w:tc>
                <w:tcPr>
                  <w:tcW w:w="2730" w:type="dxa"/>
                  <w:vAlign w:val="center"/>
                </w:tcPr>
                <w:p w14:paraId="61A8D069">
                  <w:pPr>
                    <w:keepNext w:val="0"/>
                    <w:keepLines w:val="0"/>
                    <w:pageBreakBefore w:val="0"/>
                    <w:numPr>
                      <w:ilvl w:val="0"/>
                      <w:numId w:val="0"/>
                    </w:numPr>
                    <w:kinsoku/>
                    <w:wordWrap/>
                    <w:overflowPunct/>
                    <w:topLinePunct w:val="0"/>
                    <w:autoSpaceDE/>
                    <w:autoSpaceDN/>
                    <w:bidi w:val="0"/>
                    <w:adjustRightInd/>
                    <w:snapToGrid/>
                    <w:spacing w:line="240" w:lineRule="auto"/>
                    <w:jc w:val="center"/>
                    <w:textAlignment w:val="auto"/>
                    <w:rPr>
                      <w:rFonts w:hint="default"/>
                      <w:b w:val="0"/>
                      <w:bCs w:val="0"/>
                      <w:color w:val="000000" w:themeColor="text1"/>
                      <w:sz w:val="21"/>
                      <w:szCs w:val="20"/>
                      <w:vertAlign w:val="baseline"/>
                      <w:lang w:val="en-US" w:eastAsia="zh-CN"/>
                      <w14:textFill>
                        <w14:solidFill>
                          <w14:schemeClr w14:val="tx1"/>
                        </w14:solidFill>
                      </w14:textFill>
                    </w:rPr>
                  </w:pPr>
                  <w:r>
                    <w:rPr>
                      <w:rFonts w:hint="eastAsia"/>
                      <w:b w:val="0"/>
                      <w:bCs w:val="0"/>
                      <w:color w:val="000000" w:themeColor="text1"/>
                      <w:sz w:val="21"/>
                      <w:szCs w:val="20"/>
                      <w:vertAlign w:val="baseline"/>
                      <w:lang w:val="en-US" w:eastAsia="zh-CN"/>
                      <w14:textFill>
                        <w14:solidFill>
                          <w14:schemeClr w14:val="tx1"/>
                        </w14:solidFill>
                      </w14:textFill>
                    </w:rPr>
                    <w:t>0.620</w:t>
                  </w:r>
                </w:p>
              </w:tc>
              <w:tc>
                <w:tcPr>
                  <w:tcW w:w="1457" w:type="dxa"/>
                  <w:shd w:val="clear" w:color="auto" w:fill="auto"/>
                  <w:vAlign w:val="center"/>
                </w:tcPr>
                <w:p w14:paraId="34BE6916">
                  <w:pPr>
                    <w:keepNext w:val="0"/>
                    <w:keepLines w:val="0"/>
                    <w:pageBreakBefore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heme="minorBidi"/>
                      <w:b w:val="0"/>
                      <w:bCs w:val="0"/>
                      <w:color w:val="000000" w:themeColor="text1"/>
                      <w:kern w:val="2"/>
                      <w:sz w:val="21"/>
                      <w:szCs w:val="20"/>
                      <w:vertAlign w:val="baseline"/>
                      <w:lang w:val="en-US" w:eastAsia="zh-CN" w:bidi="ar-SA"/>
                      <w14:textFill>
                        <w14:solidFill>
                          <w14:schemeClr w14:val="tx1"/>
                        </w14:solidFill>
                      </w14:textFill>
                    </w:rPr>
                  </w:pPr>
                  <w:r>
                    <w:rPr>
                      <w:rFonts w:hint="eastAsia"/>
                      <w:b w:val="0"/>
                      <w:bCs w:val="0"/>
                      <w:color w:val="000000" w:themeColor="text1"/>
                      <w:sz w:val="21"/>
                      <w:szCs w:val="20"/>
                      <w:vertAlign w:val="baseline"/>
                      <w:lang w:val="en-US" w:eastAsia="zh-CN"/>
                      <w14:textFill>
                        <w14:solidFill>
                          <w14:schemeClr w14:val="tx1"/>
                        </w14:solidFill>
                      </w14:textFill>
                    </w:rPr>
                    <w:t>＜100</w:t>
                  </w:r>
                </w:p>
              </w:tc>
              <w:tc>
                <w:tcPr>
                  <w:tcW w:w="1122" w:type="dxa"/>
                  <w:shd w:val="clear" w:color="auto" w:fill="auto"/>
                  <w:vAlign w:val="center"/>
                </w:tcPr>
                <w:p w14:paraId="40FF0B8B">
                  <w:pPr>
                    <w:keepNext w:val="0"/>
                    <w:keepLines w:val="0"/>
                    <w:pageBreakBefore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heme="minorBidi"/>
                      <w:b w:val="0"/>
                      <w:bCs w:val="0"/>
                      <w:color w:val="000000" w:themeColor="text1"/>
                      <w:kern w:val="2"/>
                      <w:sz w:val="21"/>
                      <w:szCs w:val="20"/>
                      <w:vertAlign w:val="baseline"/>
                      <w:lang w:val="en-US" w:eastAsia="zh-CN" w:bidi="ar-SA"/>
                      <w14:textFill>
                        <w14:solidFill>
                          <w14:schemeClr w14:val="tx1"/>
                        </w14:solidFill>
                      </w14:textFill>
                    </w:rPr>
                  </w:pPr>
                  <w:r>
                    <w:rPr>
                      <w:rFonts w:hint="eastAsia"/>
                      <w:b w:val="0"/>
                      <w:bCs w:val="0"/>
                      <w:color w:val="000000" w:themeColor="text1"/>
                      <w:sz w:val="21"/>
                      <w:szCs w:val="20"/>
                      <w:vertAlign w:val="baseline"/>
                      <w:lang w:val="en-US" w:eastAsia="zh-CN"/>
                      <w14:textFill>
                        <w14:solidFill>
                          <w14:schemeClr w14:val="tx1"/>
                        </w14:solidFill>
                      </w14:textFill>
                    </w:rPr>
                    <w:t>符合</w:t>
                  </w:r>
                </w:p>
              </w:tc>
              <w:tc>
                <w:tcPr>
                  <w:tcW w:w="1122" w:type="dxa"/>
                  <w:vMerge w:val="continue"/>
                  <w:shd w:val="clear" w:color="auto" w:fill="auto"/>
                  <w:vAlign w:val="center"/>
                </w:tcPr>
                <w:p w14:paraId="5F3AFC2B">
                  <w:pPr>
                    <w:keepNext w:val="0"/>
                    <w:keepLines w:val="0"/>
                    <w:pageBreakBefore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eastAsia"/>
                      <w:b w:val="0"/>
                      <w:bCs w:val="0"/>
                      <w:color w:val="000000" w:themeColor="text1"/>
                      <w:sz w:val="21"/>
                      <w:szCs w:val="20"/>
                      <w:vertAlign w:val="baseline"/>
                      <w:lang w:val="en-US" w:eastAsia="zh-CN"/>
                      <w14:textFill>
                        <w14:solidFill>
                          <w14:schemeClr w14:val="tx1"/>
                        </w14:solidFill>
                      </w14:textFill>
                    </w:rPr>
                  </w:pPr>
                </w:p>
              </w:tc>
            </w:tr>
            <w:tr w14:paraId="7B067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660" w:type="dxa"/>
                  <w:vAlign w:val="center"/>
                </w:tcPr>
                <w:p w14:paraId="0E02D6FF">
                  <w:pPr>
                    <w:keepNext w:val="0"/>
                    <w:keepLines w:val="0"/>
                    <w:pageBreakBefore w:val="0"/>
                    <w:numPr>
                      <w:ilvl w:val="0"/>
                      <w:numId w:val="0"/>
                    </w:numPr>
                    <w:kinsoku/>
                    <w:wordWrap/>
                    <w:overflowPunct/>
                    <w:topLinePunct w:val="0"/>
                    <w:autoSpaceDE/>
                    <w:autoSpaceDN/>
                    <w:bidi w:val="0"/>
                    <w:adjustRightInd/>
                    <w:snapToGrid/>
                    <w:spacing w:line="240" w:lineRule="auto"/>
                    <w:jc w:val="center"/>
                    <w:textAlignment w:val="auto"/>
                    <w:rPr>
                      <w:rFonts w:hint="default"/>
                      <w:b w:val="0"/>
                      <w:bCs w:val="0"/>
                      <w:color w:val="000000" w:themeColor="text1"/>
                      <w:sz w:val="21"/>
                      <w:szCs w:val="20"/>
                      <w:vertAlign w:val="baseline"/>
                      <w:lang w:val="en-US" w:eastAsia="zh-CN"/>
                      <w14:textFill>
                        <w14:solidFill>
                          <w14:schemeClr w14:val="tx1"/>
                        </w14:solidFill>
                      </w14:textFill>
                    </w:rPr>
                  </w:pPr>
                  <w:r>
                    <w:rPr>
                      <w:rFonts w:hint="eastAsia"/>
                      <w:b w:val="0"/>
                      <w:bCs w:val="0"/>
                      <w:color w:val="000000" w:themeColor="text1"/>
                      <w:sz w:val="21"/>
                      <w:szCs w:val="20"/>
                      <w:vertAlign w:val="baseline"/>
                      <w:lang w:val="en-US" w:eastAsia="zh-CN"/>
                      <w14:textFill>
                        <w14:solidFill>
                          <w14:schemeClr w14:val="tx1"/>
                        </w14:solidFill>
                      </w14:textFill>
                    </w:rPr>
                    <w:t>砷</w:t>
                  </w:r>
                </w:p>
              </w:tc>
              <w:tc>
                <w:tcPr>
                  <w:tcW w:w="1332" w:type="dxa"/>
                  <w:vAlign w:val="center"/>
                </w:tcPr>
                <w:p w14:paraId="087DB521">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center"/>
                    <w:textAlignment w:val="auto"/>
                    <w:rPr>
                      <w:rFonts w:hint="default"/>
                      <w:b w:val="0"/>
                      <w:bCs w:val="0"/>
                      <w:color w:val="000000" w:themeColor="text1"/>
                      <w:sz w:val="21"/>
                      <w:szCs w:val="20"/>
                      <w:vertAlign w:val="baseline"/>
                      <w:lang w:val="en-US" w:eastAsia="zh-CN"/>
                      <w14:textFill>
                        <w14:solidFill>
                          <w14:schemeClr w14:val="tx1"/>
                        </w14:solidFill>
                      </w14:textFill>
                    </w:rPr>
                  </w:pPr>
                  <w:r>
                    <w:rPr>
                      <w:rFonts w:hint="eastAsia"/>
                      <w:b w:val="0"/>
                      <w:bCs w:val="0"/>
                      <w:color w:val="000000" w:themeColor="text1"/>
                      <w:sz w:val="21"/>
                      <w:szCs w:val="20"/>
                      <w:vertAlign w:val="baseline"/>
                      <w:lang w:val="en-US" w:eastAsia="zh-CN"/>
                      <w14:textFill>
                        <w14:solidFill>
                          <w14:schemeClr w14:val="tx1"/>
                        </w14:solidFill>
                      </w14:textFill>
                    </w:rPr>
                    <w:t>mg/L</w:t>
                  </w:r>
                </w:p>
              </w:tc>
              <w:tc>
                <w:tcPr>
                  <w:tcW w:w="2730" w:type="dxa"/>
                  <w:vAlign w:val="center"/>
                </w:tcPr>
                <w:p w14:paraId="5A885B4E">
                  <w:pPr>
                    <w:keepNext w:val="0"/>
                    <w:keepLines w:val="0"/>
                    <w:pageBreakBefore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val="0"/>
                      <w:color w:val="000000" w:themeColor="text1"/>
                      <w:sz w:val="21"/>
                      <w:szCs w:val="20"/>
                      <w:vertAlign w:val="baseli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0"/>
                      <w:vertAlign w:val="baseline"/>
                      <w:lang w:val="en-US" w:eastAsia="zh-CN"/>
                      <w14:textFill>
                        <w14:solidFill>
                          <w14:schemeClr w14:val="tx1"/>
                        </w14:solidFill>
                      </w14:textFill>
                    </w:rPr>
                    <w:t>3.26×10</w:t>
                  </w:r>
                  <w:r>
                    <w:rPr>
                      <w:rFonts w:hint="default" w:ascii="Times New Roman" w:hAnsi="Times New Roman" w:cs="Times New Roman"/>
                      <w:b w:val="0"/>
                      <w:bCs w:val="0"/>
                      <w:color w:val="000000" w:themeColor="text1"/>
                      <w:sz w:val="21"/>
                      <w:szCs w:val="20"/>
                      <w:vertAlign w:val="superscript"/>
                      <w:lang w:val="en-US" w:eastAsia="zh-CN"/>
                      <w14:textFill>
                        <w14:solidFill>
                          <w14:schemeClr w14:val="tx1"/>
                        </w14:solidFill>
                      </w14:textFill>
                    </w:rPr>
                    <w:t>-3</w:t>
                  </w:r>
                </w:p>
              </w:tc>
              <w:tc>
                <w:tcPr>
                  <w:tcW w:w="1457" w:type="dxa"/>
                  <w:vAlign w:val="center"/>
                </w:tcPr>
                <w:p w14:paraId="4AF8E212">
                  <w:pPr>
                    <w:keepNext w:val="0"/>
                    <w:keepLines w:val="0"/>
                    <w:pageBreakBefore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val="0"/>
                      <w:color w:val="000000" w:themeColor="text1"/>
                      <w:sz w:val="21"/>
                      <w:szCs w:val="20"/>
                      <w:vertAlign w:val="baseli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0"/>
                      <w:vertAlign w:val="baseline"/>
                      <w:lang w:val="en-US" w:eastAsia="zh-CN"/>
                      <w14:textFill>
                        <w14:solidFill>
                          <w14:schemeClr w14:val="tx1"/>
                        </w14:solidFill>
                      </w14:textFill>
                    </w:rPr>
                    <w:t>≤</w:t>
                  </w:r>
                  <w:r>
                    <w:rPr>
                      <w:rFonts w:hint="eastAsia" w:ascii="Times New Roman" w:hAnsi="Times New Roman" w:cs="Times New Roman"/>
                      <w:b w:val="0"/>
                      <w:bCs w:val="0"/>
                      <w:color w:val="000000" w:themeColor="text1"/>
                      <w:sz w:val="21"/>
                      <w:szCs w:val="20"/>
                      <w:vertAlign w:val="baseline"/>
                      <w:lang w:val="en-US" w:eastAsia="zh-CN"/>
                      <w14:textFill>
                        <w14:solidFill>
                          <w14:schemeClr w14:val="tx1"/>
                        </w14:solidFill>
                      </w14:textFill>
                    </w:rPr>
                    <w:t>0.5</w:t>
                  </w:r>
                </w:p>
              </w:tc>
              <w:tc>
                <w:tcPr>
                  <w:tcW w:w="1122" w:type="dxa"/>
                  <w:vAlign w:val="center"/>
                </w:tcPr>
                <w:p w14:paraId="68CEA23D">
                  <w:pPr>
                    <w:keepNext w:val="0"/>
                    <w:keepLines w:val="0"/>
                    <w:pageBreakBefore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b w:val="0"/>
                      <w:bCs w:val="0"/>
                      <w:color w:val="000000" w:themeColor="text1"/>
                      <w:sz w:val="21"/>
                      <w:szCs w:val="20"/>
                      <w:vertAlign w:val="baseline"/>
                      <w:lang w:val="en-US" w:eastAsia="zh-CN"/>
                      <w14:textFill>
                        <w14:solidFill>
                          <w14:schemeClr w14:val="tx1"/>
                        </w14:solidFill>
                      </w14:textFill>
                    </w:rPr>
                  </w:pPr>
                  <w:r>
                    <w:rPr>
                      <w:rFonts w:hint="eastAsia"/>
                      <w:b w:val="0"/>
                      <w:bCs w:val="0"/>
                      <w:color w:val="000000" w:themeColor="text1"/>
                      <w:sz w:val="21"/>
                      <w:szCs w:val="20"/>
                      <w:vertAlign w:val="baseline"/>
                      <w:lang w:val="en-US" w:eastAsia="zh-CN"/>
                      <w14:textFill>
                        <w14:solidFill>
                          <w14:schemeClr w14:val="tx1"/>
                        </w14:solidFill>
                      </w14:textFill>
                    </w:rPr>
                    <w:t>符合</w:t>
                  </w:r>
                </w:p>
              </w:tc>
              <w:tc>
                <w:tcPr>
                  <w:tcW w:w="1122" w:type="dxa"/>
                  <w:vMerge w:val="continue"/>
                  <w:vAlign w:val="center"/>
                </w:tcPr>
                <w:p w14:paraId="1A8757C0">
                  <w:pPr>
                    <w:keepNext w:val="0"/>
                    <w:keepLines w:val="0"/>
                    <w:pageBreakBefore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eastAsia"/>
                      <w:b w:val="0"/>
                      <w:bCs w:val="0"/>
                      <w:color w:val="000000" w:themeColor="text1"/>
                      <w:sz w:val="21"/>
                      <w:szCs w:val="20"/>
                      <w:vertAlign w:val="baseline"/>
                      <w:lang w:val="en-US" w:eastAsia="zh-CN"/>
                      <w14:textFill>
                        <w14:solidFill>
                          <w14:schemeClr w14:val="tx1"/>
                        </w14:solidFill>
                      </w14:textFill>
                    </w:rPr>
                  </w:pPr>
                </w:p>
              </w:tc>
            </w:tr>
            <w:tr w14:paraId="0EAE9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660" w:type="dxa"/>
                  <w:vAlign w:val="center"/>
                </w:tcPr>
                <w:p w14:paraId="51D2C05F">
                  <w:pPr>
                    <w:keepNext w:val="0"/>
                    <w:keepLines w:val="0"/>
                    <w:pageBreakBefore w:val="0"/>
                    <w:numPr>
                      <w:ilvl w:val="0"/>
                      <w:numId w:val="0"/>
                    </w:numPr>
                    <w:kinsoku/>
                    <w:wordWrap/>
                    <w:overflowPunct/>
                    <w:topLinePunct w:val="0"/>
                    <w:autoSpaceDE/>
                    <w:autoSpaceDN/>
                    <w:bidi w:val="0"/>
                    <w:adjustRightInd/>
                    <w:snapToGrid/>
                    <w:spacing w:line="240" w:lineRule="auto"/>
                    <w:jc w:val="center"/>
                    <w:textAlignment w:val="auto"/>
                    <w:rPr>
                      <w:rFonts w:hint="default"/>
                      <w:b w:val="0"/>
                      <w:bCs w:val="0"/>
                      <w:color w:val="000000" w:themeColor="text1"/>
                      <w:sz w:val="21"/>
                      <w:szCs w:val="20"/>
                      <w:vertAlign w:val="baseline"/>
                      <w:lang w:val="en-US" w:eastAsia="zh-CN"/>
                      <w14:textFill>
                        <w14:solidFill>
                          <w14:schemeClr w14:val="tx1"/>
                        </w14:solidFill>
                      </w14:textFill>
                    </w:rPr>
                  </w:pPr>
                  <w:r>
                    <w:rPr>
                      <w:rFonts w:hint="eastAsia"/>
                      <w:b w:val="0"/>
                      <w:bCs w:val="0"/>
                      <w:color w:val="000000" w:themeColor="text1"/>
                      <w:sz w:val="21"/>
                      <w:szCs w:val="20"/>
                      <w:vertAlign w:val="baseline"/>
                      <w:lang w:val="en-US" w:eastAsia="zh-CN"/>
                      <w14:textFill>
                        <w14:solidFill>
                          <w14:schemeClr w14:val="tx1"/>
                        </w14:solidFill>
                      </w14:textFill>
                    </w:rPr>
                    <w:t>汞</w:t>
                  </w:r>
                </w:p>
              </w:tc>
              <w:tc>
                <w:tcPr>
                  <w:tcW w:w="1332" w:type="dxa"/>
                  <w:vAlign w:val="center"/>
                </w:tcPr>
                <w:p w14:paraId="532833B0">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center"/>
                    <w:textAlignment w:val="auto"/>
                    <w:rPr>
                      <w:rFonts w:hint="default"/>
                      <w:b w:val="0"/>
                      <w:bCs w:val="0"/>
                      <w:color w:val="000000" w:themeColor="text1"/>
                      <w:sz w:val="21"/>
                      <w:szCs w:val="20"/>
                      <w:vertAlign w:val="baseline"/>
                      <w:lang w:val="en-US" w:eastAsia="zh-CN"/>
                      <w14:textFill>
                        <w14:solidFill>
                          <w14:schemeClr w14:val="tx1"/>
                        </w14:solidFill>
                      </w14:textFill>
                    </w:rPr>
                  </w:pPr>
                  <w:r>
                    <w:rPr>
                      <w:rFonts w:hint="eastAsia"/>
                      <w:b w:val="0"/>
                      <w:bCs w:val="0"/>
                      <w:color w:val="000000" w:themeColor="text1"/>
                      <w:sz w:val="21"/>
                      <w:szCs w:val="20"/>
                      <w:vertAlign w:val="baseline"/>
                      <w:lang w:val="en-US" w:eastAsia="zh-CN"/>
                      <w14:textFill>
                        <w14:solidFill>
                          <w14:schemeClr w14:val="tx1"/>
                        </w14:solidFill>
                      </w14:textFill>
                    </w:rPr>
                    <w:t>mg/L</w:t>
                  </w:r>
                </w:p>
              </w:tc>
              <w:tc>
                <w:tcPr>
                  <w:tcW w:w="2730" w:type="dxa"/>
                  <w:vAlign w:val="center"/>
                </w:tcPr>
                <w:p w14:paraId="3E03C651">
                  <w:pPr>
                    <w:keepNext w:val="0"/>
                    <w:keepLines w:val="0"/>
                    <w:pageBreakBefore w:val="0"/>
                    <w:numPr>
                      <w:ilvl w:val="0"/>
                      <w:numId w:val="0"/>
                    </w:numPr>
                    <w:kinsoku/>
                    <w:wordWrap/>
                    <w:overflowPunct/>
                    <w:topLinePunct w:val="0"/>
                    <w:autoSpaceDE/>
                    <w:autoSpaceDN/>
                    <w:bidi w:val="0"/>
                    <w:adjustRightInd/>
                    <w:snapToGrid/>
                    <w:spacing w:line="240" w:lineRule="auto"/>
                    <w:jc w:val="center"/>
                    <w:textAlignment w:val="auto"/>
                    <w:rPr>
                      <w:rFonts w:hint="default"/>
                      <w:b w:val="0"/>
                      <w:bCs w:val="0"/>
                      <w:color w:val="000000" w:themeColor="text1"/>
                      <w:sz w:val="21"/>
                      <w:szCs w:val="20"/>
                      <w:vertAlign w:val="baseline"/>
                      <w:lang w:val="en-US" w:eastAsia="zh-CN"/>
                      <w14:textFill>
                        <w14:solidFill>
                          <w14:schemeClr w14:val="tx1"/>
                        </w14:solidFill>
                      </w14:textFill>
                    </w:rPr>
                  </w:pPr>
                  <w:r>
                    <w:rPr>
                      <w:rFonts w:hint="eastAsia"/>
                      <w:b w:val="0"/>
                      <w:bCs w:val="0"/>
                      <w:color w:val="000000" w:themeColor="text1"/>
                      <w:sz w:val="21"/>
                      <w:szCs w:val="20"/>
                      <w:vertAlign w:val="baseline"/>
                      <w:lang w:val="en-US" w:eastAsia="zh-CN"/>
                      <w14:textFill>
                        <w14:solidFill>
                          <w14:schemeClr w14:val="tx1"/>
                        </w14:solidFill>
                      </w14:textFill>
                    </w:rPr>
                    <w:t>ND</w:t>
                  </w:r>
                </w:p>
              </w:tc>
              <w:tc>
                <w:tcPr>
                  <w:tcW w:w="1457" w:type="dxa"/>
                  <w:vAlign w:val="center"/>
                </w:tcPr>
                <w:p w14:paraId="5B423D3F">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center"/>
                    <w:textAlignment w:val="auto"/>
                    <w:rPr>
                      <w:rFonts w:hint="default"/>
                      <w:b w:val="0"/>
                      <w:bCs w:val="0"/>
                      <w:color w:val="000000" w:themeColor="text1"/>
                      <w:sz w:val="21"/>
                      <w:szCs w:val="20"/>
                      <w:vertAlign w:val="baseli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0"/>
                      <w:vertAlign w:val="baseline"/>
                      <w:lang w:val="en-US" w:eastAsia="zh-CN"/>
                      <w14:textFill>
                        <w14:solidFill>
                          <w14:schemeClr w14:val="tx1"/>
                        </w14:solidFill>
                      </w14:textFill>
                    </w:rPr>
                    <w:t>≤</w:t>
                  </w:r>
                  <w:r>
                    <w:rPr>
                      <w:rFonts w:hint="eastAsia" w:cs="Times New Roman"/>
                      <w:b w:val="0"/>
                      <w:bCs w:val="0"/>
                      <w:color w:val="000000" w:themeColor="text1"/>
                      <w:sz w:val="21"/>
                      <w:szCs w:val="20"/>
                      <w:vertAlign w:val="baseline"/>
                      <w:lang w:val="en-US" w:eastAsia="zh-CN"/>
                      <w14:textFill>
                        <w14:solidFill>
                          <w14:schemeClr w14:val="tx1"/>
                        </w14:solidFill>
                      </w14:textFill>
                    </w:rPr>
                    <w:t>0.05</w:t>
                  </w:r>
                </w:p>
              </w:tc>
              <w:tc>
                <w:tcPr>
                  <w:tcW w:w="1122" w:type="dxa"/>
                  <w:vAlign w:val="center"/>
                </w:tcPr>
                <w:p w14:paraId="018857BE">
                  <w:pPr>
                    <w:keepNext w:val="0"/>
                    <w:keepLines w:val="0"/>
                    <w:pageBreakBefore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b w:val="0"/>
                      <w:bCs w:val="0"/>
                      <w:color w:val="000000" w:themeColor="text1"/>
                      <w:sz w:val="21"/>
                      <w:szCs w:val="20"/>
                      <w:vertAlign w:val="baseline"/>
                      <w:lang w:val="en-US" w:eastAsia="zh-CN"/>
                      <w14:textFill>
                        <w14:solidFill>
                          <w14:schemeClr w14:val="tx1"/>
                        </w14:solidFill>
                      </w14:textFill>
                    </w:rPr>
                  </w:pPr>
                  <w:r>
                    <w:rPr>
                      <w:rFonts w:hint="eastAsia"/>
                      <w:b w:val="0"/>
                      <w:bCs w:val="0"/>
                      <w:color w:val="000000" w:themeColor="text1"/>
                      <w:sz w:val="21"/>
                      <w:szCs w:val="20"/>
                      <w:vertAlign w:val="baseline"/>
                      <w:lang w:val="en-US" w:eastAsia="zh-CN"/>
                      <w14:textFill>
                        <w14:solidFill>
                          <w14:schemeClr w14:val="tx1"/>
                        </w14:solidFill>
                      </w14:textFill>
                    </w:rPr>
                    <w:t>符合</w:t>
                  </w:r>
                </w:p>
              </w:tc>
              <w:tc>
                <w:tcPr>
                  <w:tcW w:w="1122" w:type="dxa"/>
                  <w:vMerge w:val="continue"/>
                  <w:vAlign w:val="center"/>
                </w:tcPr>
                <w:p w14:paraId="17B33BAB">
                  <w:pPr>
                    <w:keepNext w:val="0"/>
                    <w:keepLines w:val="0"/>
                    <w:pageBreakBefore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eastAsia"/>
                      <w:b w:val="0"/>
                      <w:bCs w:val="0"/>
                      <w:color w:val="000000" w:themeColor="text1"/>
                      <w:sz w:val="21"/>
                      <w:szCs w:val="20"/>
                      <w:vertAlign w:val="baseline"/>
                      <w:lang w:val="en-US" w:eastAsia="zh-CN"/>
                      <w14:textFill>
                        <w14:solidFill>
                          <w14:schemeClr w14:val="tx1"/>
                        </w14:solidFill>
                      </w14:textFill>
                    </w:rPr>
                  </w:pPr>
                </w:p>
              </w:tc>
            </w:tr>
            <w:tr w14:paraId="7DD67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660" w:type="dxa"/>
                  <w:vAlign w:val="center"/>
                </w:tcPr>
                <w:p w14:paraId="4A1F42F2">
                  <w:pPr>
                    <w:keepNext w:val="0"/>
                    <w:keepLines w:val="0"/>
                    <w:pageBreakBefore w:val="0"/>
                    <w:numPr>
                      <w:ilvl w:val="0"/>
                      <w:numId w:val="0"/>
                    </w:numPr>
                    <w:kinsoku/>
                    <w:wordWrap/>
                    <w:overflowPunct/>
                    <w:topLinePunct w:val="0"/>
                    <w:autoSpaceDE/>
                    <w:autoSpaceDN/>
                    <w:bidi w:val="0"/>
                    <w:adjustRightInd/>
                    <w:snapToGrid/>
                    <w:spacing w:line="240" w:lineRule="auto"/>
                    <w:jc w:val="center"/>
                    <w:textAlignment w:val="auto"/>
                    <w:rPr>
                      <w:rFonts w:hint="default"/>
                      <w:b w:val="0"/>
                      <w:bCs w:val="0"/>
                      <w:color w:val="000000" w:themeColor="text1"/>
                      <w:sz w:val="21"/>
                      <w:szCs w:val="20"/>
                      <w:vertAlign w:val="baseline"/>
                      <w:lang w:val="en-US" w:eastAsia="zh-CN"/>
                      <w14:textFill>
                        <w14:solidFill>
                          <w14:schemeClr w14:val="tx1"/>
                        </w14:solidFill>
                      </w14:textFill>
                    </w:rPr>
                  </w:pPr>
                  <w:r>
                    <w:rPr>
                      <w:rFonts w:hint="eastAsia"/>
                      <w:b w:val="0"/>
                      <w:bCs w:val="0"/>
                      <w:color w:val="000000" w:themeColor="text1"/>
                      <w:sz w:val="21"/>
                      <w:szCs w:val="20"/>
                      <w:vertAlign w:val="baseline"/>
                      <w:lang w:val="en-US" w:eastAsia="zh-CN"/>
                      <w14:textFill>
                        <w14:solidFill>
                          <w14:schemeClr w14:val="tx1"/>
                        </w14:solidFill>
                      </w14:textFill>
                    </w:rPr>
                    <w:t>铜</w:t>
                  </w:r>
                </w:p>
              </w:tc>
              <w:tc>
                <w:tcPr>
                  <w:tcW w:w="1332" w:type="dxa"/>
                  <w:vAlign w:val="center"/>
                </w:tcPr>
                <w:p w14:paraId="00B8A80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center"/>
                    <w:textAlignment w:val="auto"/>
                    <w:rPr>
                      <w:rFonts w:hint="default"/>
                      <w:b w:val="0"/>
                      <w:bCs w:val="0"/>
                      <w:color w:val="000000" w:themeColor="text1"/>
                      <w:sz w:val="21"/>
                      <w:szCs w:val="20"/>
                      <w:vertAlign w:val="baseline"/>
                      <w:lang w:val="en-US" w:eastAsia="zh-CN"/>
                      <w14:textFill>
                        <w14:solidFill>
                          <w14:schemeClr w14:val="tx1"/>
                        </w14:solidFill>
                      </w14:textFill>
                    </w:rPr>
                  </w:pPr>
                  <w:r>
                    <w:rPr>
                      <w:rFonts w:hint="eastAsia"/>
                      <w:b w:val="0"/>
                      <w:bCs w:val="0"/>
                      <w:color w:val="000000" w:themeColor="text1"/>
                      <w:sz w:val="21"/>
                      <w:szCs w:val="20"/>
                      <w:vertAlign w:val="baseline"/>
                      <w:lang w:val="en-US" w:eastAsia="zh-CN"/>
                      <w14:textFill>
                        <w14:solidFill>
                          <w14:schemeClr w14:val="tx1"/>
                        </w14:solidFill>
                      </w14:textFill>
                    </w:rPr>
                    <w:t>mg/L</w:t>
                  </w:r>
                </w:p>
              </w:tc>
              <w:tc>
                <w:tcPr>
                  <w:tcW w:w="2730" w:type="dxa"/>
                  <w:vAlign w:val="center"/>
                </w:tcPr>
                <w:p w14:paraId="217A7E27">
                  <w:pPr>
                    <w:keepNext w:val="0"/>
                    <w:keepLines w:val="0"/>
                    <w:pageBreakBefore w:val="0"/>
                    <w:numPr>
                      <w:ilvl w:val="0"/>
                      <w:numId w:val="0"/>
                    </w:numPr>
                    <w:kinsoku/>
                    <w:wordWrap/>
                    <w:overflowPunct/>
                    <w:topLinePunct w:val="0"/>
                    <w:autoSpaceDE/>
                    <w:autoSpaceDN/>
                    <w:bidi w:val="0"/>
                    <w:adjustRightInd/>
                    <w:snapToGrid/>
                    <w:spacing w:line="240" w:lineRule="auto"/>
                    <w:jc w:val="center"/>
                    <w:textAlignment w:val="auto"/>
                    <w:rPr>
                      <w:rFonts w:hint="default"/>
                      <w:b w:val="0"/>
                      <w:bCs w:val="0"/>
                      <w:color w:val="000000" w:themeColor="text1"/>
                      <w:sz w:val="21"/>
                      <w:szCs w:val="20"/>
                      <w:vertAlign w:val="baseline"/>
                      <w:lang w:val="en-US" w:eastAsia="zh-CN"/>
                      <w14:textFill>
                        <w14:solidFill>
                          <w14:schemeClr w14:val="tx1"/>
                        </w14:solidFill>
                      </w14:textFill>
                    </w:rPr>
                  </w:pPr>
                  <w:r>
                    <w:rPr>
                      <w:rFonts w:hint="eastAsia"/>
                      <w:b w:val="0"/>
                      <w:bCs w:val="0"/>
                      <w:color w:val="000000" w:themeColor="text1"/>
                      <w:sz w:val="21"/>
                      <w:szCs w:val="20"/>
                      <w:vertAlign w:val="baseline"/>
                      <w:lang w:val="en-US" w:eastAsia="zh-CN"/>
                      <w14:textFill>
                        <w14:solidFill>
                          <w14:schemeClr w14:val="tx1"/>
                        </w14:solidFill>
                      </w14:textFill>
                    </w:rPr>
                    <w:t>ND</w:t>
                  </w:r>
                </w:p>
              </w:tc>
              <w:tc>
                <w:tcPr>
                  <w:tcW w:w="1457" w:type="dxa"/>
                  <w:vAlign w:val="center"/>
                </w:tcPr>
                <w:p w14:paraId="5D631EBF">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center"/>
                    <w:textAlignment w:val="auto"/>
                    <w:rPr>
                      <w:rFonts w:hint="default"/>
                      <w:b w:val="0"/>
                      <w:bCs w:val="0"/>
                      <w:color w:val="000000" w:themeColor="text1"/>
                      <w:sz w:val="21"/>
                      <w:szCs w:val="20"/>
                      <w:vertAlign w:val="baseli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0"/>
                      <w:vertAlign w:val="baseline"/>
                      <w:lang w:val="en-US" w:eastAsia="zh-CN"/>
                      <w14:textFill>
                        <w14:solidFill>
                          <w14:schemeClr w14:val="tx1"/>
                        </w14:solidFill>
                      </w14:textFill>
                    </w:rPr>
                    <w:t>≤</w:t>
                  </w:r>
                  <w:r>
                    <w:rPr>
                      <w:rFonts w:hint="eastAsia" w:cs="Times New Roman"/>
                      <w:b w:val="0"/>
                      <w:bCs w:val="0"/>
                      <w:color w:val="000000" w:themeColor="text1"/>
                      <w:sz w:val="21"/>
                      <w:szCs w:val="20"/>
                      <w:vertAlign w:val="baseline"/>
                      <w:lang w:val="en-US" w:eastAsia="zh-CN"/>
                      <w14:textFill>
                        <w14:solidFill>
                          <w14:schemeClr w14:val="tx1"/>
                        </w14:solidFill>
                      </w14:textFill>
                    </w:rPr>
                    <w:t>0.5</w:t>
                  </w:r>
                </w:p>
              </w:tc>
              <w:tc>
                <w:tcPr>
                  <w:tcW w:w="1122" w:type="dxa"/>
                  <w:vAlign w:val="center"/>
                </w:tcPr>
                <w:p w14:paraId="36342523">
                  <w:pPr>
                    <w:keepNext w:val="0"/>
                    <w:keepLines w:val="0"/>
                    <w:pageBreakBefore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b w:val="0"/>
                      <w:bCs w:val="0"/>
                      <w:color w:val="000000" w:themeColor="text1"/>
                      <w:sz w:val="21"/>
                      <w:szCs w:val="20"/>
                      <w:vertAlign w:val="baseline"/>
                      <w:lang w:val="en-US" w:eastAsia="zh-CN"/>
                      <w14:textFill>
                        <w14:solidFill>
                          <w14:schemeClr w14:val="tx1"/>
                        </w14:solidFill>
                      </w14:textFill>
                    </w:rPr>
                  </w:pPr>
                  <w:r>
                    <w:rPr>
                      <w:rFonts w:hint="eastAsia"/>
                      <w:b w:val="0"/>
                      <w:bCs w:val="0"/>
                      <w:color w:val="000000" w:themeColor="text1"/>
                      <w:sz w:val="21"/>
                      <w:szCs w:val="20"/>
                      <w:vertAlign w:val="baseline"/>
                      <w:lang w:val="en-US" w:eastAsia="zh-CN"/>
                      <w14:textFill>
                        <w14:solidFill>
                          <w14:schemeClr w14:val="tx1"/>
                        </w14:solidFill>
                      </w14:textFill>
                    </w:rPr>
                    <w:t>符合</w:t>
                  </w:r>
                </w:p>
              </w:tc>
              <w:tc>
                <w:tcPr>
                  <w:tcW w:w="1122" w:type="dxa"/>
                  <w:vMerge w:val="continue"/>
                  <w:vAlign w:val="center"/>
                </w:tcPr>
                <w:p w14:paraId="158AAB21">
                  <w:pPr>
                    <w:keepNext w:val="0"/>
                    <w:keepLines w:val="0"/>
                    <w:pageBreakBefore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eastAsia"/>
                      <w:b w:val="0"/>
                      <w:bCs w:val="0"/>
                      <w:color w:val="000000" w:themeColor="text1"/>
                      <w:sz w:val="21"/>
                      <w:szCs w:val="20"/>
                      <w:vertAlign w:val="baseline"/>
                      <w:lang w:val="en-US" w:eastAsia="zh-CN"/>
                      <w14:textFill>
                        <w14:solidFill>
                          <w14:schemeClr w14:val="tx1"/>
                        </w14:solidFill>
                      </w14:textFill>
                    </w:rPr>
                  </w:pPr>
                </w:p>
              </w:tc>
            </w:tr>
            <w:tr w14:paraId="1C0F9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660" w:type="dxa"/>
                  <w:vAlign w:val="center"/>
                </w:tcPr>
                <w:p w14:paraId="2AC0E841">
                  <w:pPr>
                    <w:keepNext w:val="0"/>
                    <w:keepLines w:val="0"/>
                    <w:pageBreakBefore w:val="0"/>
                    <w:numPr>
                      <w:ilvl w:val="0"/>
                      <w:numId w:val="0"/>
                    </w:numPr>
                    <w:kinsoku/>
                    <w:wordWrap/>
                    <w:overflowPunct/>
                    <w:topLinePunct w:val="0"/>
                    <w:autoSpaceDE/>
                    <w:autoSpaceDN/>
                    <w:bidi w:val="0"/>
                    <w:adjustRightInd/>
                    <w:snapToGrid/>
                    <w:spacing w:line="240" w:lineRule="auto"/>
                    <w:jc w:val="center"/>
                    <w:textAlignment w:val="auto"/>
                    <w:rPr>
                      <w:rFonts w:hint="default"/>
                      <w:b w:val="0"/>
                      <w:bCs w:val="0"/>
                      <w:color w:val="000000" w:themeColor="text1"/>
                      <w:sz w:val="21"/>
                      <w:szCs w:val="20"/>
                      <w:vertAlign w:val="baseline"/>
                      <w:lang w:val="en-US" w:eastAsia="zh-CN"/>
                      <w14:textFill>
                        <w14:solidFill>
                          <w14:schemeClr w14:val="tx1"/>
                        </w14:solidFill>
                      </w14:textFill>
                    </w:rPr>
                  </w:pPr>
                  <w:r>
                    <w:rPr>
                      <w:rFonts w:hint="eastAsia"/>
                      <w:b w:val="0"/>
                      <w:bCs w:val="0"/>
                      <w:color w:val="000000" w:themeColor="text1"/>
                      <w:sz w:val="21"/>
                      <w:szCs w:val="20"/>
                      <w:vertAlign w:val="baseline"/>
                      <w:lang w:val="en-US" w:eastAsia="zh-CN"/>
                      <w14:textFill>
                        <w14:solidFill>
                          <w14:schemeClr w14:val="tx1"/>
                        </w14:solidFill>
                      </w14:textFill>
                    </w:rPr>
                    <w:t>铅</w:t>
                  </w:r>
                </w:p>
              </w:tc>
              <w:tc>
                <w:tcPr>
                  <w:tcW w:w="1332" w:type="dxa"/>
                  <w:vAlign w:val="center"/>
                </w:tcPr>
                <w:p w14:paraId="5F02D8CF">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center"/>
                    <w:textAlignment w:val="auto"/>
                    <w:rPr>
                      <w:rFonts w:hint="default"/>
                      <w:b w:val="0"/>
                      <w:bCs w:val="0"/>
                      <w:color w:val="000000" w:themeColor="text1"/>
                      <w:sz w:val="21"/>
                      <w:szCs w:val="20"/>
                      <w:vertAlign w:val="baseline"/>
                      <w:lang w:val="en-US" w:eastAsia="zh-CN"/>
                      <w14:textFill>
                        <w14:solidFill>
                          <w14:schemeClr w14:val="tx1"/>
                        </w14:solidFill>
                      </w14:textFill>
                    </w:rPr>
                  </w:pPr>
                  <w:r>
                    <w:rPr>
                      <w:rFonts w:hint="eastAsia"/>
                      <w:b w:val="0"/>
                      <w:bCs w:val="0"/>
                      <w:color w:val="000000" w:themeColor="text1"/>
                      <w:sz w:val="21"/>
                      <w:szCs w:val="20"/>
                      <w:vertAlign w:val="baseline"/>
                      <w:lang w:val="en-US" w:eastAsia="zh-CN"/>
                      <w14:textFill>
                        <w14:solidFill>
                          <w14:schemeClr w14:val="tx1"/>
                        </w14:solidFill>
                      </w14:textFill>
                    </w:rPr>
                    <w:t>mg/L</w:t>
                  </w:r>
                </w:p>
              </w:tc>
              <w:tc>
                <w:tcPr>
                  <w:tcW w:w="2730" w:type="dxa"/>
                  <w:vAlign w:val="center"/>
                </w:tcPr>
                <w:p w14:paraId="0107E9A9">
                  <w:pPr>
                    <w:keepNext w:val="0"/>
                    <w:keepLines w:val="0"/>
                    <w:pageBreakBefore w:val="0"/>
                    <w:numPr>
                      <w:ilvl w:val="0"/>
                      <w:numId w:val="0"/>
                    </w:numPr>
                    <w:kinsoku/>
                    <w:wordWrap/>
                    <w:overflowPunct/>
                    <w:topLinePunct w:val="0"/>
                    <w:autoSpaceDE/>
                    <w:autoSpaceDN/>
                    <w:bidi w:val="0"/>
                    <w:adjustRightInd/>
                    <w:snapToGrid/>
                    <w:spacing w:line="240" w:lineRule="auto"/>
                    <w:jc w:val="center"/>
                    <w:textAlignment w:val="auto"/>
                    <w:rPr>
                      <w:rFonts w:hint="default"/>
                      <w:b w:val="0"/>
                      <w:bCs w:val="0"/>
                      <w:color w:val="000000" w:themeColor="text1"/>
                      <w:sz w:val="21"/>
                      <w:szCs w:val="20"/>
                      <w:vertAlign w:val="baseline"/>
                      <w:lang w:val="en-US" w:eastAsia="zh-CN"/>
                      <w14:textFill>
                        <w14:solidFill>
                          <w14:schemeClr w14:val="tx1"/>
                        </w14:solidFill>
                      </w14:textFill>
                    </w:rPr>
                  </w:pPr>
                  <w:r>
                    <w:rPr>
                      <w:rFonts w:hint="eastAsia"/>
                      <w:b w:val="0"/>
                      <w:bCs w:val="0"/>
                      <w:color w:val="000000" w:themeColor="text1"/>
                      <w:sz w:val="21"/>
                      <w:szCs w:val="20"/>
                      <w:vertAlign w:val="baseline"/>
                      <w:lang w:val="en-US" w:eastAsia="zh-CN"/>
                      <w14:textFill>
                        <w14:solidFill>
                          <w14:schemeClr w14:val="tx1"/>
                        </w14:solidFill>
                      </w14:textFill>
                    </w:rPr>
                    <w:t>ND</w:t>
                  </w:r>
                </w:p>
              </w:tc>
              <w:tc>
                <w:tcPr>
                  <w:tcW w:w="1457" w:type="dxa"/>
                  <w:vAlign w:val="center"/>
                </w:tcPr>
                <w:p w14:paraId="1FFC9D5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center"/>
                    <w:textAlignment w:val="auto"/>
                    <w:rPr>
                      <w:rFonts w:hint="default"/>
                      <w:b w:val="0"/>
                      <w:bCs w:val="0"/>
                      <w:color w:val="000000" w:themeColor="text1"/>
                      <w:sz w:val="21"/>
                      <w:szCs w:val="20"/>
                      <w:vertAlign w:val="baseli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0"/>
                      <w:vertAlign w:val="baseline"/>
                      <w:lang w:val="en-US" w:eastAsia="zh-CN"/>
                      <w14:textFill>
                        <w14:solidFill>
                          <w14:schemeClr w14:val="tx1"/>
                        </w14:solidFill>
                      </w14:textFill>
                    </w:rPr>
                    <w:t>≤</w:t>
                  </w:r>
                  <w:r>
                    <w:rPr>
                      <w:rFonts w:hint="eastAsia" w:cs="Times New Roman"/>
                      <w:b w:val="0"/>
                      <w:bCs w:val="0"/>
                      <w:color w:val="000000" w:themeColor="text1"/>
                      <w:sz w:val="21"/>
                      <w:szCs w:val="20"/>
                      <w:vertAlign w:val="baseline"/>
                      <w:lang w:val="en-US" w:eastAsia="zh-CN"/>
                      <w14:textFill>
                        <w14:solidFill>
                          <w14:schemeClr w14:val="tx1"/>
                        </w14:solidFill>
                      </w14:textFill>
                    </w:rPr>
                    <w:t>1.0</w:t>
                  </w:r>
                </w:p>
              </w:tc>
              <w:tc>
                <w:tcPr>
                  <w:tcW w:w="1122" w:type="dxa"/>
                  <w:vAlign w:val="center"/>
                </w:tcPr>
                <w:p w14:paraId="337C7060">
                  <w:pPr>
                    <w:keepNext w:val="0"/>
                    <w:keepLines w:val="0"/>
                    <w:pageBreakBefore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b w:val="0"/>
                      <w:bCs w:val="0"/>
                      <w:color w:val="000000" w:themeColor="text1"/>
                      <w:sz w:val="21"/>
                      <w:szCs w:val="20"/>
                      <w:vertAlign w:val="baseline"/>
                      <w:lang w:val="en-US" w:eastAsia="zh-CN"/>
                      <w14:textFill>
                        <w14:solidFill>
                          <w14:schemeClr w14:val="tx1"/>
                        </w14:solidFill>
                      </w14:textFill>
                    </w:rPr>
                  </w:pPr>
                  <w:r>
                    <w:rPr>
                      <w:rFonts w:hint="eastAsia"/>
                      <w:b w:val="0"/>
                      <w:bCs w:val="0"/>
                      <w:color w:val="000000" w:themeColor="text1"/>
                      <w:sz w:val="21"/>
                      <w:szCs w:val="20"/>
                      <w:vertAlign w:val="baseline"/>
                      <w:lang w:val="en-US" w:eastAsia="zh-CN"/>
                      <w14:textFill>
                        <w14:solidFill>
                          <w14:schemeClr w14:val="tx1"/>
                        </w14:solidFill>
                      </w14:textFill>
                    </w:rPr>
                    <w:t>符合</w:t>
                  </w:r>
                </w:p>
              </w:tc>
              <w:tc>
                <w:tcPr>
                  <w:tcW w:w="1122" w:type="dxa"/>
                  <w:vMerge w:val="continue"/>
                  <w:vAlign w:val="center"/>
                </w:tcPr>
                <w:p w14:paraId="678D50E3">
                  <w:pPr>
                    <w:keepNext w:val="0"/>
                    <w:keepLines w:val="0"/>
                    <w:pageBreakBefore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eastAsia"/>
                      <w:b w:val="0"/>
                      <w:bCs w:val="0"/>
                      <w:color w:val="000000" w:themeColor="text1"/>
                      <w:sz w:val="21"/>
                      <w:szCs w:val="20"/>
                      <w:vertAlign w:val="baseline"/>
                      <w:lang w:val="en-US" w:eastAsia="zh-CN"/>
                      <w14:textFill>
                        <w14:solidFill>
                          <w14:schemeClr w14:val="tx1"/>
                        </w14:solidFill>
                      </w14:textFill>
                    </w:rPr>
                  </w:pPr>
                </w:p>
              </w:tc>
            </w:tr>
            <w:tr w14:paraId="78D6F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660" w:type="dxa"/>
                  <w:vAlign w:val="center"/>
                </w:tcPr>
                <w:p w14:paraId="007B3092">
                  <w:pPr>
                    <w:keepNext w:val="0"/>
                    <w:keepLines w:val="0"/>
                    <w:pageBreakBefore w:val="0"/>
                    <w:numPr>
                      <w:ilvl w:val="0"/>
                      <w:numId w:val="0"/>
                    </w:numPr>
                    <w:kinsoku/>
                    <w:wordWrap/>
                    <w:overflowPunct/>
                    <w:topLinePunct w:val="0"/>
                    <w:autoSpaceDE/>
                    <w:autoSpaceDN/>
                    <w:bidi w:val="0"/>
                    <w:adjustRightInd/>
                    <w:snapToGrid/>
                    <w:spacing w:line="240" w:lineRule="auto"/>
                    <w:jc w:val="center"/>
                    <w:textAlignment w:val="auto"/>
                    <w:rPr>
                      <w:rFonts w:hint="default"/>
                      <w:b w:val="0"/>
                      <w:bCs w:val="0"/>
                      <w:color w:val="000000" w:themeColor="text1"/>
                      <w:sz w:val="21"/>
                      <w:szCs w:val="20"/>
                      <w:vertAlign w:val="baseline"/>
                      <w:lang w:val="en-US" w:eastAsia="zh-CN"/>
                      <w14:textFill>
                        <w14:solidFill>
                          <w14:schemeClr w14:val="tx1"/>
                        </w14:solidFill>
                      </w14:textFill>
                    </w:rPr>
                  </w:pPr>
                  <w:r>
                    <w:rPr>
                      <w:rFonts w:hint="eastAsia"/>
                      <w:b w:val="0"/>
                      <w:bCs w:val="0"/>
                      <w:color w:val="000000" w:themeColor="text1"/>
                      <w:sz w:val="21"/>
                      <w:szCs w:val="20"/>
                      <w:vertAlign w:val="baseline"/>
                      <w:lang w:val="en-US" w:eastAsia="zh-CN"/>
                      <w14:textFill>
                        <w14:solidFill>
                          <w14:schemeClr w14:val="tx1"/>
                        </w14:solidFill>
                      </w14:textFill>
                    </w:rPr>
                    <w:t>总铬</w:t>
                  </w:r>
                </w:p>
              </w:tc>
              <w:tc>
                <w:tcPr>
                  <w:tcW w:w="1332" w:type="dxa"/>
                  <w:vAlign w:val="center"/>
                </w:tcPr>
                <w:p w14:paraId="70FFC99B">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center"/>
                    <w:textAlignment w:val="auto"/>
                    <w:rPr>
                      <w:rFonts w:hint="default"/>
                      <w:b w:val="0"/>
                      <w:bCs w:val="0"/>
                      <w:color w:val="000000" w:themeColor="text1"/>
                      <w:sz w:val="21"/>
                      <w:szCs w:val="20"/>
                      <w:vertAlign w:val="baseline"/>
                      <w:lang w:val="en-US" w:eastAsia="zh-CN"/>
                      <w14:textFill>
                        <w14:solidFill>
                          <w14:schemeClr w14:val="tx1"/>
                        </w14:solidFill>
                      </w14:textFill>
                    </w:rPr>
                  </w:pPr>
                  <w:r>
                    <w:rPr>
                      <w:rFonts w:hint="eastAsia"/>
                      <w:b w:val="0"/>
                      <w:bCs w:val="0"/>
                      <w:color w:val="000000" w:themeColor="text1"/>
                      <w:sz w:val="21"/>
                      <w:szCs w:val="20"/>
                      <w:vertAlign w:val="baseline"/>
                      <w:lang w:val="en-US" w:eastAsia="zh-CN"/>
                      <w14:textFill>
                        <w14:solidFill>
                          <w14:schemeClr w14:val="tx1"/>
                        </w14:solidFill>
                      </w14:textFill>
                    </w:rPr>
                    <w:t>mg/L</w:t>
                  </w:r>
                </w:p>
              </w:tc>
              <w:tc>
                <w:tcPr>
                  <w:tcW w:w="2730" w:type="dxa"/>
                  <w:vAlign w:val="center"/>
                </w:tcPr>
                <w:p w14:paraId="053ED8CF">
                  <w:pPr>
                    <w:keepNext w:val="0"/>
                    <w:keepLines w:val="0"/>
                    <w:pageBreakBefore w:val="0"/>
                    <w:numPr>
                      <w:ilvl w:val="0"/>
                      <w:numId w:val="0"/>
                    </w:numPr>
                    <w:kinsoku/>
                    <w:wordWrap/>
                    <w:overflowPunct/>
                    <w:topLinePunct w:val="0"/>
                    <w:autoSpaceDE/>
                    <w:autoSpaceDN/>
                    <w:bidi w:val="0"/>
                    <w:adjustRightInd/>
                    <w:snapToGrid/>
                    <w:spacing w:line="240" w:lineRule="auto"/>
                    <w:jc w:val="center"/>
                    <w:textAlignment w:val="auto"/>
                    <w:rPr>
                      <w:rFonts w:hint="default"/>
                      <w:b w:val="0"/>
                      <w:bCs w:val="0"/>
                      <w:color w:val="000000" w:themeColor="text1"/>
                      <w:sz w:val="21"/>
                      <w:szCs w:val="20"/>
                      <w:vertAlign w:val="baseline"/>
                      <w:lang w:val="en-US" w:eastAsia="zh-CN"/>
                      <w14:textFill>
                        <w14:solidFill>
                          <w14:schemeClr w14:val="tx1"/>
                        </w14:solidFill>
                      </w14:textFill>
                    </w:rPr>
                  </w:pPr>
                  <w:r>
                    <w:rPr>
                      <w:rFonts w:hint="eastAsia"/>
                      <w:b w:val="0"/>
                      <w:bCs w:val="0"/>
                      <w:color w:val="000000" w:themeColor="text1"/>
                      <w:sz w:val="21"/>
                      <w:szCs w:val="20"/>
                      <w:vertAlign w:val="baseline"/>
                      <w:lang w:val="en-US" w:eastAsia="zh-CN"/>
                      <w14:textFill>
                        <w14:solidFill>
                          <w14:schemeClr w14:val="tx1"/>
                        </w14:solidFill>
                      </w14:textFill>
                    </w:rPr>
                    <w:t>ND</w:t>
                  </w:r>
                </w:p>
              </w:tc>
              <w:tc>
                <w:tcPr>
                  <w:tcW w:w="1457" w:type="dxa"/>
                  <w:vAlign w:val="center"/>
                </w:tcPr>
                <w:p w14:paraId="23736CB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center"/>
                    <w:textAlignment w:val="auto"/>
                    <w:rPr>
                      <w:rFonts w:hint="default"/>
                      <w:b w:val="0"/>
                      <w:bCs w:val="0"/>
                      <w:color w:val="000000" w:themeColor="text1"/>
                      <w:sz w:val="21"/>
                      <w:szCs w:val="20"/>
                      <w:vertAlign w:val="baseli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0"/>
                      <w:vertAlign w:val="baseline"/>
                      <w:lang w:val="en-US" w:eastAsia="zh-CN"/>
                      <w14:textFill>
                        <w14:solidFill>
                          <w14:schemeClr w14:val="tx1"/>
                        </w14:solidFill>
                      </w14:textFill>
                    </w:rPr>
                    <w:t>≤</w:t>
                  </w:r>
                  <w:r>
                    <w:rPr>
                      <w:rFonts w:hint="eastAsia" w:cs="Times New Roman"/>
                      <w:b w:val="0"/>
                      <w:bCs w:val="0"/>
                      <w:color w:val="000000" w:themeColor="text1"/>
                      <w:sz w:val="21"/>
                      <w:szCs w:val="20"/>
                      <w:vertAlign w:val="baseline"/>
                      <w:lang w:val="en-US" w:eastAsia="zh-CN"/>
                      <w14:textFill>
                        <w14:solidFill>
                          <w14:schemeClr w14:val="tx1"/>
                        </w14:solidFill>
                      </w14:textFill>
                    </w:rPr>
                    <w:t>1.5</w:t>
                  </w:r>
                </w:p>
              </w:tc>
              <w:tc>
                <w:tcPr>
                  <w:tcW w:w="1122" w:type="dxa"/>
                  <w:vAlign w:val="center"/>
                </w:tcPr>
                <w:p w14:paraId="6F647E8B">
                  <w:pPr>
                    <w:keepNext w:val="0"/>
                    <w:keepLines w:val="0"/>
                    <w:pageBreakBefore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b w:val="0"/>
                      <w:bCs w:val="0"/>
                      <w:color w:val="000000" w:themeColor="text1"/>
                      <w:sz w:val="21"/>
                      <w:szCs w:val="20"/>
                      <w:vertAlign w:val="baseline"/>
                      <w:lang w:val="en-US" w:eastAsia="zh-CN"/>
                      <w14:textFill>
                        <w14:solidFill>
                          <w14:schemeClr w14:val="tx1"/>
                        </w14:solidFill>
                      </w14:textFill>
                    </w:rPr>
                  </w:pPr>
                  <w:r>
                    <w:rPr>
                      <w:rFonts w:hint="eastAsia"/>
                      <w:b w:val="0"/>
                      <w:bCs w:val="0"/>
                      <w:color w:val="000000" w:themeColor="text1"/>
                      <w:sz w:val="21"/>
                      <w:szCs w:val="20"/>
                      <w:vertAlign w:val="baseline"/>
                      <w:lang w:val="en-US" w:eastAsia="zh-CN"/>
                      <w14:textFill>
                        <w14:solidFill>
                          <w14:schemeClr w14:val="tx1"/>
                        </w14:solidFill>
                      </w14:textFill>
                    </w:rPr>
                    <w:t>符合</w:t>
                  </w:r>
                </w:p>
              </w:tc>
              <w:tc>
                <w:tcPr>
                  <w:tcW w:w="1122" w:type="dxa"/>
                  <w:vMerge w:val="continue"/>
                  <w:vAlign w:val="center"/>
                </w:tcPr>
                <w:p w14:paraId="156D167F">
                  <w:pPr>
                    <w:keepNext w:val="0"/>
                    <w:keepLines w:val="0"/>
                    <w:pageBreakBefore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eastAsia"/>
                      <w:b w:val="0"/>
                      <w:bCs w:val="0"/>
                      <w:color w:val="000000" w:themeColor="text1"/>
                      <w:sz w:val="21"/>
                      <w:szCs w:val="20"/>
                      <w:vertAlign w:val="baseline"/>
                      <w:lang w:val="en-US" w:eastAsia="zh-CN"/>
                      <w14:textFill>
                        <w14:solidFill>
                          <w14:schemeClr w14:val="tx1"/>
                        </w14:solidFill>
                      </w14:textFill>
                    </w:rPr>
                  </w:pPr>
                </w:p>
              </w:tc>
            </w:tr>
            <w:tr w14:paraId="33F70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660" w:type="dxa"/>
                  <w:vAlign w:val="center"/>
                </w:tcPr>
                <w:p w14:paraId="061D8C15">
                  <w:pPr>
                    <w:keepNext w:val="0"/>
                    <w:keepLines w:val="0"/>
                    <w:pageBreakBefore w:val="0"/>
                    <w:numPr>
                      <w:ilvl w:val="0"/>
                      <w:numId w:val="0"/>
                    </w:numPr>
                    <w:kinsoku/>
                    <w:wordWrap/>
                    <w:overflowPunct/>
                    <w:topLinePunct w:val="0"/>
                    <w:autoSpaceDE/>
                    <w:autoSpaceDN/>
                    <w:bidi w:val="0"/>
                    <w:adjustRightInd/>
                    <w:snapToGrid/>
                    <w:spacing w:line="240" w:lineRule="auto"/>
                    <w:jc w:val="center"/>
                    <w:textAlignment w:val="auto"/>
                    <w:rPr>
                      <w:rFonts w:hint="default"/>
                      <w:b w:val="0"/>
                      <w:bCs w:val="0"/>
                      <w:color w:val="000000" w:themeColor="text1"/>
                      <w:sz w:val="21"/>
                      <w:szCs w:val="20"/>
                      <w:vertAlign w:val="baseline"/>
                      <w:lang w:val="en-US" w:eastAsia="zh-CN"/>
                      <w14:textFill>
                        <w14:solidFill>
                          <w14:schemeClr w14:val="tx1"/>
                        </w14:solidFill>
                      </w14:textFill>
                    </w:rPr>
                  </w:pPr>
                  <w:r>
                    <w:rPr>
                      <w:rFonts w:hint="eastAsia"/>
                      <w:b w:val="0"/>
                      <w:bCs w:val="0"/>
                      <w:color w:val="000000" w:themeColor="text1"/>
                      <w:sz w:val="21"/>
                      <w:szCs w:val="20"/>
                      <w:vertAlign w:val="baseline"/>
                      <w:lang w:val="en-US" w:eastAsia="zh-CN"/>
                      <w14:textFill>
                        <w14:solidFill>
                          <w14:schemeClr w14:val="tx1"/>
                        </w14:solidFill>
                      </w14:textFill>
                    </w:rPr>
                    <w:t>六价铬</w:t>
                  </w:r>
                </w:p>
              </w:tc>
              <w:tc>
                <w:tcPr>
                  <w:tcW w:w="1332" w:type="dxa"/>
                  <w:vAlign w:val="center"/>
                </w:tcPr>
                <w:p w14:paraId="7266A8D5">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center"/>
                    <w:textAlignment w:val="auto"/>
                    <w:rPr>
                      <w:rFonts w:hint="default"/>
                      <w:b w:val="0"/>
                      <w:bCs w:val="0"/>
                      <w:color w:val="000000" w:themeColor="text1"/>
                      <w:sz w:val="21"/>
                      <w:szCs w:val="20"/>
                      <w:vertAlign w:val="baseline"/>
                      <w:lang w:val="en-US" w:eastAsia="zh-CN"/>
                      <w14:textFill>
                        <w14:solidFill>
                          <w14:schemeClr w14:val="tx1"/>
                        </w14:solidFill>
                      </w14:textFill>
                    </w:rPr>
                  </w:pPr>
                  <w:r>
                    <w:rPr>
                      <w:rFonts w:hint="eastAsia"/>
                      <w:b w:val="0"/>
                      <w:bCs w:val="0"/>
                      <w:color w:val="000000" w:themeColor="text1"/>
                      <w:sz w:val="21"/>
                      <w:szCs w:val="20"/>
                      <w:vertAlign w:val="baseline"/>
                      <w:lang w:val="en-US" w:eastAsia="zh-CN"/>
                      <w14:textFill>
                        <w14:solidFill>
                          <w14:schemeClr w14:val="tx1"/>
                        </w14:solidFill>
                      </w14:textFill>
                    </w:rPr>
                    <w:t>mg/L</w:t>
                  </w:r>
                </w:p>
              </w:tc>
              <w:tc>
                <w:tcPr>
                  <w:tcW w:w="2730" w:type="dxa"/>
                  <w:vAlign w:val="center"/>
                </w:tcPr>
                <w:p w14:paraId="0ACCBC2B">
                  <w:pPr>
                    <w:keepNext w:val="0"/>
                    <w:keepLines w:val="0"/>
                    <w:pageBreakBefore w:val="0"/>
                    <w:numPr>
                      <w:ilvl w:val="0"/>
                      <w:numId w:val="0"/>
                    </w:numPr>
                    <w:kinsoku/>
                    <w:wordWrap/>
                    <w:overflowPunct/>
                    <w:topLinePunct w:val="0"/>
                    <w:autoSpaceDE/>
                    <w:autoSpaceDN/>
                    <w:bidi w:val="0"/>
                    <w:adjustRightInd/>
                    <w:snapToGrid/>
                    <w:spacing w:line="240" w:lineRule="auto"/>
                    <w:jc w:val="center"/>
                    <w:textAlignment w:val="auto"/>
                    <w:rPr>
                      <w:rFonts w:hint="default"/>
                      <w:b w:val="0"/>
                      <w:bCs w:val="0"/>
                      <w:color w:val="000000" w:themeColor="text1"/>
                      <w:sz w:val="21"/>
                      <w:szCs w:val="20"/>
                      <w:vertAlign w:val="baseline"/>
                      <w:lang w:val="en-US" w:eastAsia="zh-CN"/>
                      <w14:textFill>
                        <w14:solidFill>
                          <w14:schemeClr w14:val="tx1"/>
                        </w14:solidFill>
                      </w14:textFill>
                    </w:rPr>
                  </w:pPr>
                  <w:r>
                    <w:rPr>
                      <w:rFonts w:hint="eastAsia"/>
                      <w:b w:val="0"/>
                      <w:bCs w:val="0"/>
                      <w:color w:val="000000" w:themeColor="text1"/>
                      <w:sz w:val="21"/>
                      <w:szCs w:val="20"/>
                      <w:vertAlign w:val="baseline"/>
                      <w:lang w:val="en-US" w:eastAsia="zh-CN"/>
                      <w14:textFill>
                        <w14:solidFill>
                          <w14:schemeClr w14:val="tx1"/>
                        </w14:solidFill>
                      </w14:textFill>
                    </w:rPr>
                    <w:t>ND</w:t>
                  </w:r>
                </w:p>
              </w:tc>
              <w:tc>
                <w:tcPr>
                  <w:tcW w:w="1457" w:type="dxa"/>
                  <w:vAlign w:val="center"/>
                </w:tcPr>
                <w:p w14:paraId="1B5C8D2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center"/>
                    <w:textAlignment w:val="auto"/>
                    <w:rPr>
                      <w:rFonts w:hint="default"/>
                      <w:b w:val="0"/>
                      <w:bCs w:val="0"/>
                      <w:color w:val="000000" w:themeColor="text1"/>
                      <w:sz w:val="21"/>
                      <w:szCs w:val="20"/>
                      <w:vertAlign w:val="baseli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0"/>
                      <w:vertAlign w:val="baseline"/>
                      <w:lang w:val="en-US" w:eastAsia="zh-CN"/>
                      <w14:textFill>
                        <w14:solidFill>
                          <w14:schemeClr w14:val="tx1"/>
                        </w14:solidFill>
                      </w14:textFill>
                    </w:rPr>
                    <w:t>≤</w:t>
                  </w:r>
                  <w:r>
                    <w:rPr>
                      <w:rFonts w:hint="eastAsia" w:cs="Times New Roman"/>
                      <w:b w:val="0"/>
                      <w:bCs w:val="0"/>
                      <w:color w:val="000000" w:themeColor="text1"/>
                      <w:sz w:val="21"/>
                      <w:szCs w:val="20"/>
                      <w:vertAlign w:val="baseline"/>
                      <w:lang w:val="en-US" w:eastAsia="zh-CN"/>
                      <w14:textFill>
                        <w14:solidFill>
                          <w14:schemeClr w14:val="tx1"/>
                        </w14:solidFill>
                      </w14:textFill>
                    </w:rPr>
                    <w:t>0.5</w:t>
                  </w:r>
                </w:p>
              </w:tc>
              <w:tc>
                <w:tcPr>
                  <w:tcW w:w="1122" w:type="dxa"/>
                  <w:vAlign w:val="center"/>
                </w:tcPr>
                <w:p w14:paraId="78006207">
                  <w:pPr>
                    <w:keepNext w:val="0"/>
                    <w:keepLines w:val="0"/>
                    <w:pageBreakBefore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b w:val="0"/>
                      <w:bCs w:val="0"/>
                      <w:color w:val="000000" w:themeColor="text1"/>
                      <w:sz w:val="21"/>
                      <w:szCs w:val="20"/>
                      <w:vertAlign w:val="baseline"/>
                      <w:lang w:val="en-US" w:eastAsia="zh-CN"/>
                      <w14:textFill>
                        <w14:solidFill>
                          <w14:schemeClr w14:val="tx1"/>
                        </w14:solidFill>
                      </w14:textFill>
                    </w:rPr>
                  </w:pPr>
                  <w:r>
                    <w:rPr>
                      <w:rFonts w:hint="eastAsia"/>
                      <w:b w:val="0"/>
                      <w:bCs w:val="0"/>
                      <w:color w:val="000000" w:themeColor="text1"/>
                      <w:sz w:val="21"/>
                      <w:szCs w:val="20"/>
                      <w:vertAlign w:val="baseline"/>
                      <w:lang w:val="en-US" w:eastAsia="zh-CN"/>
                      <w14:textFill>
                        <w14:solidFill>
                          <w14:schemeClr w14:val="tx1"/>
                        </w14:solidFill>
                      </w14:textFill>
                    </w:rPr>
                    <w:t>符合</w:t>
                  </w:r>
                </w:p>
              </w:tc>
              <w:tc>
                <w:tcPr>
                  <w:tcW w:w="1122" w:type="dxa"/>
                  <w:vMerge w:val="continue"/>
                  <w:vAlign w:val="center"/>
                </w:tcPr>
                <w:p w14:paraId="3C19FE91">
                  <w:pPr>
                    <w:keepNext w:val="0"/>
                    <w:keepLines w:val="0"/>
                    <w:pageBreakBefore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eastAsia"/>
                      <w:b w:val="0"/>
                      <w:bCs w:val="0"/>
                      <w:color w:val="000000" w:themeColor="text1"/>
                      <w:sz w:val="21"/>
                      <w:szCs w:val="20"/>
                      <w:vertAlign w:val="baseline"/>
                      <w:lang w:val="en-US" w:eastAsia="zh-CN"/>
                      <w14:textFill>
                        <w14:solidFill>
                          <w14:schemeClr w14:val="tx1"/>
                        </w14:solidFill>
                      </w14:textFill>
                    </w:rPr>
                  </w:pPr>
                </w:p>
              </w:tc>
            </w:tr>
            <w:tr w14:paraId="13237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660" w:type="dxa"/>
                  <w:vAlign w:val="center"/>
                </w:tcPr>
                <w:p w14:paraId="32FEA20F">
                  <w:pPr>
                    <w:keepNext w:val="0"/>
                    <w:keepLines w:val="0"/>
                    <w:pageBreakBefore w:val="0"/>
                    <w:numPr>
                      <w:ilvl w:val="0"/>
                      <w:numId w:val="0"/>
                    </w:numPr>
                    <w:kinsoku/>
                    <w:wordWrap/>
                    <w:overflowPunct/>
                    <w:topLinePunct w:val="0"/>
                    <w:autoSpaceDE/>
                    <w:autoSpaceDN/>
                    <w:bidi w:val="0"/>
                    <w:adjustRightInd/>
                    <w:snapToGrid/>
                    <w:spacing w:line="240" w:lineRule="auto"/>
                    <w:jc w:val="center"/>
                    <w:textAlignment w:val="auto"/>
                    <w:rPr>
                      <w:rFonts w:hint="default"/>
                      <w:b w:val="0"/>
                      <w:bCs w:val="0"/>
                      <w:color w:val="000000" w:themeColor="text1"/>
                      <w:sz w:val="21"/>
                      <w:szCs w:val="20"/>
                      <w:vertAlign w:val="baseline"/>
                      <w:lang w:val="en-US" w:eastAsia="zh-CN"/>
                      <w14:textFill>
                        <w14:solidFill>
                          <w14:schemeClr w14:val="tx1"/>
                        </w14:solidFill>
                      </w14:textFill>
                    </w:rPr>
                  </w:pPr>
                  <w:r>
                    <w:rPr>
                      <w:rFonts w:hint="eastAsia"/>
                      <w:b w:val="0"/>
                      <w:bCs w:val="0"/>
                      <w:color w:val="000000" w:themeColor="text1"/>
                      <w:sz w:val="21"/>
                      <w:szCs w:val="20"/>
                      <w:vertAlign w:val="baseline"/>
                      <w:lang w:val="en-US" w:eastAsia="zh-CN"/>
                      <w14:textFill>
                        <w14:solidFill>
                          <w14:schemeClr w14:val="tx1"/>
                        </w14:solidFill>
                      </w14:textFill>
                    </w:rPr>
                    <w:t>镍</w:t>
                  </w:r>
                </w:p>
              </w:tc>
              <w:tc>
                <w:tcPr>
                  <w:tcW w:w="1332" w:type="dxa"/>
                  <w:vAlign w:val="center"/>
                </w:tcPr>
                <w:p w14:paraId="2F48FEC5">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center"/>
                    <w:textAlignment w:val="auto"/>
                    <w:rPr>
                      <w:rFonts w:hint="default"/>
                      <w:b w:val="0"/>
                      <w:bCs w:val="0"/>
                      <w:color w:val="000000" w:themeColor="text1"/>
                      <w:sz w:val="21"/>
                      <w:szCs w:val="20"/>
                      <w:vertAlign w:val="baseline"/>
                      <w:lang w:val="en-US" w:eastAsia="zh-CN"/>
                      <w14:textFill>
                        <w14:solidFill>
                          <w14:schemeClr w14:val="tx1"/>
                        </w14:solidFill>
                      </w14:textFill>
                    </w:rPr>
                  </w:pPr>
                  <w:r>
                    <w:rPr>
                      <w:rFonts w:hint="eastAsia"/>
                      <w:b w:val="0"/>
                      <w:bCs w:val="0"/>
                      <w:color w:val="000000" w:themeColor="text1"/>
                      <w:sz w:val="21"/>
                      <w:szCs w:val="20"/>
                      <w:vertAlign w:val="baseline"/>
                      <w:lang w:val="en-US" w:eastAsia="zh-CN"/>
                      <w14:textFill>
                        <w14:solidFill>
                          <w14:schemeClr w14:val="tx1"/>
                        </w14:solidFill>
                      </w14:textFill>
                    </w:rPr>
                    <w:t>mg/L</w:t>
                  </w:r>
                </w:p>
              </w:tc>
              <w:tc>
                <w:tcPr>
                  <w:tcW w:w="2730" w:type="dxa"/>
                  <w:vAlign w:val="center"/>
                </w:tcPr>
                <w:p w14:paraId="68A88B8B">
                  <w:pPr>
                    <w:keepNext w:val="0"/>
                    <w:keepLines w:val="0"/>
                    <w:pageBreakBefore w:val="0"/>
                    <w:numPr>
                      <w:ilvl w:val="0"/>
                      <w:numId w:val="0"/>
                    </w:numPr>
                    <w:kinsoku/>
                    <w:wordWrap/>
                    <w:overflowPunct/>
                    <w:topLinePunct w:val="0"/>
                    <w:autoSpaceDE/>
                    <w:autoSpaceDN/>
                    <w:bidi w:val="0"/>
                    <w:adjustRightInd/>
                    <w:snapToGrid/>
                    <w:spacing w:line="240" w:lineRule="auto"/>
                    <w:jc w:val="center"/>
                    <w:textAlignment w:val="auto"/>
                    <w:rPr>
                      <w:rFonts w:hint="default"/>
                      <w:b w:val="0"/>
                      <w:bCs w:val="0"/>
                      <w:color w:val="000000" w:themeColor="text1"/>
                      <w:sz w:val="21"/>
                      <w:szCs w:val="20"/>
                      <w:vertAlign w:val="baseline"/>
                      <w:lang w:val="en-US" w:eastAsia="zh-CN"/>
                      <w14:textFill>
                        <w14:solidFill>
                          <w14:schemeClr w14:val="tx1"/>
                        </w14:solidFill>
                      </w14:textFill>
                    </w:rPr>
                  </w:pPr>
                  <w:r>
                    <w:rPr>
                      <w:rFonts w:hint="eastAsia"/>
                      <w:b w:val="0"/>
                      <w:bCs w:val="0"/>
                      <w:color w:val="000000" w:themeColor="text1"/>
                      <w:sz w:val="21"/>
                      <w:szCs w:val="20"/>
                      <w:vertAlign w:val="baseline"/>
                      <w:lang w:val="en-US" w:eastAsia="zh-CN"/>
                      <w14:textFill>
                        <w14:solidFill>
                          <w14:schemeClr w14:val="tx1"/>
                        </w14:solidFill>
                      </w14:textFill>
                    </w:rPr>
                    <w:t>ND</w:t>
                  </w:r>
                </w:p>
              </w:tc>
              <w:tc>
                <w:tcPr>
                  <w:tcW w:w="1457" w:type="dxa"/>
                  <w:vAlign w:val="center"/>
                </w:tcPr>
                <w:p w14:paraId="79CD3F7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center"/>
                    <w:textAlignment w:val="auto"/>
                    <w:rPr>
                      <w:rFonts w:hint="default"/>
                      <w:b w:val="0"/>
                      <w:bCs w:val="0"/>
                      <w:color w:val="000000" w:themeColor="text1"/>
                      <w:sz w:val="21"/>
                      <w:szCs w:val="20"/>
                      <w:vertAlign w:val="baseli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0"/>
                      <w:vertAlign w:val="baseline"/>
                      <w:lang w:val="en-US" w:eastAsia="zh-CN"/>
                      <w14:textFill>
                        <w14:solidFill>
                          <w14:schemeClr w14:val="tx1"/>
                        </w14:solidFill>
                      </w14:textFill>
                    </w:rPr>
                    <w:t>≤</w:t>
                  </w:r>
                  <w:r>
                    <w:rPr>
                      <w:rFonts w:hint="eastAsia" w:cs="Times New Roman"/>
                      <w:b w:val="0"/>
                      <w:bCs w:val="0"/>
                      <w:color w:val="000000" w:themeColor="text1"/>
                      <w:sz w:val="21"/>
                      <w:szCs w:val="20"/>
                      <w:vertAlign w:val="baseline"/>
                      <w:lang w:val="en-US" w:eastAsia="zh-CN"/>
                      <w14:textFill>
                        <w14:solidFill>
                          <w14:schemeClr w14:val="tx1"/>
                        </w14:solidFill>
                      </w14:textFill>
                    </w:rPr>
                    <w:t>1.0</w:t>
                  </w:r>
                </w:p>
              </w:tc>
              <w:tc>
                <w:tcPr>
                  <w:tcW w:w="1122" w:type="dxa"/>
                  <w:vAlign w:val="center"/>
                </w:tcPr>
                <w:p w14:paraId="216FC982">
                  <w:pPr>
                    <w:keepNext w:val="0"/>
                    <w:keepLines w:val="0"/>
                    <w:pageBreakBefore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b w:val="0"/>
                      <w:bCs w:val="0"/>
                      <w:color w:val="000000" w:themeColor="text1"/>
                      <w:sz w:val="21"/>
                      <w:szCs w:val="20"/>
                      <w:vertAlign w:val="baseline"/>
                      <w:lang w:val="en-US" w:eastAsia="zh-CN"/>
                      <w14:textFill>
                        <w14:solidFill>
                          <w14:schemeClr w14:val="tx1"/>
                        </w14:solidFill>
                      </w14:textFill>
                    </w:rPr>
                  </w:pPr>
                  <w:r>
                    <w:rPr>
                      <w:rFonts w:hint="eastAsia"/>
                      <w:b w:val="0"/>
                      <w:bCs w:val="0"/>
                      <w:color w:val="000000" w:themeColor="text1"/>
                      <w:sz w:val="21"/>
                      <w:szCs w:val="20"/>
                      <w:vertAlign w:val="baseline"/>
                      <w:lang w:val="en-US" w:eastAsia="zh-CN"/>
                      <w14:textFill>
                        <w14:solidFill>
                          <w14:schemeClr w14:val="tx1"/>
                        </w14:solidFill>
                      </w14:textFill>
                    </w:rPr>
                    <w:t>符合</w:t>
                  </w:r>
                </w:p>
              </w:tc>
              <w:tc>
                <w:tcPr>
                  <w:tcW w:w="1122" w:type="dxa"/>
                  <w:vMerge w:val="continue"/>
                  <w:vAlign w:val="center"/>
                </w:tcPr>
                <w:p w14:paraId="212C414D">
                  <w:pPr>
                    <w:keepNext w:val="0"/>
                    <w:keepLines w:val="0"/>
                    <w:pageBreakBefore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eastAsia"/>
                      <w:b w:val="0"/>
                      <w:bCs w:val="0"/>
                      <w:color w:val="000000" w:themeColor="text1"/>
                      <w:sz w:val="21"/>
                      <w:szCs w:val="20"/>
                      <w:vertAlign w:val="baseline"/>
                      <w:lang w:val="en-US" w:eastAsia="zh-CN"/>
                      <w14:textFill>
                        <w14:solidFill>
                          <w14:schemeClr w14:val="tx1"/>
                        </w14:solidFill>
                      </w14:textFill>
                    </w:rPr>
                  </w:pPr>
                </w:p>
              </w:tc>
            </w:tr>
            <w:tr w14:paraId="54E0E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660" w:type="dxa"/>
                  <w:vAlign w:val="center"/>
                </w:tcPr>
                <w:p w14:paraId="248BB5B8">
                  <w:pPr>
                    <w:keepNext w:val="0"/>
                    <w:keepLines w:val="0"/>
                    <w:pageBreakBefore w:val="0"/>
                    <w:numPr>
                      <w:ilvl w:val="0"/>
                      <w:numId w:val="0"/>
                    </w:numPr>
                    <w:kinsoku/>
                    <w:wordWrap/>
                    <w:overflowPunct/>
                    <w:topLinePunct w:val="0"/>
                    <w:autoSpaceDE/>
                    <w:autoSpaceDN/>
                    <w:bidi w:val="0"/>
                    <w:adjustRightInd/>
                    <w:snapToGrid/>
                    <w:spacing w:line="240" w:lineRule="auto"/>
                    <w:jc w:val="center"/>
                    <w:textAlignment w:val="auto"/>
                    <w:rPr>
                      <w:rFonts w:hint="default"/>
                      <w:b w:val="0"/>
                      <w:bCs w:val="0"/>
                      <w:color w:val="000000" w:themeColor="text1"/>
                      <w:sz w:val="21"/>
                      <w:szCs w:val="20"/>
                      <w:vertAlign w:val="baseline"/>
                      <w:lang w:val="en-US" w:eastAsia="zh-CN"/>
                      <w14:textFill>
                        <w14:solidFill>
                          <w14:schemeClr w14:val="tx1"/>
                        </w14:solidFill>
                      </w14:textFill>
                    </w:rPr>
                  </w:pPr>
                  <w:r>
                    <w:rPr>
                      <w:rFonts w:hint="eastAsia"/>
                      <w:b w:val="0"/>
                      <w:bCs w:val="0"/>
                      <w:color w:val="000000" w:themeColor="text1"/>
                      <w:sz w:val="21"/>
                      <w:szCs w:val="20"/>
                      <w:vertAlign w:val="baseline"/>
                      <w:lang w:val="en-US" w:eastAsia="zh-CN"/>
                      <w14:textFill>
                        <w14:solidFill>
                          <w14:schemeClr w14:val="tx1"/>
                        </w14:solidFill>
                      </w14:textFill>
                    </w:rPr>
                    <w:t>镉</w:t>
                  </w:r>
                </w:p>
              </w:tc>
              <w:tc>
                <w:tcPr>
                  <w:tcW w:w="1332" w:type="dxa"/>
                  <w:vAlign w:val="center"/>
                </w:tcPr>
                <w:p w14:paraId="4CC06347">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center"/>
                    <w:textAlignment w:val="auto"/>
                    <w:rPr>
                      <w:rFonts w:hint="default"/>
                      <w:b w:val="0"/>
                      <w:bCs w:val="0"/>
                      <w:color w:val="000000" w:themeColor="text1"/>
                      <w:sz w:val="21"/>
                      <w:szCs w:val="20"/>
                      <w:vertAlign w:val="baseline"/>
                      <w:lang w:val="en-US" w:eastAsia="zh-CN"/>
                      <w14:textFill>
                        <w14:solidFill>
                          <w14:schemeClr w14:val="tx1"/>
                        </w14:solidFill>
                      </w14:textFill>
                    </w:rPr>
                  </w:pPr>
                  <w:r>
                    <w:rPr>
                      <w:rFonts w:hint="eastAsia"/>
                      <w:b w:val="0"/>
                      <w:bCs w:val="0"/>
                      <w:color w:val="000000" w:themeColor="text1"/>
                      <w:sz w:val="21"/>
                      <w:szCs w:val="20"/>
                      <w:vertAlign w:val="baseline"/>
                      <w:lang w:val="en-US" w:eastAsia="zh-CN"/>
                      <w14:textFill>
                        <w14:solidFill>
                          <w14:schemeClr w14:val="tx1"/>
                        </w14:solidFill>
                      </w14:textFill>
                    </w:rPr>
                    <w:t>mg/L</w:t>
                  </w:r>
                </w:p>
              </w:tc>
              <w:tc>
                <w:tcPr>
                  <w:tcW w:w="2730" w:type="dxa"/>
                  <w:vAlign w:val="center"/>
                </w:tcPr>
                <w:p w14:paraId="2CC958A6">
                  <w:pPr>
                    <w:keepNext w:val="0"/>
                    <w:keepLines w:val="0"/>
                    <w:pageBreakBefore w:val="0"/>
                    <w:numPr>
                      <w:ilvl w:val="0"/>
                      <w:numId w:val="0"/>
                    </w:numPr>
                    <w:kinsoku/>
                    <w:wordWrap/>
                    <w:overflowPunct/>
                    <w:topLinePunct w:val="0"/>
                    <w:autoSpaceDE/>
                    <w:autoSpaceDN/>
                    <w:bidi w:val="0"/>
                    <w:adjustRightInd/>
                    <w:snapToGrid/>
                    <w:spacing w:line="240" w:lineRule="auto"/>
                    <w:jc w:val="center"/>
                    <w:textAlignment w:val="auto"/>
                    <w:rPr>
                      <w:rFonts w:hint="default"/>
                      <w:b w:val="0"/>
                      <w:bCs w:val="0"/>
                      <w:color w:val="000000" w:themeColor="text1"/>
                      <w:sz w:val="21"/>
                      <w:szCs w:val="20"/>
                      <w:vertAlign w:val="baseline"/>
                      <w:lang w:val="en-US" w:eastAsia="zh-CN"/>
                      <w14:textFill>
                        <w14:solidFill>
                          <w14:schemeClr w14:val="tx1"/>
                        </w14:solidFill>
                      </w14:textFill>
                    </w:rPr>
                  </w:pPr>
                  <w:r>
                    <w:rPr>
                      <w:rFonts w:hint="eastAsia"/>
                      <w:b w:val="0"/>
                      <w:bCs w:val="0"/>
                      <w:color w:val="000000" w:themeColor="text1"/>
                      <w:sz w:val="21"/>
                      <w:szCs w:val="20"/>
                      <w:vertAlign w:val="baseline"/>
                      <w:lang w:val="en-US" w:eastAsia="zh-CN"/>
                      <w14:textFill>
                        <w14:solidFill>
                          <w14:schemeClr w14:val="tx1"/>
                        </w14:solidFill>
                      </w14:textFill>
                    </w:rPr>
                    <w:t>ND</w:t>
                  </w:r>
                </w:p>
              </w:tc>
              <w:tc>
                <w:tcPr>
                  <w:tcW w:w="1457" w:type="dxa"/>
                  <w:vAlign w:val="center"/>
                </w:tcPr>
                <w:p w14:paraId="264171C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center"/>
                    <w:textAlignment w:val="auto"/>
                    <w:rPr>
                      <w:rFonts w:hint="default"/>
                      <w:b w:val="0"/>
                      <w:bCs w:val="0"/>
                      <w:color w:val="000000" w:themeColor="text1"/>
                      <w:sz w:val="21"/>
                      <w:szCs w:val="20"/>
                      <w:vertAlign w:val="baseli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0"/>
                      <w:vertAlign w:val="baseline"/>
                      <w:lang w:val="en-US" w:eastAsia="zh-CN"/>
                      <w14:textFill>
                        <w14:solidFill>
                          <w14:schemeClr w14:val="tx1"/>
                        </w14:solidFill>
                      </w14:textFill>
                    </w:rPr>
                    <w:t>≤</w:t>
                  </w:r>
                  <w:r>
                    <w:rPr>
                      <w:rFonts w:hint="eastAsia" w:cs="Times New Roman"/>
                      <w:b w:val="0"/>
                      <w:bCs w:val="0"/>
                      <w:color w:val="000000" w:themeColor="text1"/>
                      <w:sz w:val="21"/>
                      <w:szCs w:val="20"/>
                      <w:vertAlign w:val="baseline"/>
                      <w:lang w:val="en-US" w:eastAsia="zh-CN"/>
                      <w14:textFill>
                        <w14:solidFill>
                          <w14:schemeClr w14:val="tx1"/>
                        </w14:solidFill>
                      </w14:textFill>
                    </w:rPr>
                    <w:t>0.1</w:t>
                  </w:r>
                </w:p>
              </w:tc>
              <w:tc>
                <w:tcPr>
                  <w:tcW w:w="1122" w:type="dxa"/>
                  <w:vAlign w:val="center"/>
                </w:tcPr>
                <w:p w14:paraId="449DCE7B">
                  <w:pPr>
                    <w:keepNext w:val="0"/>
                    <w:keepLines w:val="0"/>
                    <w:pageBreakBefore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b w:val="0"/>
                      <w:bCs w:val="0"/>
                      <w:color w:val="000000" w:themeColor="text1"/>
                      <w:sz w:val="21"/>
                      <w:szCs w:val="20"/>
                      <w:vertAlign w:val="baseline"/>
                      <w:lang w:val="en-US" w:eastAsia="zh-CN"/>
                      <w14:textFill>
                        <w14:solidFill>
                          <w14:schemeClr w14:val="tx1"/>
                        </w14:solidFill>
                      </w14:textFill>
                    </w:rPr>
                  </w:pPr>
                  <w:r>
                    <w:rPr>
                      <w:rFonts w:hint="eastAsia"/>
                      <w:b w:val="0"/>
                      <w:bCs w:val="0"/>
                      <w:color w:val="000000" w:themeColor="text1"/>
                      <w:sz w:val="21"/>
                      <w:szCs w:val="20"/>
                      <w:vertAlign w:val="baseline"/>
                      <w:lang w:val="en-US" w:eastAsia="zh-CN"/>
                      <w14:textFill>
                        <w14:solidFill>
                          <w14:schemeClr w14:val="tx1"/>
                        </w14:solidFill>
                      </w14:textFill>
                    </w:rPr>
                    <w:t>符合</w:t>
                  </w:r>
                </w:p>
              </w:tc>
              <w:tc>
                <w:tcPr>
                  <w:tcW w:w="1122" w:type="dxa"/>
                  <w:vMerge w:val="continue"/>
                  <w:vAlign w:val="center"/>
                </w:tcPr>
                <w:p w14:paraId="68A61E3D">
                  <w:pPr>
                    <w:keepNext w:val="0"/>
                    <w:keepLines w:val="0"/>
                    <w:pageBreakBefore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eastAsia"/>
                      <w:b w:val="0"/>
                      <w:bCs w:val="0"/>
                      <w:color w:val="000000" w:themeColor="text1"/>
                      <w:sz w:val="21"/>
                      <w:szCs w:val="20"/>
                      <w:vertAlign w:val="baseline"/>
                      <w:lang w:val="en-US" w:eastAsia="zh-CN"/>
                      <w14:textFill>
                        <w14:solidFill>
                          <w14:schemeClr w14:val="tx1"/>
                        </w14:solidFill>
                      </w14:textFill>
                    </w:rPr>
                  </w:pPr>
                </w:p>
              </w:tc>
            </w:tr>
            <w:tr w14:paraId="0BE34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660" w:type="dxa"/>
                  <w:vAlign w:val="center"/>
                </w:tcPr>
                <w:p w14:paraId="31E71615">
                  <w:pPr>
                    <w:keepNext w:val="0"/>
                    <w:keepLines w:val="0"/>
                    <w:pageBreakBefore w:val="0"/>
                    <w:numPr>
                      <w:ilvl w:val="0"/>
                      <w:numId w:val="0"/>
                    </w:numPr>
                    <w:kinsoku/>
                    <w:wordWrap/>
                    <w:overflowPunct/>
                    <w:topLinePunct w:val="0"/>
                    <w:autoSpaceDE/>
                    <w:autoSpaceDN/>
                    <w:bidi w:val="0"/>
                    <w:adjustRightInd/>
                    <w:snapToGrid/>
                    <w:spacing w:line="240" w:lineRule="auto"/>
                    <w:jc w:val="center"/>
                    <w:textAlignment w:val="auto"/>
                    <w:rPr>
                      <w:rFonts w:hint="default"/>
                      <w:b w:val="0"/>
                      <w:bCs w:val="0"/>
                      <w:color w:val="000000" w:themeColor="text1"/>
                      <w:sz w:val="21"/>
                      <w:szCs w:val="20"/>
                      <w:vertAlign w:val="baseline"/>
                      <w:lang w:val="en-US" w:eastAsia="zh-CN"/>
                      <w14:textFill>
                        <w14:solidFill>
                          <w14:schemeClr w14:val="tx1"/>
                        </w14:solidFill>
                      </w14:textFill>
                    </w:rPr>
                  </w:pPr>
                  <w:r>
                    <w:rPr>
                      <w:rFonts w:hint="eastAsia"/>
                      <w:b w:val="0"/>
                      <w:bCs w:val="0"/>
                      <w:color w:val="000000" w:themeColor="text1"/>
                      <w:sz w:val="21"/>
                      <w:szCs w:val="20"/>
                      <w:vertAlign w:val="baseline"/>
                      <w:lang w:val="en-US" w:eastAsia="zh-CN"/>
                      <w14:textFill>
                        <w14:solidFill>
                          <w14:schemeClr w14:val="tx1"/>
                        </w14:solidFill>
                      </w14:textFill>
                    </w:rPr>
                    <w:t>锌</w:t>
                  </w:r>
                </w:p>
              </w:tc>
              <w:tc>
                <w:tcPr>
                  <w:tcW w:w="1332" w:type="dxa"/>
                  <w:vAlign w:val="center"/>
                </w:tcPr>
                <w:p w14:paraId="4C2360A2">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center"/>
                    <w:textAlignment w:val="auto"/>
                    <w:rPr>
                      <w:rFonts w:hint="default"/>
                      <w:b w:val="0"/>
                      <w:bCs w:val="0"/>
                      <w:color w:val="000000" w:themeColor="text1"/>
                      <w:sz w:val="21"/>
                      <w:szCs w:val="20"/>
                      <w:vertAlign w:val="baseline"/>
                      <w:lang w:val="en-US" w:eastAsia="zh-CN"/>
                      <w14:textFill>
                        <w14:solidFill>
                          <w14:schemeClr w14:val="tx1"/>
                        </w14:solidFill>
                      </w14:textFill>
                    </w:rPr>
                  </w:pPr>
                  <w:r>
                    <w:rPr>
                      <w:rFonts w:hint="eastAsia"/>
                      <w:b w:val="0"/>
                      <w:bCs w:val="0"/>
                      <w:color w:val="000000" w:themeColor="text1"/>
                      <w:sz w:val="21"/>
                      <w:szCs w:val="20"/>
                      <w:vertAlign w:val="baseline"/>
                      <w:lang w:val="en-US" w:eastAsia="zh-CN"/>
                      <w14:textFill>
                        <w14:solidFill>
                          <w14:schemeClr w14:val="tx1"/>
                        </w14:solidFill>
                      </w14:textFill>
                    </w:rPr>
                    <w:t>mg/L</w:t>
                  </w:r>
                </w:p>
              </w:tc>
              <w:tc>
                <w:tcPr>
                  <w:tcW w:w="2730" w:type="dxa"/>
                  <w:vAlign w:val="center"/>
                </w:tcPr>
                <w:p w14:paraId="443B3B79">
                  <w:pPr>
                    <w:keepNext w:val="0"/>
                    <w:keepLines w:val="0"/>
                    <w:pageBreakBefore w:val="0"/>
                    <w:numPr>
                      <w:ilvl w:val="0"/>
                      <w:numId w:val="0"/>
                    </w:numPr>
                    <w:kinsoku/>
                    <w:wordWrap/>
                    <w:overflowPunct/>
                    <w:topLinePunct w:val="0"/>
                    <w:autoSpaceDE/>
                    <w:autoSpaceDN/>
                    <w:bidi w:val="0"/>
                    <w:adjustRightInd/>
                    <w:snapToGrid/>
                    <w:spacing w:line="240" w:lineRule="auto"/>
                    <w:jc w:val="center"/>
                    <w:textAlignment w:val="auto"/>
                    <w:rPr>
                      <w:rFonts w:hint="default"/>
                      <w:b w:val="0"/>
                      <w:bCs w:val="0"/>
                      <w:color w:val="000000" w:themeColor="text1"/>
                      <w:sz w:val="21"/>
                      <w:szCs w:val="20"/>
                      <w:vertAlign w:val="baseline"/>
                      <w:lang w:val="en-US" w:eastAsia="zh-CN"/>
                      <w14:textFill>
                        <w14:solidFill>
                          <w14:schemeClr w14:val="tx1"/>
                        </w14:solidFill>
                      </w14:textFill>
                    </w:rPr>
                  </w:pPr>
                  <w:r>
                    <w:rPr>
                      <w:rFonts w:hint="eastAsia"/>
                      <w:b w:val="0"/>
                      <w:bCs w:val="0"/>
                      <w:color w:val="000000" w:themeColor="text1"/>
                      <w:sz w:val="21"/>
                      <w:szCs w:val="20"/>
                      <w:vertAlign w:val="baseline"/>
                      <w:lang w:val="en-US" w:eastAsia="zh-CN"/>
                      <w14:textFill>
                        <w14:solidFill>
                          <w14:schemeClr w14:val="tx1"/>
                        </w14:solidFill>
                      </w14:textFill>
                    </w:rPr>
                    <w:t>0.02</w:t>
                  </w:r>
                </w:p>
              </w:tc>
              <w:tc>
                <w:tcPr>
                  <w:tcW w:w="1457" w:type="dxa"/>
                  <w:vAlign w:val="center"/>
                </w:tcPr>
                <w:p w14:paraId="75D0D79D">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center"/>
                    <w:textAlignment w:val="auto"/>
                    <w:rPr>
                      <w:rFonts w:hint="default"/>
                      <w:b w:val="0"/>
                      <w:bCs w:val="0"/>
                      <w:color w:val="000000" w:themeColor="text1"/>
                      <w:sz w:val="21"/>
                      <w:szCs w:val="20"/>
                      <w:vertAlign w:val="baseli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0"/>
                      <w:vertAlign w:val="baseline"/>
                      <w:lang w:val="en-US" w:eastAsia="zh-CN"/>
                      <w14:textFill>
                        <w14:solidFill>
                          <w14:schemeClr w14:val="tx1"/>
                        </w14:solidFill>
                      </w14:textFill>
                    </w:rPr>
                    <w:t>≤</w:t>
                  </w:r>
                  <w:r>
                    <w:rPr>
                      <w:rFonts w:hint="eastAsia" w:cs="Times New Roman"/>
                      <w:b w:val="0"/>
                      <w:bCs w:val="0"/>
                      <w:color w:val="000000" w:themeColor="text1"/>
                      <w:sz w:val="21"/>
                      <w:szCs w:val="20"/>
                      <w:vertAlign w:val="baseline"/>
                      <w:lang w:val="en-US" w:eastAsia="zh-CN"/>
                      <w14:textFill>
                        <w14:solidFill>
                          <w14:schemeClr w14:val="tx1"/>
                        </w14:solidFill>
                      </w14:textFill>
                    </w:rPr>
                    <w:t>2.0</w:t>
                  </w:r>
                </w:p>
              </w:tc>
              <w:tc>
                <w:tcPr>
                  <w:tcW w:w="1122" w:type="dxa"/>
                  <w:vAlign w:val="center"/>
                </w:tcPr>
                <w:p w14:paraId="070481B8">
                  <w:pPr>
                    <w:keepNext w:val="0"/>
                    <w:keepLines w:val="0"/>
                    <w:pageBreakBefore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b w:val="0"/>
                      <w:bCs w:val="0"/>
                      <w:color w:val="000000" w:themeColor="text1"/>
                      <w:sz w:val="21"/>
                      <w:szCs w:val="20"/>
                      <w:vertAlign w:val="baseline"/>
                      <w:lang w:val="en-US" w:eastAsia="zh-CN"/>
                      <w14:textFill>
                        <w14:solidFill>
                          <w14:schemeClr w14:val="tx1"/>
                        </w14:solidFill>
                      </w14:textFill>
                    </w:rPr>
                  </w:pPr>
                  <w:r>
                    <w:rPr>
                      <w:rFonts w:hint="eastAsia"/>
                      <w:b w:val="0"/>
                      <w:bCs w:val="0"/>
                      <w:color w:val="000000" w:themeColor="text1"/>
                      <w:sz w:val="21"/>
                      <w:szCs w:val="20"/>
                      <w:vertAlign w:val="baseline"/>
                      <w:lang w:val="en-US" w:eastAsia="zh-CN"/>
                      <w14:textFill>
                        <w14:solidFill>
                          <w14:schemeClr w14:val="tx1"/>
                        </w14:solidFill>
                      </w14:textFill>
                    </w:rPr>
                    <w:t>符合</w:t>
                  </w:r>
                </w:p>
              </w:tc>
              <w:tc>
                <w:tcPr>
                  <w:tcW w:w="1122" w:type="dxa"/>
                  <w:vMerge w:val="continue"/>
                  <w:vAlign w:val="center"/>
                </w:tcPr>
                <w:p w14:paraId="78B13FCA">
                  <w:pPr>
                    <w:keepNext w:val="0"/>
                    <w:keepLines w:val="0"/>
                    <w:pageBreakBefore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eastAsia"/>
                      <w:b w:val="0"/>
                      <w:bCs w:val="0"/>
                      <w:color w:val="000000" w:themeColor="text1"/>
                      <w:sz w:val="21"/>
                      <w:szCs w:val="20"/>
                      <w:vertAlign w:val="baseline"/>
                      <w:lang w:val="en-US" w:eastAsia="zh-CN"/>
                      <w14:textFill>
                        <w14:solidFill>
                          <w14:schemeClr w14:val="tx1"/>
                        </w14:solidFill>
                      </w14:textFill>
                    </w:rPr>
                  </w:pPr>
                </w:p>
              </w:tc>
            </w:tr>
            <w:tr w14:paraId="1CC27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660" w:type="dxa"/>
                  <w:vAlign w:val="center"/>
                </w:tcPr>
                <w:p w14:paraId="715420AE">
                  <w:pPr>
                    <w:keepNext w:val="0"/>
                    <w:keepLines w:val="0"/>
                    <w:pageBreakBefore w:val="0"/>
                    <w:numPr>
                      <w:ilvl w:val="0"/>
                      <w:numId w:val="0"/>
                    </w:numPr>
                    <w:kinsoku/>
                    <w:wordWrap/>
                    <w:overflowPunct/>
                    <w:topLinePunct w:val="0"/>
                    <w:autoSpaceDE/>
                    <w:autoSpaceDN/>
                    <w:bidi w:val="0"/>
                    <w:adjustRightInd/>
                    <w:snapToGrid/>
                    <w:spacing w:line="240" w:lineRule="auto"/>
                    <w:jc w:val="center"/>
                    <w:textAlignment w:val="auto"/>
                    <w:rPr>
                      <w:rFonts w:hint="default"/>
                      <w:b w:val="0"/>
                      <w:bCs w:val="0"/>
                      <w:color w:val="000000" w:themeColor="text1"/>
                      <w:sz w:val="21"/>
                      <w:szCs w:val="20"/>
                      <w:vertAlign w:val="baseline"/>
                      <w:lang w:val="en-US" w:eastAsia="zh-CN"/>
                      <w14:textFill>
                        <w14:solidFill>
                          <w14:schemeClr w14:val="tx1"/>
                        </w14:solidFill>
                      </w14:textFill>
                    </w:rPr>
                  </w:pPr>
                  <w:r>
                    <w:rPr>
                      <w:rFonts w:hint="eastAsia"/>
                      <w:b w:val="0"/>
                      <w:bCs w:val="0"/>
                      <w:color w:val="000000" w:themeColor="text1"/>
                      <w:sz w:val="21"/>
                      <w:szCs w:val="20"/>
                      <w:vertAlign w:val="baseline"/>
                      <w:lang w:val="en-US" w:eastAsia="zh-CN"/>
                      <w14:textFill>
                        <w14:solidFill>
                          <w14:schemeClr w14:val="tx1"/>
                        </w14:solidFill>
                      </w14:textFill>
                    </w:rPr>
                    <w:t>锰</w:t>
                  </w:r>
                </w:p>
              </w:tc>
              <w:tc>
                <w:tcPr>
                  <w:tcW w:w="1332" w:type="dxa"/>
                  <w:vAlign w:val="center"/>
                </w:tcPr>
                <w:p w14:paraId="63000361">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center"/>
                    <w:textAlignment w:val="auto"/>
                    <w:rPr>
                      <w:rFonts w:hint="default"/>
                      <w:b w:val="0"/>
                      <w:bCs w:val="0"/>
                      <w:color w:val="000000" w:themeColor="text1"/>
                      <w:sz w:val="21"/>
                      <w:szCs w:val="20"/>
                      <w:vertAlign w:val="baseline"/>
                      <w:lang w:val="en-US" w:eastAsia="zh-CN"/>
                      <w14:textFill>
                        <w14:solidFill>
                          <w14:schemeClr w14:val="tx1"/>
                        </w14:solidFill>
                      </w14:textFill>
                    </w:rPr>
                  </w:pPr>
                  <w:r>
                    <w:rPr>
                      <w:rFonts w:hint="eastAsia"/>
                      <w:b w:val="0"/>
                      <w:bCs w:val="0"/>
                      <w:color w:val="000000" w:themeColor="text1"/>
                      <w:sz w:val="21"/>
                      <w:szCs w:val="20"/>
                      <w:vertAlign w:val="baseline"/>
                      <w:lang w:val="en-US" w:eastAsia="zh-CN"/>
                      <w14:textFill>
                        <w14:solidFill>
                          <w14:schemeClr w14:val="tx1"/>
                        </w14:solidFill>
                      </w14:textFill>
                    </w:rPr>
                    <w:t>mg/L</w:t>
                  </w:r>
                </w:p>
              </w:tc>
              <w:tc>
                <w:tcPr>
                  <w:tcW w:w="2730" w:type="dxa"/>
                  <w:vAlign w:val="center"/>
                </w:tcPr>
                <w:p w14:paraId="38EF0BA9">
                  <w:pPr>
                    <w:keepNext w:val="0"/>
                    <w:keepLines w:val="0"/>
                    <w:pageBreakBefore w:val="0"/>
                    <w:numPr>
                      <w:ilvl w:val="0"/>
                      <w:numId w:val="0"/>
                    </w:numPr>
                    <w:kinsoku/>
                    <w:wordWrap/>
                    <w:overflowPunct/>
                    <w:topLinePunct w:val="0"/>
                    <w:autoSpaceDE/>
                    <w:autoSpaceDN/>
                    <w:bidi w:val="0"/>
                    <w:adjustRightInd/>
                    <w:snapToGrid/>
                    <w:spacing w:line="240" w:lineRule="auto"/>
                    <w:jc w:val="center"/>
                    <w:textAlignment w:val="auto"/>
                    <w:rPr>
                      <w:rFonts w:hint="default"/>
                      <w:b w:val="0"/>
                      <w:bCs w:val="0"/>
                      <w:color w:val="000000" w:themeColor="text1"/>
                      <w:sz w:val="21"/>
                      <w:szCs w:val="20"/>
                      <w:vertAlign w:val="baseline"/>
                      <w:lang w:val="en-US" w:eastAsia="zh-CN"/>
                      <w14:textFill>
                        <w14:solidFill>
                          <w14:schemeClr w14:val="tx1"/>
                        </w14:solidFill>
                      </w14:textFill>
                    </w:rPr>
                  </w:pPr>
                  <w:r>
                    <w:rPr>
                      <w:rFonts w:hint="eastAsia"/>
                      <w:b w:val="0"/>
                      <w:bCs w:val="0"/>
                      <w:color w:val="000000" w:themeColor="text1"/>
                      <w:sz w:val="21"/>
                      <w:szCs w:val="20"/>
                      <w:vertAlign w:val="baseline"/>
                      <w:lang w:val="en-US" w:eastAsia="zh-CN"/>
                      <w14:textFill>
                        <w14:solidFill>
                          <w14:schemeClr w14:val="tx1"/>
                        </w14:solidFill>
                      </w14:textFill>
                    </w:rPr>
                    <w:t>ND</w:t>
                  </w:r>
                </w:p>
              </w:tc>
              <w:tc>
                <w:tcPr>
                  <w:tcW w:w="1457" w:type="dxa"/>
                  <w:vAlign w:val="center"/>
                </w:tcPr>
                <w:p w14:paraId="70F712A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center"/>
                    <w:textAlignment w:val="auto"/>
                    <w:rPr>
                      <w:rFonts w:hint="default"/>
                      <w:b w:val="0"/>
                      <w:bCs w:val="0"/>
                      <w:color w:val="000000" w:themeColor="text1"/>
                      <w:sz w:val="21"/>
                      <w:szCs w:val="20"/>
                      <w:vertAlign w:val="baseli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0"/>
                      <w:vertAlign w:val="baseline"/>
                      <w:lang w:val="en-US" w:eastAsia="zh-CN"/>
                      <w14:textFill>
                        <w14:solidFill>
                          <w14:schemeClr w14:val="tx1"/>
                        </w14:solidFill>
                      </w14:textFill>
                    </w:rPr>
                    <w:t>≤</w:t>
                  </w:r>
                  <w:r>
                    <w:rPr>
                      <w:rFonts w:hint="eastAsia" w:cs="Times New Roman"/>
                      <w:b w:val="0"/>
                      <w:bCs w:val="0"/>
                      <w:color w:val="000000" w:themeColor="text1"/>
                      <w:sz w:val="21"/>
                      <w:szCs w:val="20"/>
                      <w:vertAlign w:val="baseline"/>
                      <w:lang w:val="en-US" w:eastAsia="zh-CN"/>
                      <w14:textFill>
                        <w14:solidFill>
                          <w14:schemeClr w14:val="tx1"/>
                        </w14:solidFill>
                      </w14:textFill>
                    </w:rPr>
                    <w:t>2.0</w:t>
                  </w:r>
                </w:p>
              </w:tc>
              <w:tc>
                <w:tcPr>
                  <w:tcW w:w="1122" w:type="dxa"/>
                  <w:vAlign w:val="center"/>
                </w:tcPr>
                <w:p w14:paraId="73DDDDE0">
                  <w:pPr>
                    <w:keepNext w:val="0"/>
                    <w:keepLines w:val="0"/>
                    <w:pageBreakBefore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b w:val="0"/>
                      <w:bCs w:val="0"/>
                      <w:color w:val="000000" w:themeColor="text1"/>
                      <w:sz w:val="21"/>
                      <w:szCs w:val="20"/>
                      <w:vertAlign w:val="baseline"/>
                      <w:lang w:val="en-US" w:eastAsia="zh-CN"/>
                      <w14:textFill>
                        <w14:solidFill>
                          <w14:schemeClr w14:val="tx1"/>
                        </w14:solidFill>
                      </w14:textFill>
                    </w:rPr>
                  </w:pPr>
                  <w:r>
                    <w:rPr>
                      <w:rFonts w:hint="eastAsia"/>
                      <w:b w:val="0"/>
                      <w:bCs w:val="0"/>
                      <w:color w:val="000000" w:themeColor="text1"/>
                      <w:sz w:val="21"/>
                      <w:szCs w:val="20"/>
                      <w:vertAlign w:val="baseline"/>
                      <w:lang w:val="en-US" w:eastAsia="zh-CN"/>
                      <w14:textFill>
                        <w14:solidFill>
                          <w14:schemeClr w14:val="tx1"/>
                        </w14:solidFill>
                      </w14:textFill>
                    </w:rPr>
                    <w:t>符合</w:t>
                  </w:r>
                </w:p>
              </w:tc>
              <w:tc>
                <w:tcPr>
                  <w:tcW w:w="1122" w:type="dxa"/>
                  <w:vMerge w:val="continue"/>
                  <w:vAlign w:val="center"/>
                </w:tcPr>
                <w:p w14:paraId="6A9B1BAB">
                  <w:pPr>
                    <w:keepNext w:val="0"/>
                    <w:keepLines w:val="0"/>
                    <w:pageBreakBefore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eastAsia"/>
                      <w:b w:val="0"/>
                      <w:bCs w:val="0"/>
                      <w:color w:val="000000" w:themeColor="text1"/>
                      <w:sz w:val="21"/>
                      <w:szCs w:val="20"/>
                      <w:vertAlign w:val="baseline"/>
                      <w:lang w:val="en-US" w:eastAsia="zh-CN"/>
                      <w14:textFill>
                        <w14:solidFill>
                          <w14:schemeClr w14:val="tx1"/>
                        </w14:solidFill>
                      </w14:textFill>
                    </w:rPr>
                  </w:pPr>
                </w:p>
              </w:tc>
            </w:tr>
            <w:tr w14:paraId="30BA3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660" w:type="dxa"/>
                  <w:vAlign w:val="center"/>
                </w:tcPr>
                <w:p w14:paraId="31DAEDCF">
                  <w:pPr>
                    <w:keepNext w:val="0"/>
                    <w:keepLines w:val="0"/>
                    <w:pageBreakBefore w:val="0"/>
                    <w:numPr>
                      <w:ilvl w:val="0"/>
                      <w:numId w:val="0"/>
                    </w:numPr>
                    <w:kinsoku/>
                    <w:wordWrap/>
                    <w:overflowPunct/>
                    <w:topLinePunct w:val="0"/>
                    <w:autoSpaceDE/>
                    <w:autoSpaceDN/>
                    <w:bidi w:val="0"/>
                    <w:adjustRightInd/>
                    <w:snapToGrid/>
                    <w:spacing w:line="240" w:lineRule="auto"/>
                    <w:jc w:val="center"/>
                    <w:textAlignment w:val="auto"/>
                    <w:rPr>
                      <w:rFonts w:hint="default"/>
                      <w:b w:val="0"/>
                      <w:bCs w:val="0"/>
                      <w:color w:val="000000" w:themeColor="text1"/>
                      <w:sz w:val="21"/>
                      <w:szCs w:val="20"/>
                      <w:vertAlign w:val="baseline"/>
                      <w:lang w:val="en-US" w:eastAsia="zh-CN"/>
                      <w14:textFill>
                        <w14:solidFill>
                          <w14:schemeClr w14:val="tx1"/>
                        </w14:solidFill>
                      </w14:textFill>
                    </w:rPr>
                  </w:pPr>
                  <w:r>
                    <w:rPr>
                      <w:rFonts w:hint="eastAsia"/>
                      <w:b w:val="0"/>
                      <w:bCs w:val="0"/>
                      <w:color w:val="000000" w:themeColor="text1"/>
                      <w:sz w:val="21"/>
                      <w:szCs w:val="20"/>
                      <w:vertAlign w:val="baseline"/>
                      <w:lang w:val="en-US" w:eastAsia="zh-CN"/>
                      <w14:textFill>
                        <w14:solidFill>
                          <w14:schemeClr w14:val="tx1"/>
                        </w14:solidFill>
                      </w14:textFill>
                    </w:rPr>
                    <w:t>石油烃（C</w:t>
                  </w:r>
                  <w:r>
                    <w:rPr>
                      <w:rFonts w:hint="eastAsia"/>
                      <w:b w:val="0"/>
                      <w:bCs w:val="0"/>
                      <w:color w:val="000000" w:themeColor="text1"/>
                      <w:sz w:val="21"/>
                      <w:szCs w:val="20"/>
                      <w:vertAlign w:val="subscript"/>
                      <w:lang w:val="en-US" w:eastAsia="zh-CN"/>
                      <w14:textFill>
                        <w14:solidFill>
                          <w14:schemeClr w14:val="tx1"/>
                        </w14:solidFill>
                      </w14:textFill>
                    </w:rPr>
                    <w:t>10</w:t>
                  </w:r>
                  <w:r>
                    <w:rPr>
                      <w:rFonts w:hint="eastAsia"/>
                      <w:b w:val="0"/>
                      <w:bCs w:val="0"/>
                      <w:color w:val="000000" w:themeColor="text1"/>
                      <w:sz w:val="21"/>
                      <w:szCs w:val="20"/>
                      <w:vertAlign w:val="baseline"/>
                      <w:lang w:val="en-US" w:eastAsia="zh-CN"/>
                      <w14:textFill>
                        <w14:solidFill>
                          <w14:schemeClr w14:val="tx1"/>
                        </w14:solidFill>
                      </w14:textFill>
                    </w:rPr>
                    <w:t>-C</w:t>
                  </w:r>
                  <w:r>
                    <w:rPr>
                      <w:rFonts w:hint="eastAsia"/>
                      <w:b w:val="0"/>
                      <w:bCs w:val="0"/>
                      <w:color w:val="000000" w:themeColor="text1"/>
                      <w:sz w:val="21"/>
                      <w:szCs w:val="20"/>
                      <w:vertAlign w:val="subscript"/>
                      <w:lang w:val="en-US" w:eastAsia="zh-CN"/>
                      <w14:textFill>
                        <w14:solidFill>
                          <w14:schemeClr w14:val="tx1"/>
                        </w14:solidFill>
                      </w14:textFill>
                    </w:rPr>
                    <w:t>40</w:t>
                  </w:r>
                  <w:r>
                    <w:rPr>
                      <w:rFonts w:hint="eastAsia"/>
                      <w:b w:val="0"/>
                      <w:bCs w:val="0"/>
                      <w:color w:val="000000" w:themeColor="text1"/>
                      <w:sz w:val="21"/>
                      <w:szCs w:val="20"/>
                      <w:vertAlign w:val="baseline"/>
                      <w:lang w:val="en-US" w:eastAsia="zh-CN"/>
                      <w14:textFill>
                        <w14:solidFill>
                          <w14:schemeClr w14:val="tx1"/>
                        </w14:solidFill>
                      </w14:textFill>
                    </w:rPr>
                    <w:t>）</w:t>
                  </w:r>
                </w:p>
              </w:tc>
              <w:tc>
                <w:tcPr>
                  <w:tcW w:w="1332" w:type="dxa"/>
                  <w:vAlign w:val="center"/>
                </w:tcPr>
                <w:p w14:paraId="7156AA9C">
                  <w:pPr>
                    <w:keepNext w:val="0"/>
                    <w:keepLines w:val="0"/>
                    <w:pageBreakBefore w:val="0"/>
                    <w:numPr>
                      <w:ilvl w:val="0"/>
                      <w:numId w:val="0"/>
                    </w:numPr>
                    <w:kinsoku/>
                    <w:wordWrap/>
                    <w:overflowPunct/>
                    <w:topLinePunct w:val="0"/>
                    <w:autoSpaceDE/>
                    <w:autoSpaceDN/>
                    <w:bidi w:val="0"/>
                    <w:adjustRightInd/>
                    <w:snapToGrid/>
                    <w:spacing w:line="240" w:lineRule="auto"/>
                    <w:jc w:val="center"/>
                    <w:textAlignment w:val="auto"/>
                    <w:rPr>
                      <w:rFonts w:hint="default"/>
                      <w:b w:val="0"/>
                      <w:bCs w:val="0"/>
                      <w:color w:val="000000" w:themeColor="text1"/>
                      <w:sz w:val="21"/>
                      <w:szCs w:val="20"/>
                      <w:vertAlign w:val="baseline"/>
                      <w:lang w:val="en-US" w:eastAsia="zh-CN"/>
                      <w14:textFill>
                        <w14:solidFill>
                          <w14:schemeClr w14:val="tx1"/>
                        </w14:solidFill>
                      </w14:textFill>
                    </w:rPr>
                  </w:pPr>
                  <w:r>
                    <w:rPr>
                      <w:rFonts w:hint="eastAsia"/>
                      <w:b w:val="0"/>
                      <w:bCs w:val="0"/>
                      <w:color w:val="000000" w:themeColor="text1"/>
                      <w:sz w:val="21"/>
                      <w:szCs w:val="20"/>
                      <w:vertAlign w:val="baseline"/>
                      <w:lang w:val="en-US" w:eastAsia="zh-CN"/>
                      <w14:textFill>
                        <w14:solidFill>
                          <w14:schemeClr w14:val="tx1"/>
                        </w14:solidFill>
                      </w14:textFill>
                    </w:rPr>
                    <w:t>mg/kg</w:t>
                  </w:r>
                </w:p>
              </w:tc>
              <w:tc>
                <w:tcPr>
                  <w:tcW w:w="2730" w:type="dxa"/>
                  <w:vAlign w:val="center"/>
                </w:tcPr>
                <w:p w14:paraId="48A9FDB6">
                  <w:pPr>
                    <w:keepNext w:val="0"/>
                    <w:keepLines w:val="0"/>
                    <w:pageBreakBefore w:val="0"/>
                    <w:numPr>
                      <w:ilvl w:val="0"/>
                      <w:numId w:val="0"/>
                    </w:numPr>
                    <w:kinsoku/>
                    <w:wordWrap/>
                    <w:overflowPunct/>
                    <w:topLinePunct w:val="0"/>
                    <w:autoSpaceDE/>
                    <w:autoSpaceDN/>
                    <w:bidi w:val="0"/>
                    <w:adjustRightInd/>
                    <w:snapToGrid/>
                    <w:spacing w:line="240" w:lineRule="auto"/>
                    <w:jc w:val="center"/>
                    <w:textAlignment w:val="auto"/>
                    <w:rPr>
                      <w:rFonts w:hint="default"/>
                      <w:b w:val="0"/>
                      <w:bCs w:val="0"/>
                      <w:color w:val="000000" w:themeColor="text1"/>
                      <w:sz w:val="21"/>
                      <w:szCs w:val="20"/>
                      <w:vertAlign w:val="baseline"/>
                      <w:lang w:val="en-US" w:eastAsia="zh-CN"/>
                      <w14:textFill>
                        <w14:solidFill>
                          <w14:schemeClr w14:val="tx1"/>
                        </w14:solidFill>
                      </w14:textFill>
                    </w:rPr>
                  </w:pPr>
                  <w:r>
                    <w:rPr>
                      <w:rFonts w:hint="eastAsia"/>
                      <w:b w:val="0"/>
                      <w:bCs w:val="0"/>
                      <w:color w:val="000000" w:themeColor="text1"/>
                      <w:sz w:val="21"/>
                      <w:szCs w:val="20"/>
                      <w:vertAlign w:val="baseline"/>
                      <w:lang w:val="en-US" w:eastAsia="zh-CN"/>
                      <w14:textFill>
                        <w14:solidFill>
                          <w14:schemeClr w14:val="tx1"/>
                        </w14:solidFill>
                      </w14:textFill>
                    </w:rPr>
                    <w:t>98</w:t>
                  </w:r>
                </w:p>
              </w:tc>
              <w:tc>
                <w:tcPr>
                  <w:tcW w:w="1457" w:type="dxa"/>
                  <w:vAlign w:val="center"/>
                </w:tcPr>
                <w:p w14:paraId="15CAAB5D">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center"/>
                    <w:textAlignment w:val="auto"/>
                    <w:rPr>
                      <w:rFonts w:hint="default"/>
                      <w:b w:val="0"/>
                      <w:bCs w:val="0"/>
                      <w:color w:val="000000" w:themeColor="text1"/>
                      <w:sz w:val="21"/>
                      <w:szCs w:val="20"/>
                      <w:vertAlign w:val="baseli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0"/>
                      <w:vertAlign w:val="baseline"/>
                      <w:lang w:val="en-US" w:eastAsia="zh-CN"/>
                      <w14:textFill>
                        <w14:solidFill>
                          <w14:schemeClr w14:val="tx1"/>
                        </w14:solidFill>
                      </w14:textFill>
                    </w:rPr>
                    <w:t>≤</w:t>
                  </w:r>
                  <w:r>
                    <w:rPr>
                      <w:rFonts w:hint="eastAsia" w:cs="Times New Roman"/>
                      <w:b w:val="0"/>
                      <w:bCs w:val="0"/>
                      <w:color w:val="000000" w:themeColor="text1"/>
                      <w:sz w:val="21"/>
                      <w:szCs w:val="20"/>
                      <w:vertAlign w:val="baseline"/>
                      <w:lang w:val="en-US" w:eastAsia="zh-CN"/>
                      <w14:textFill>
                        <w14:solidFill>
                          <w14:schemeClr w14:val="tx1"/>
                        </w14:solidFill>
                      </w14:textFill>
                    </w:rPr>
                    <w:t>10000</w:t>
                  </w:r>
                </w:p>
              </w:tc>
              <w:tc>
                <w:tcPr>
                  <w:tcW w:w="1122" w:type="dxa"/>
                  <w:vAlign w:val="center"/>
                </w:tcPr>
                <w:p w14:paraId="6EF1F15B">
                  <w:pPr>
                    <w:keepNext w:val="0"/>
                    <w:keepLines w:val="0"/>
                    <w:pageBreakBefore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b w:val="0"/>
                      <w:bCs w:val="0"/>
                      <w:color w:val="000000" w:themeColor="text1"/>
                      <w:sz w:val="21"/>
                      <w:szCs w:val="20"/>
                      <w:vertAlign w:val="baseline"/>
                      <w:lang w:val="en-US" w:eastAsia="zh-CN"/>
                      <w14:textFill>
                        <w14:solidFill>
                          <w14:schemeClr w14:val="tx1"/>
                        </w14:solidFill>
                      </w14:textFill>
                    </w:rPr>
                  </w:pPr>
                  <w:r>
                    <w:rPr>
                      <w:rFonts w:hint="eastAsia"/>
                      <w:b w:val="0"/>
                      <w:bCs w:val="0"/>
                      <w:color w:val="000000" w:themeColor="text1"/>
                      <w:sz w:val="21"/>
                      <w:szCs w:val="20"/>
                      <w:vertAlign w:val="baseline"/>
                      <w:lang w:val="en-US" w:eastAsia="zh-CN"/>
                      <w14:textFill>
                        <w14:solidFill>
                          <w14:schemeClr w14:val="tx1"/>
                        </w14:solidFill>
                      </w14:textFill>
                    </w:rPr>
                    <w:t>符合</w:t>
                  </w:r>
                </w:p>
              </w:tc>
              <w:tc>
                <w:tcPr>
                  <w:tcW w:w="1122" w:type="dxa"/>
                  <w:vMerge w:val="restart"/>
                  <w:vAlign w:val="center"/>
                </w:tcPr>
                <w:p w14:paraId="09DB1CF3">
                  <w:pPr>
                    <w:keepNext w:val="0"/>
                    <w:keepLines w:val="0"/>
                    <w:pageBreakBefore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b w:val="0"/>
                      <w:bCs w:val="0"/>
                      <w:color w:val="000000" w:themeColor="text1"/>
                      <w:sz w:val="21"/>
                      <w:szCs w:val="20"/>
                      <w:vertAlign w:val="baseline"/>
                      <w:lang w:val="en-US" w:eastAsia="zh-CN"/>
                      <w14:textFill>
                        <w14:solidFill>
                          <w14:schemeClr w14:val="tx1"/>
                        </w14:solidFill>
                      </w14:textFill>
                    </w:rPr>
                  </w:pPr>
                  <w:r>
                    <w:rPr>
                      <w:rFonts w:hint="eastAsia"/>
                      <w:b w:val="0"/>
                      <w:bCs w:val="0"/>
                      <w:color w:val="000000" w:themeColor="text1"/>
                      <w:sz w:val="21"/>
                      <w:szCs w:val="20"/>
                      <w:vertAlign w:val="baseline"/>
                      <w:lang w:val="en-US" w:eastAsia="zh-CN"/>
                      <w14:textFill>
                        <w14:solidFill>
                          <w14:schemeClr w14:val="tx1"/>
                        </w14:solidFill>
                      </w14:textFill>
                    </w:rPr>
                    <w:t>样品直接测定</w:t>
                  </w:r>
                </w:p>
              </w:tc>
            </w:tr>
            <w:tr w14:paraId="4CB39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660" w:type="dxa"/>
                  <w:vAlign w:val="center"/>
                </w:tcPr>
                <w:p w14:paraId="04AF537A">
                  <w:pPr>
                    <w:keepNext w:val="0"/>
                    <w:keepLines w:val="0"/>
                    <w:pageBreakBefore w:val="0"/>
                    <w:numPr>
                      <w:ilvl w:val="0"/>
                      <w:numId w:val="0"/>
                    </w:numPr>
                    <w:kinsoku/>
                    <w:wordWrap/>
                    <w:overflowPunct/>
                    <w:topLinePunct w:val="0"/>
                    <w:autoSpaceDE/>
                    <w:autoSpaceDN/>
                    <w:bidi w:val="0"/>
                    <w:adjustRightInd/>
                    <w:snapToGrid/>
                    <w:spacing w:line="240" w:lineRule="auto"/>
                    <w:jc w:val="center"/>
                    <w:textAlignment w:val="auto"/>
                    <w:rPr>
                      <w:rFonts w:hint="default"/>
                      <w:b w:val="0"/>
                      <w:bCs w:val="0"/>
                      <w:color w:val="000000" w:themeColor="text1"/>
                      <w:sz w:val="21"/>
                      <w:szCs w:val="20"/>
                      <w:vertAlign w:val="baseline"/>
                      <w:lang w:val="en-US" w:eastAsia="zh-CN"/>
                      <w14:textFill>
                        <w14:solidFill>
                          <w14:schemeClr w14:val="tx1"/>
                        </w14:solidFill>
                      </w14:textFill>
                    </w:rPr>
                  </w:pPr>
                  <w:r>
                    <w:rPr>
                      <w:rFonts w:hint="eastAsia"/>
                      <w:b w:val="0"/>
                      <w:bCs w:val="0"/>
                      <w:color w:val="000000" w:themeColor="text1"/>
                      <w:sz w:val="21"/>
                      <w:szCs w:val="20"/>
                      <w:vertAlign w:val="baseline"/>
                      <w:lang w:val="en-US" w:eastAsia="zh-CN"/>
                      <w14:textFill>
                        <w14:solidFill>
                          <w14:schemeClr w14:val="tx1"/>
                        </w14:solidFill>
                      </w14:textFill>
                    </w:rPr>
                    <w:t>苯并（a）芘</w:t>
                  </w:r>
                </w:p>
              </w:tc>
              <w:tc>
                <w:tcPr>
                  <w:tcW w:w="1332" w:type="dxa"/>
                  <w:shd w:val="clear" w:color="auto" w:fill="auto"/>
                  <w:vAlign w:val="center"/>
                </w:tcPr>
                <w:p w14:paraId="628EB1DB">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eastAsia" w:ascii="Times New Roman" w:hAnsi="Times New Roman" w:eastAsia="宋体" w:cstheme="minorBidi"/>
                      <w:b w:val="0"/>
                      <w:bCs w:val="0"/>
                      <w:color w:val="000000" w:themeColor="text1"/>
                      <w:kern w:val="2"/>
                      <w:sz w:val="21"/>
                      <w:szCs w:val="20"/>
                      <w:vertAlign w:val="baseline"/>
                      <w:lang w:val="en-US" w:eastAsia="zh-CN" w:bidi="ar-SA"/>
                      <w14:textFill>
                        <w14:solidFill>
                          <w14:schemeClr w14:val="tx1"/>
                        </w14:solidFill>
                      </w14:textFill>
                    </w:rPr>
                  </w:pPr>
                  <w:r>
                    <w:rPr>
                      <w:rFonts w:hint="eastAsia"/>
                      <w:b w:val="0"/>
                      <w:bCs w:val="0"/>
                      <w:color w:val="000000" w:themeColor="text1"/>
                      <w:sz w:val="21"/>
                      <w:szCs w:val="20"/>
                      <w:vertAlign w:val="baseline"/>
                      <w:lang w:val="en-US" w:eastAsia="zh-CN"/>
                      <w14:textFill>
                        <w14:solidFill>
                          <w14:schemeClr w14:val="tx1"/>
                        </w14:solidFill>
                      </w14:textFill>
                    </w:rPr>
                    <w:t>mg/L</w:t>
                  </w:r>
                </w:p>
              </w:tc>
              <w:tc>
                <w:tcPr>
                  <w:tcW w:w="2730" w:type="dxa"/>
                  <w:shd w:val="clear" w:color="auto" w:fill="auto"/>
                  <w:vAlign w:val="center"/>
                </w:tcPr>
                <w:p w14:paraId="14B0B1E7">
                  <w:pPr>
                    <w:keepNext w:val="0"/>
                    <w:keepLines w:val="0"/>
                    <w:pageBreakBefore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eastAsia" w:ascii="Times New Roman" w:hAnsi="Times New Roman" w:eastAsia="宋体" w:cstheme="minorBidi"/>
                      <w:b w:val="0"/>
                      <w:bCs w:val="0"/>
                      <w:color w:val="000000" w:themeColor="text1"/>
                      <w:kern w:val="2"/>
                      <w:sz w:val="21"/>
                      <w:szCs w:val="20"/>
                      <w:vertAlign w:val="baseline"/>
                      <w:lang w:val="en-US" w:eastAsia="zh-CN" w:bidi="ar-SA"/>
                      <w14:textFill>
                        <w14:solidFill>
                          <w14:schemeClr w14:val="tx1"/>
                        </w14:solidFill>
                      </w14:textFill>
                    </w:rPr>
                  </w:pPr>
                  <w:r>
                    <w:rPr>
                      <w:rFonts w:hint="eastAsia"/>
                      <w:b w:val="0"/>
                      <w:bCs w:val="0"/>
                      <w:color w:val="000000" w:themeColor="text1"/>
                      <w:sz w:val="21"/>
                      <w:szCs w:val="20"/>
                      <w:vertAlign w:val="baseline"/>
                      <w:lang w:val="en-US" w:eastAsia="zh-CN"/>
                      <w14:textFill>
                        <w14:solidFill>
                          <w14:schemeClr w14:val="tx1"/>
                        </w14:solidFill>
                      </w14:textFill>
                    </w:rPr>
                    <w:t>ND</w:t>
                  </w:r>
                </w:p>
              </w:tc>
              <w:tc>
                <w:tcPr>
                  <w:tcW w:w="1457" w:type="dxa"/>
                  <w:shd w:val="clear" w:color="auto" w:fill="auto"/>
                  <w:vAlign w:val="center"/>
                </w:tcPr>
                <w:p w14:paraId="2FE38C9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heme="minorBidi"/>
                      <w:b w:val="0"/>
                      <w:bCs w:val="0"/>
                      <w:color w:val="000000" w:themeColor="text1"/>
                      <w:kern w:val="2"/>
                      <w:sz w:val="21"/>
                      <w:szCs w:val="20"/>
                      <w:vertAlign w:val="baseline"/>
                      <w:lang w:val="en-US" w:eastAsia="zh-CN" w:bidi="ar-SA"/>
                      <w14:textFill>
                        <w14:solidFill>
                          <w14:schemeClr w14:val="tx1"/>
                        </w14:solidFill>
                      </w14:textFill>
                    </w:rPr>
                  </w:pPr>
                  <w:r>
                    <w:rPr>
                      <w:rFonts w:hint="default" w:ascii="Times New Roman" w:hAnsi="Times New Roman" w:cs="Times New Roman"/>
                      <w:b w:val="0"/>
                      <w:bCs w:val="0"/>
                      <w:color w:val="000000" w:themeColor="text1"/>
                      <w:sz w:val="21"/>
                      <w:szCs w:val="20"/>
                      <w:vertAlign w:val="baseline"/>
                      <w:lang w:val="en-US" w:eastAsia="zh-CN"/>
                      <w14:textFill>
                        <w14:solidFill>
                          <w14:schemeClr w14:val="tx1"/>
                        </w14:solidFill>
                      </w14:textFill>
                    </w:rPr>
                    <w:t>≤</w:t>
                  </w:r>
                  <w:r>
                    <w:rPr>
                      <w:rFonts w:hint="eastAsia" w:cs="Times New Roman"/>
                      <w:b w:val="0"/>
                      <w:bCs w:val="0"/>
                      <w:color w:val="000000" w:themeColor="text1"/>
                      <w:sz w:val="21"/>
                      <w:szCs w:val="20"/>
                      <w:vertAlign w:val="baseline"/>
                      <w:lang w:val="en-US" w:eastAsia="zh-CN"/>
                      <w14:textFill>
                        <w14:solidFill>
                          <w14:schemeClr w14:val="tx1"/>
                        </w14:solidFill>
                      </w14:textFill>
                    </w:rPr>
                    <w:t>1.5</w:t>
                  </w:r>
                </w:p>
              </w:tc>
              <w:tc>
                <w:tcPr>
                  <w:tcW w:w="1122" w:type="dxa"/>
                  <w:shd w:val="clear" w:color="auto" w:fill="auto"/>
                  <w:vAlign w:val="center"/>
                </w:tcPr>
                <w:p w14:paraId="3BF7CB92">
                  <w:pPr>
                    <w:keepNext w:val="0"/>
                    <w:keepLines w:val="0"/>
                    <w:pageBreakBefore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eastAsia" w:ascii="Times New Roman" w:hAnsi="Times New Roman" w:eastAsia="宋体" w:cstheme="minorBidi"/>
                      <w:b w:val="0"/>
                      <w:bCs w:val="0"/>
                      <w:color w:val="000000" w:themeColor="text1"/>
                      <w:kern w:val="2"/>
                      <w:sz w:val="21"/>
                      <w:szCs w:val="20"/>
                      <w:vertAlign w:val="baseline"/>
                      <w:lang w:val="en-US" w:eastAsia="zh-CN" w:bidi="ar-SA"/>
                      <w14:textFill>
                        <w14:solidFill>
                          <w14:schemeClr w14:val="tx1"/>
                        </w14:solidFill>
                      </w14:textFill>
                    </w:rPr>
                  </w:pPr>
                  <w:r>
                    <w:rPr>
                      <w:rFonts w:hint="eastAsia"/>
                      <w:b w:val="0"/>
                      <w:bCs w:val="0"/>
                      <w:color w:val="000000" w:themeColor="text1"/>
                      <w:sz w:val="21"/>
                      <w:szCs w:val="20"/>
                      <w:vertAlign w:val="baseline"/>
                      <w:lang w:val="en-US" w:eastAsia="zh-CN"/>
                      <w14:textFill>
                        <w14:solidFill>
                          <w14:schemeClr w14:val="tx1"/>
                        </w14:solidFill>
                      </w14:textFill>
                    </w:rPr>
                    <w:t>符合</w:t>
                  </w:r>
                </w:p>
              </w:tc>
              <w:tc>
                <w:tcPr>
                  <w:tcW w:w="1122" w:type="dxa"/>
                  <w:vMerge w:val="continue"/>
                  <w:shd w:val="clear" w:color="auto" w:fill="auto"/>
                  <w:vAlign w:val="center"/>
                </w:tcPr>
                <w:p w14:paraId="3B3AEBC1">
                  <w:pPr>
                    <w:keepNext w:val="0"/>
                    <w:keepLines w:val="0"/>
                    <w:pageBreakBefore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eastAsia"/>
                      <w:b w:val="0"/>
                      <w:bCs w:val="0"/>
                      <w:color w:val="000000" w:themeColor="text1"/>
                      <w:sz w:val="21"/>
                      <w:szCs w:val="20"/>
                      <w:vertAlign w:val="baseline"/>
                      <w:lang w:val="en-US" w:eastAsia="zh-CN"/>
                      <w14:textFill>
                        <w14:solidFill>
                          <w14:schemeClr w14:val="tx1"/>
                        </w14:solidFill>
                      </w14:textFill>
                    </w:rPr>
                  </w:pPr>
                </w:p>
              </w:tc>
            </w:tr>
          </w:tbl>
          <w:p w14:paraId="1D2534E7">
            <w:pPr>
              <w:keepNext w:val="0"/>
              <w:keepLines w:val="0"/>
              <w:pageBreakBefore w:val="0"/>
              <w:widowControl/>
              <w:suppressLineNumbers w:val="0"/>
              <w:kinsoku/>
              <w:wordWrap/>
              <w:overflowPunct/>
              <w:topLinePunct w:val="0"/>
              <w:autoSpaceDE/>
              <w:autoSpaceDN/>
              <w:bidi w:val="0"/>
              <w:adjustRightInd/>
              <w:snapToGrid/>
              <w:jc w:val="left"/>
              <w:textAlignment w:val="auto"/>
              <w:rPr>
                <w:rFonts w:hint="eastAsia" w:eastAsia="宋体" w:cs="Times New Roman"/>
                <w:b/>
                <w:bCs/>
                <w:color w:val="000000"/>
                <w:kern w:val="0"/>
                <w:sz w:val="24"/>
                <w:szCs w:val="24"/>
                <w:lang w:val="en-US" w:eastAsia="zh-CN" w:bidi="ar"/>
              </w:rPr>
            </w:pPr>
            <w:r>
              <w:rPr>
                <w:rFonts w:hint="eastAsia"/>
                <w:lang w:val="en-US" w:eastAsia="zh-CN"/>
              </w:rPr>
              <w:t>综上，</w:t>
            </w:r>
            <w:r>
              <w:rPr>
                <w:color w:val="auto"/>
                <w:sz w:val="24"/>
              </w:rPr>
              <w:t>根据检测</w:t>
            </w:r>
            <w:r>
              <w:rPr>
                <w:rFonts w:hint="eastAsia"/>
                <w:color w:val="auto"/>
                <w:sz w:val="24"/>
                <w:lang w:val="en-US" w:eastAsia="zh-CN"/>
              </w:rPr>
              <w:t>报告</w:t>
            </w:r>
            <w:r>
              <w:rPr>
                <w:color w:val="auto"/>
                <w:sz w:val="24"/>
              </w:rPr>
              <w:t>，</w:t>
            </w:r>
            <w:r>
              <w:rPr>
                <w:rFonts w:hint="eastAsia"/>
                <w:color w:val="auto"/>
                <w:sz w:val="24"/>
                <w:lang w:val="en-US" w:eastAsia="zh-CN"/>
              </w:rPr>
              <w:t>热脱附干渣</w:t>
            </w:r>
            <w:r>
              <w:rPr>
                <w:rFonts w:hint="eastAsia"/>
                <w:color w:val="auto"/>
                <w:sz w:val="24"/>
              </w:rPr>
              <w:t>主要成分为</w:t>
            </w:r>
            <w:r>
              <w:rPr>
                <w:rFonts w:hint="eastAsia"/>
                <w:color w:val="auto"/>
                <w:sz w:val="24"/>
                <w:lang w:val="en-US" w:eastAsia="zh-CN"/>
              </w:rPr>
              <w:t>硫酸钡、二氧化硅、氧化钙、三氧化二铝、三氧化二铁、氧化钾、氧化镁</w:t>
            </w:r>
            <w:r>
              <w:rPr>
                <w:rFonts w:hint="eastAsia"/>
                <w:color w:val="auto"/>
                <w:sz w:val="24"/>
              </w:rPr>
              <w:t>等；主要成分和页岩的主要成分</w:t>
            </w:r>
            <w:r>
              <w:rPr>
                <w:rFonts w:hint="eastAsia"/>
                <w:color w:val="auto"/>
                <w:sz w:val="24"/>
                <w:lang w:val="en-US" w:eastAsia="zh-CN"/>
              </w:rPr>
              <w:t>类似</w:t>
            </w:r>
            <w:r>
              <w:rPr>
                <w:rFonts w:hint="eastAsia"/>
                <w:color w:val="auto"/>
                <w:sz w:val="24"/>
              </w:rPr>
              <w:t>，</w:t>
            </w:r>
            <w:r>
              <w:rPr>
                <w:color w:val="auto"/>
                <w:sz w:val="24"/>
              </w:rPr>
              <w:t>可以满足生产</w:t>
            </w:r>
            <w:r>
              <w:rPr>
                <w:rFonts w:hint="eastAsia"/>
                <w:color w:val="auto"/>
                <w:sz w:val="24"/>
                <w:lang w:val="en-US" w:eastAsia="zh-CN"/>
              </w:rPr>
              <w:t>水稳层骨料等人工骨料</w:t>
            </w:r>
            <w:r>
              <w:rPr>
                <w:color w:val="auto"/>
                <w:sz w:val="24"/>
              </w:rPr>
              <w:t>时对原料化学性能的要求，可作为页岩的替代品</w:t>
            </w:r>
            <w:r>
              <w:rPr>
                <w:rFonts w:hint="eastAsia"/>
                <w:color w:val="auto"/>
                <w:sz w:val="24"/>
                <w:lang w:eastAsia="zh-CN"/>
              </w:rPr>
              <w:t>。</w:t>
            </w:r>
          </w:p>
          <w:p w14:paraId="3AE68798">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cs="Times New Roman"/>
                <w:b/>
                <w:bCs/>
                <w:color w:val="000000"/>
                <w:kern w:val="0"/>
                <w:sz w:val="24"/>
                <w:szCs w:val="24"/>
                <w:lang w:val="en-US" w:eastAsia="zh-CN" w:bidi="ar"/>
              </w:rPr>
            </w:pPr>
            <w:r>
              <w:rPr>
                <w:rFonts w:hint="eastAsia" w:cs="Times New Roman"/>
                <w:b/>
                <w:bCs/>
                <w:color w:val="000000"/>
                <w:kern w:val="0"/>
                <w:sz w:val="24"/>
                <w:szCs w:val="24"/>
                <w:lang w:val="en-US" w:eastAsia="zh-CN" w:bidi="ar"/>
              </w:rPr>
              <w:t>②热脱附干渣作为原料可行性分析</w:t>
            </w:r>
          </w:p>
          <w:p w14:paraId="5C3BA6C5">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cs="Times New Roman"/>
                <w:b w:val="0"/>
                <w:bCs w:val="0"/>
                <w:color w:val="000000"/>
                <w:kern w:val="0"/>
                <w:sz w:val="24"/>
                <w:szCs w:val="24"/>
                <w:lang w:val="en-US" w:eastAsia="zh-CN" w:bidi="ar"/>
              </w:rPr>
            </w:pPr>
            <w:r>
              <w:rPr>
                <w:rFonts w:hint="eastAsia" w:cs="Times New Roman"/>
                <w:b w:val="0"/>
                <w:bCs w:val="0"/>
                <w:color w:val="000000"/>
                <w:kern w:val="0"/>
                <w:sz w:val="24"/>
                <w:szCs w:val="24"/>
                <w:lang w:val="en-US" w:eastAsia="zh-CN" w:bidi="ar"/>
              </w:rPr>
              <w:t>a、本项目只接收经鉴定为一般固废的热脱附干渣，可作为原料使用。</w:t>
            </w:r>
          </w:p>
          <w:p w14:paraId="5626037B">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cs="Times New Roman"/>
                <w:b w:val="0"/>
                <w:bCs w:val="0"/>
                <w:color w:val="000000"/>
                <w:kern w:val="0"/>
                <w:sz w:val="24"/>
                <w:szCs w:val="24"/>
                <w:lang w:val="en-US" w:eastAsia="zh-CN" w:bidi="ar"/>
              </w:rPr>
            </w:pPr>
            <w:r>
              <w:rPr>
                <w:rFonts w:hint="eastAsia" w:cs="Times New Roman"/>
                <w:b w:val="0"/>
                <w:bCs w:val="0"/>
                <w:color w:val="000000"/>
                <w:kern w:val="0"/>
                <w:sz w:val="24"/>
                <w:szCs w:val="24"/>
                <w:lang w:val="en-US" w:eastAsia="zh-CN" w:bidi="ar"/>
              </w:rPr>
              <w:t>b、根据热脱附干渣检测报告（详见表2-8），热脱附干渣符合《天然气开采含油污泥综合利用后剩余固相利用处置标准》（DB51/T2850-2021）中的相关控制标准要求，符合行业被替代原料生产的产品质量标准。</w:t>
            </w:r>
          </w:p>
          <w:p w14:paraId="20C910C4">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cs="Times New Roman"/>
                <w:b/>
                <w:bCs/>
                <w:color w:val="000000"/>
                <w:kern w:val="0"/>
                <w:sz w:val="24"/>
                <w:szCs w:val="24"/>
                <w:lang w:val="en-US" w:eastAsia="zh-CN" w:bidi="ar"/>
              </w:rPr>
            </w:pPr>
            <w:r>
              <w:rPr>
                <w:rFonts w:hint="eastAsia" w:cs="Times New Roman"/>
                <w:b/>
                <w:bCs/>
                <w:color w:val="000000"/>
                <w:kern w:val="0"/>
                <w:sz w:val="24"/>
                <w:szCs w:val="24"/>
                <w:lang w:val="en-US" w:eastAsia="zh-CN" w:bidi="ar"/>
              </w:rPr>
              <w:t>③热脱附干渣原料要求</w:t>
            </w:r>
          </w:p>
          <w:p w14:paraId="0ED5649C">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Times New Roman" w:hAnsi="Times New Roman" w:cs="Times New Roman"/>
              </w:rPr>
            </w:pPr>
            <w:r>
              <w:rPr>
                <w:rFonts w:hint="default" w:ascii="Times New Roman" w:hAnsi="Times New Roman" w:eastAsia="宋体" w:cs="Times New Roman"/>
                <w:color w:val="000000"/>
                <w:kern w:val="0"/>
                <w:sz w:val="24"/>
                <w:szCs w:val="24"/>
                <w:lang w:val="en-US" w:eastAsia="zh-CN" w:bidi="ar"/>
              </w:rPr>
              <w:t>本项目不负责</w:t>
            </w:r>
            <w:r>
              <w:rPr>
                <w:rFonts w:hint="eastAsia" w:cs="Times New Roman"/>
                <w:color w:val="000000"/>
                <w:kern w:val="0"/>
                <w:sz w:val="24"/>
                <w:szCs w:val="24"/>
                <w:lang w:val="en-US" w:eastAsia="zh-CN" w:bidi="ar"/>
              </w:rPr>
              <w:t>热脱附干渣</w:t>
            </w:r>
            <w:r>
              <w:rPr>
                <w:rFonts w:hint="default" w:ascii="Times New Roman" w:hAnsi="Times New Roman" w:eastAsia="宋体" w:cs="Times New Roman"/>
                <w:color w:val="000000"/>
                <w:kern w:val="0"/>
                <w:sz w:val="24"/>
                <w:szCs w:val="24"/>
                <w:lang w:val="en-US" w:eastAsia="zh-CN" w:bidi="ar"/>
              </w:rPr>
              <w:t>运输，由</w:t>
            </w:r>
            <w:r>
              <w:rPr>
                <w:rFonts w:hint="eastAsia" w:cs="Times New Roman"/>
                <w:color w:val="000000"/>
                <w:kern w:val="0"/>
                <w:sz w:val="24"/>
                <w:szCs w:val="24"/>
                <w:lang w:val="en-US" w:eastAsia="zh-CN" w:bidi="ar"/>
              </w:rPr>
              <w:t>来料单位</w:t>
            </w:r>
            <w:r>
              <w:rPr>
                <w:rFonts w:hint="default" w:ascii="Times New Roman" w:hAnsi="Times New Roman" w:eastAsia="宋体" w:cs="Times New Roman"/>
                <w:color w:val="000000"/>
                <w:kern w:val="0"/>
                <w:sz w:val="24"/>
                <w:szCs w:val="24"/>
                <w:lang w:val="en-US" w:eastAsia="zh-CN" w:bidi="ar"/>
              </w:rPr>
              <w:t>运输至本项目厂房</w:t>
            </w:r>
            <w:r>
              <w:rPr>
                <w:rFonts w:hint="eastAsia" w:cs="Times New Roman"/>
                <w:color w:val="000000"/>
                <w:kern w:val="0"/>
                <w:sz w:val="24"/>
                <w:szCs w:val="24"/>
                <w:lang w:val="en-US" w:eastAsia="zh-CN" w:bidi="ar"/>
              </w:rPr>
              <w:t>。</w:t>
            </w:r>
            <w:r>
              <w:rPr>
                <w:rFonts w:hint="default" w:ascii="Times New Roman" w:hAnsi="Times New Roman" w:eastAsia="宋体" w:cs="Times New Roman"/>
                <w:color w:val="000000"/>
                <w:kern w:val="0"/>
                <w:sz w:val="24"/>
                <w:szCs w:val="24"/>
                <w:lang w:val="en-US" w:eastAsia="zh-CN" w:bidi="ar"/>
              </w:rPr>
              <w:t>为确保本项目使用的</w:t>
            </w:r>
            <w:r>
              <w:rPr>
                <w:rFonts w:hint="eastAsia" w:cs="Times New Roman"/>
                <w:color w:val="000000"/>
                <w:kern w:val="0"/>
                <w:sz w:val="24"/>
                <w:szCs w:val="24"/>
                <w:lang w:val="en-US" w:eastAsia="zh-CN" w:bidi="ar"/>
              </w:rPr>
              <w:t>热脱附干渣为一般固废，</w:t>
            </w:r>
            <w:r>
              <w:rPr>
                <w:rFonts w:hint="default" w:ascii="Times New Roman" w:hAnsi="Times New Roman" w:eastAsia="宋体" w:cs="Times New Roman"/>
                <w:b/>
                <w:bCs/>
                <w:color w:val="000000"/>
                <w:kern w:val="0"/>
                <w:sz w:val="24"/>
                <w:szCs w:val="24"/>
                <w:lang w:val="en-US" w:eastAsia="zh-CN" w:bidi="ar"/>
              </w:rPr>
              <w:t>本环评提出以下要求：</w:t>
            </w:r>
          </w:p>
          <w:p w14:paraId="1360CA5F">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Times New Roman" w:hAnsi="Times New Roman" w:eastAsia="宋体" w:cs="Times New Roman"/>
                <w:color w:val="000000"/>
                <w:kern w:val="0"/>
                <w:sz w:val="24"/>
                <w:szCs w:val="24"/>
                <w:lang w:val="en-US" w:eastAsia="zh-CN" w:bidi="ar"/>
              </w:rPr>
            </w:pPr>
            <w:r>
              <w:rPr>
                <w:rFonts w:hint="eastAsia" w:cs="Times New Roman"/>
                <w:color w:val="000000"/>
                <w:kern w:val="0"/>
                <w:sz w:val="24"/>
                <w:szCs w:val="24"/>
                <w:lang w:val="en-US" w:eastAsia="zh-CN" w:bidi="ar"/>
              </w:rPr>
              <w:t>a</w:t>
            </w:r>
            <w:r>
              <w:rPr>
                <w:rFonts w:hint="default" w:ascii="Times New Roman" w:hAnsi="Times New Roman" w:eastAsia="宋体" w:cs="Times New Roman"/>
                <w:color w:val="000000"/>
                <w:kern w:val="0"/>
                <w:sz w:val="24"/>
                <w:szCs w:val="24"/>
                <w:lang w:val="en-US" w:eastAsia="zh-CN" w:bidi="ar"/>
              </w:rPr>
              <w:t>、每次</w:t>
            </w:r>
            <w:r>
              <w:rPr>
                <w:rFonts w:hint="eastAsia" w:cs="Times New Roman"/>
                <w:color w:val="000000"/>
                <w:kern w:val="0"/>
                <w:sz w:val="24"/>
                <w:szCs w:val="24"/>
                <w:lang w:val="en-US" w:eastAsia="zh-CN" w:bidi="ar"/>
              </w:rPr>
              <w:t>来料单位需提供热脱附干渣的成分检测报告，确保热脱附干渣属于一般固废。</w:t>
            </w:r>
            <w:r>
              <w:rPr>
                <w:rFonts w:hint="default" w:ascii="Times New Roman" w:hAnsi="Times New Roman" w:eastAsia="宋体" w:cs="Times New Roman"/>
                <w:color w:val="000000"/>
                <w:kern w:val="0"/>
                <w:sz w:val="24"/>
                <w:szCs w:val="24"/>
                <w:lang w:val="en-US" w:eastAsia="zh-CN" w:bidi="ar"/>
              </w:rPr>
              <w:t xml:space="preserve"> </w:t>
            </w:r>
          </w:p>
          <w:p w14:paraId="44AD6761">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Times New Roman" w:hAnsi="Times New Roman" w:eastAsia="宋体" w:cs="Times New Roman"/>
                <w:color w:val="000000"/>
                <w:kern w:val="0"/>
                <w:sz w:val="24"/>
                <w:szCs w:val="24"/>
                <w:lang w:val="en-US" w:eastAsia="zh-CN" w:bidi="ar"/>
              </w:rPr>
            </w:pPr>
            <w:r>
              <w:rPr>
                <w:rFonts w:hint="eastAsia" w:cs="Times New Roman"/>
                <w:color w:val="000000"/>
                <w:kern w:val="0"/>
                <w:sz w:val="24"/>
                <w:szCs w:val="24"/>
                <w:lang w:val="en-US" w:eastAsia="zh-CN" w:bidi="ar"/>
              </w:rPr>
              <w:t>b</w:t>
            </w:r>
            <w:r>
              <w:rPr>
                <w:rFonts w:hint="default" w:ascii="Times New Roman" w:hAnsi="Times New Roman" w:eastAsia="宋体" w:cs="Times New Roman"/>
                <w:color w:val="000000"/>
                <w:kern w:val="0"/>
                <w:sz w:val="24"/>
                <w:szCs w:val="24"/>
                <w:lang w:val="en-US" w:eastAsia="zh-CN" w:bidi="ar"/>
              </w:rPr>
              <w:t>、本项目建设单位需定期对不同来源的</w:t>
            </w:r>
            <w:r>
              <w:rPr>
                <w:rFonts w:hint="eastAsia" w:cs="Times New Roman"/>
                <w:color w:val="000000"/>
                <w:kern w:val="0"/>
                <w:sz w:val="24"/>
                <w:szCs w:val="24"/>
                <w:lang w:val="en-US" w:eastAsia="zh-CN" w:bidi="ar"/>
              </w:rPr>
              <w:t>热脱附干渣</w:t>
            </w:r>
            <w:r>
              <w:rPr>
                <w:rFonts w:hint="default" w:ascii="Times New Roman" w:hAnsi="Times New Roman" w:eastAsia="宋体" w:cs="Times New Roman"/>
                <w:color w:val="000000"/>
                <w:kern w:val="0"/>
                <w:sz w:val="24"/>
                <w:szCs w:val="24"/>
                <w:lang w:val="en-US" w:eastAsia="zh-CN" w:bidi="ar"/>
              </w:rPr>
              <w:t>进行检测</w:t>
            </w:r>
            <w:r>
              <w:rPr>
                <w:rFonts w:hint="default" w:ascii="Times New Roman" w:hAnsi="Times New Roman" w:cs="Times New Roman"/>
                <w:color w:val="000000"/>
                <w:kern w:val="0"/>
                <w:sz w:val="24"/>
                <w:szCs w:val="24"/>
                <w:lang w:val="en-US" w:eastAsia="zh-CN" w:bidi="ar"/>
              </w:rPr>
              <w:t>；</w:t>
            </w:r>
            <w:r>
              <w:rPr>
                <w:rFonts w:hint="default" w:ascii="Times New Roman" w:hAnsi="Times New Roman" w:eastAsia="宋体" w:cs="Times New Roman"/>
                <w:color w:val="000000"/>
                <w:kern w:val="0"/>
                <w:sz w:val="24"/>
                <w:szCs w:val="24"/>
                <w:lang w:val="en-US" w:eastAsia="zh-CN" w:bidi="ar"/>
              </w:rPr>
              <w:t>若经分析，其来料属危险废物或不适宜于本项目处理，应由来料单位回收，不得在本项目内进行处理。</w:t>
            </w:r>
          </w:p>
          <w:p w14:paraId="5F3F8C2B">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Times New Roman" w:hAnsi="Times New Roman" w:eastAsia="宋体" w:cs="Times New Roman"/>
                <w:color w:val="000000"/>
                <w:kern w:val="0"/>
                <w:sz w:val="24"/>
                <w:szCs w:val="24"/>
                <w:lang w:val="en-US" w:eastAsia="zh-CN" w:bidi="ar"/>
              </w:rPr>
            </w:pPr>
            <w:r>
              <w:rPr>
                <w:rFonts w:hint="eastAsia" w:cs="Times New Roman"/>
                <w:color w:val="000000"/>
                <w:kern w:val="0"/>
                <w:sz w:val="24"/>
                <w:szCs w:val="24"/>
                <w:lang w:val="en-US" w:eastAsia="zh-CN" w:bidi="ar"/>
              </w:rPr>
              <w:t>c</w:t>
            </w:r>
            <w:r>
              <w:rPr>
                <w:rFonts w:hint="default" w:ascii="Times New Roman" w:hAnsi="Times New Roman" w:eastAsia="宋体" w:cs="Times New Roman"/>
                <w:color w:val="000000"/>
                <w:kern w:val="0"/>
                <w:sz w:val="24"/>
                <w:szCs w:val="24"/>
                <w:lang w:val="en-US" w:eastAsia="zh-CN" w:bidi="ar"/>
              </w:rPr>
              <w:t>、</w:t>
            </w:r>
            <w:r>
              <w:rPr>
                <w:rFonts w:hint="eastAsia" w:cs="Times New Roman"/>
                <w:color w:val="000000"/>
                <w:kern w:val="0"/>
                <w:sz w:val="24"/>
                <w:szCs w:val="24"/>
                <w:lang w:val="en-US" w:eastAsia="zh-CN" w:bidi="ar"/>
              </w:rPr>
              <w:t>来料</w:t>
            </w:r>
            <w:r>
              <w:rPr>
                <w:rFonts w:hint="default" w:ascii="Times New Roman" w:hAnsi="Times New Roman" w:eastAsia="宋体" w:cs="Times New Roman"/>
                <w:color w:val="000000"/>
                <w:kern w:val="0"/>
                <w:sz w:val="24"/>
                <w:szCs w:val="24"/>
                <w:lang w:val="en-US" w:eastAsia="zh-CN" w:bidi="ar"/>
              </w:rPr>
              <w:t>单位负责运输</w:t>
            </w:r>
            <w:r>
              <w:rPr>
                <w:rFonts w:hint="eastAsia" w:cs="Times New Roman"/>
                <w:color w:val="000000"/>
                <w:kern w:val="0"/>
                <w:sz w:val="24"/>
                <w:szCs w:val="24"/>
                <w:lang w:val="en-US" w:eastAsia="zh-CN" w:bidi="ar"/>
              </w:rPr>
              <w:t>热脱附干渣</w:t>
            </w:r>
            <w:r>
              <w:rPr>
                <w:rFonts w:hint="default" w:ascii="Times New Roman" w:hAnsi="Times New Roman" w:eastAsia="宋体" w:cs="Times New Roman"/>
                <w:color w:val="000000"/>
                <w:kern w:val="0"/>
                <w:sz w:val="24"/>
                <w:szCs w:val="24"/>
                <w:lang w:val="en-US" w:eastAsia="zh-CN" w:bidi="ar"/>
              </w:rPr>
              <w:t>至本项目厂内，采用运输的车辆需为专用厢式全密闭运输车，选择运输路线短、对沿路影响小的路线，避免装卸、运输途中产生二次污染和可能发生的环境风险。</w:t>
            </w:r>
          </w:p>
          <w:p w14:paraId="727D371F">
            <w:pPr>
              <w:keepNext w:val="0"/>
              <w:keepLines w:val="0"/>
              <w:pageBreakBefore w:val="0"/>
              <w:widowControl/>
              <w:suppressLineNumbers w:val="0"/>
              <w:kinsoku/>
              <w:wordWrap/>
              <w:overflowPunct/>
              <w:topLinePunct w:val="0"/>
              <w:autoSpaceDE/>
              <w:autoSpaceDN/>
              <w:bidi w:val="0"/>
              <w:adjustRightInd/>
              <w:snapToGrid/>
              <w:ind w:left="0" w:leftChars="0" w:firstLine="480" w:firstLineChars="200"/>
              <w:jc w:val="left"/>
              <w:textAlignment w:val="auto"/>
              <w:rPr>
                <w:rFonts w:hint="default" w:ascii="Times New Roman" w:hAnsi="Times New Roman" w:eastAsia="宋体" w:cs="Times New Roman"/>
                <w:color w:val="000000"/>
                <w:kern w:val="0"/>
                <w:sz w:val="24"/>
                <w:szCs w:val="24"/>
                <w:lang w:val="en-US" w:eastAsia="zh-CN" w:bidi="ar"/>
              </w:rPr>
            </w:pPr>
            <w:r>
              <w:rPr>
                <w:rFonts w:hint="eastAsia" w:cs="Times New Roman"/>
                <w:color w:val="000000"/>
                <w:kern w:val="0"/>
                <w:sz w:val="24"/>
                <w:szCs w:val="24"/>
                <w:lang w:val="en-US" w:eastAsia="zh-CN" w:bidi="ar"/>
              </w:rPr>
              <w:t>d、</w:t>
            </w:r>
            <w:r>
              <w:rPr>
                <w:rFonts w:hint="default" w:ascii="Times New Roman" w:hAnsi="Times New Roman" w:eastAsia="宋体" w:cs="Times New Roman"/>
                <w:color w:val="000000"/>
                <w:kern w:val="0"/>
                <w:sz w:val="24"/>
                <w:szCs w:val="24"/>
                <w:lang w:val="en-US" w:eastAsia="zh-CN" w:bidi="ar"/>
              </w:rPr>
              <w:t>项目</w:t>
            </w:r>
            <w:r>
              <w:rPr>
                <w:rFonts w:hint="eastAsia" w:cs="Times New Roman"/>
                <w:color w:val="000000"/>
                <w:kern w:val="0"/>
                <w:sz w:val="24"/>
                <w:szCs w:val="24"/>
                <w:lang w:val="en-US" w:eastAsia="zh-CN" w:bidi="ar"/>
              </w:rPr>
              <w:t>热脱附干渣</w:t>
            </w:r>
            <w:r>
              <w:rPr>
                <w:rFonts w:hint="default" w:ascii="Times New Roman" w:hAnsi="Times New Roman" w:eastAsia="宋体" w:cs="Times New Roman"/>
                <w:color w:val="000000"/>
                <w:kern w:val="0"/>
                <w:sz w:val="24"/>
                <w:szCs w:val="24"/>
                <w:lang w:val="en-US" w:eastAsia="zh-CN" w:bidi="ar"/>
              </w:rPr>
              <w:t>来源不得随意变更，若确需变更，应出具新来源单位对</w:t>
            </w:r>
            <w:r>
              <w:rPr>
                <w:rFonts w:hint="eastAsia" w:cs="Times New Roman"/>
                <w:color w:val="000000"/>
                <w:kern w:val="0"/>
                <w:sz w:val="24"/>
                <w:szCs w:val="24"/>
                <w:lang w:val="en-US" w:eastAsia="zh-CN" w:bidi="ar"/>
              </w:rPr>
              <w:t>热脱附干渣</w:t>
            </w:r>
            <w:r>
              <w:rPr>
                <w:rFonts w:hint="default" w:ascii="Times New Roman" w:hAnsi="Times New Roman" w:eastAsia="宋体" w:cs="Times New Roman"/>
                <w:color w:val="000000"/>
                <w:kern w:val="0"/>
                <w:sz w:val="24"/>
                <w:szCs w:val="24"/>
                <w:lang w:val="en-US" w:eastAsia="zh-CN" w:bidi="ar"/>
              </w:rPr>
              <w:t>的检测报告，且项目接收的</w:t>
            </w:r>
            <w:r>
              <w:rPr>
                <w:rFonts w:hint="eastAsia" w:cs="Times New Roman"/>
                <w:color w:val="000000"/>
                <w:kern w:val="0"/>
                <w:sz w:val="24"/>
                <w:szCs w:val="24"/>
                <w:lang w:val="en-US" w:eastAsia="zh-CN" w:bidi="ar"/>
              </w:rPr>
              <w:t>热脱附干渣</w:t>
            </w:r>
            <w:r>
              <w:rPr>
                <w:rFonts w:hint="default" w:ascii="Times New Roman" w:hAnsi="Times New Roman" w:eastAsia="宋体" w:cs="Times New Roman"/>
                <w:color w:val="000000"/>
                <w:kern w:val="0"/>
                <w:sz w:val="24"/>
                <w:szCs w:val="24"/>
                <w:lang w:val="en-US" w:eastAsia="zh-CN" w:bidi="ar"/>
              </w:rPr>
              <w:t>只能用于制备</w:t>
            </w:r>
            <w:r>
              <w:rPr>
                <w:rFonts w:hint="eastAsia" w:cs="Times New Roman"/>
                <w:color w:val="000000"/>
                <w:kern w:val="0"/>
                <w:sz w:val="24"/>
                <w:szCs w:val="24"/>
                <w:lang w:val="en-US" w:eastAsia="zh-CN" w:bidi="ar"/>
              </w:rPr>
              <w:t>水稳层骨料</w:t>
            </w:r>
            <w:r>
              <w:rPr>
                <w:rFonts w:hint="default" w:ascii="Times New Roman" w:hAnsi="Times New Roman" w:eastAsia="宋体" w:cs="Times New Roman"/>
                <w:color w:val="000000"/>
                <w:kern w:val="0"/>
                <w:sz w:val="24"/>
                <w:szCs w:val="24"/>
                <w:lang w:val="en-US" w:eastAsia="zh-CN" w:bidi="ar"/>
              </w:rPr>
              <w:t>，不得另作他用。</w:t>
            </w:r>
          </w:p>
          <w:p w14:paraId="1AF95084">
            <w:pPr>
              <w:pStyle w:val="3"/>
              <w:keepNext w:val="0"/>
              <w:keepLines w:val="0"/>
              <w:pageBreakBefore w:val="0"/>
              <w:kinsoku/>
              <w:wordWrap/>
              <w:overflowPunct/>
              <w:topLinePunct w:val="0"/>
              <w:autoSpaceDE/>
              <w:autoSpaceDN/>
              <w:bidi w:val="0"/>
              <w:adjustRightInd/>
              <w:snapToGrid/>
              <w:spacing w:before="0" w:beforeLines="0"/>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、产品方案</w:t>
            </w:r>
          </w:p>
          <w:p w14:paraId="53FAC0D1">
            <w:pPr>
              <w:keepNext w:val="0"/>
              <w:keepLines w:val="0"/>
              <w:pageBreakBefore w:val="0"/>
              <w:kinsoku/>
              <w:wordWrap/>
              <w:overflowPunct/>
              <w:topLinePunct w:val="0"/>
              <w:autoSpaceDE/>
              <w:autoSpaceDN/>
              <w:bidi w:val="0"/>
              <w:adjustRightInd/>
              <w:snapToGrid/>
              <w:ind w:firstLine="480"/>
              <w:textAlignment w:val="auto"/>
              <w:rPr>
                <w:rFonts w:hint="default" w:ascii="Times New Roman" w:hAnsi="Times New Roman" w:cs="Times New Roman"/>
                <w:b/>
                <w:bCs/>
                <w:lang w:val="en-US" w:eastAsia="zh-CN"/>
              </w:rPr>
            </w:pPr>
            <w:r>
              <w:rPr>
                <w:rFonts w:hint="default" w:ascii="Times New Roman" w:hAnsi="Times New Roman" w:cs="Times New Roman"/>
                <w:b/>
                <w:bCs/>
                <w:lang w:eastAsia="zh-CN"/>
              </w:rPr>
              <w:t>（</w:t>
            </w:r>
            <w:r>
              <w:rPr>
                <w:rFonts w:hint="default" w:ascii="Times New Roman" w:hAnsi="Times New Roman" w:cs="Times New Roman"/>
                <w:b/>
                <w:bCs/>
                <w:lang w:val="en-US" w:eastAsia="zh-CN"/>
              </w:rPr>
              <w:t>1</w:t>
            </w:r>
            <w:r>
              <w:rPr>
                <w:rFonts w:hint="default" w:ascii="Times New Roman" w:hAnsi="Times New Roman" w:cs="Times New Roman"/>
                <w:b/>
                <w:bCs/>
                <w:lang w:eastAsia="zh-CN"/>
              </w:rPr>
              <w:t>）</w:t>
            </w:r>
            <w:r>
              <w:rPr>
                <w:rFonts w:hint="default" w:ascii="Times New Roman" w:hAnsi="Times New Roman" w:cs="Times New Roman"/>
                <w:b/>
                <w:bCs/>
                <w:lang w:val="en-US" w:eastAsia="zh-CN"/>
              </w:rPr>
              <w:t>产品方案</w:t>
            </w:r>
          </w:p>
          <w:p w14:paraId="505B61F2">
            <w:pPr>
              <w:ind w:firstLine="480"/>
              <w:rPr>
                <w:rFonts w:hint="eastAsia" w:ascii="宋体" w:hAnsi="宋体" w:cs="宋体"/>
                <w:color w:val="000000"/>
                <w:kern w:val="0"/>
                <w:sz w:val="24"/>
                <w:szCs w:val="24"/>
                <w:lang w:val="en-US" w:eastAsia="zh-CN" w:bidi="ar"/>
              </w:rPr>
            </w:pPr>
            <w:r>
              <w:rPr>
                <w:rFonts w:cs="Times New Roman"/>
              </w:rPr>
              <w:t>本项目</w:t>
            </w:r>
            <w:r>
              <w:rPr>
                <w:rFonts w:hint="eastAsia" w:cs="Times New Roman"/>
                <w:lang w:val="en-US" w:eastAsia="zh-CN"/>
              </w:rPr>
              <w:t>对天然气、石油钻井开采水基岩屑和热脱附干渣进行综合利用，</w:t>
            </w:r>
            <w:r>
              <w:rPr>
                <w:rFonts w:hint="eastAsia" w:ascii="宋体" w:hAnsi="宋体" w:eastAsia="宋体" w:cs="宋体"/>
                <w:color w:val="000000"/>
                <w:kern w:val="0"/>
                <w:sz w:val="24"/>
                <w:szCs w:val="24"/>
                <w:lang w:val="en-US" w:eastAsia="zh-CN" w:bidi="ar"/>
              </w:rPr>
              <w:t>主要处理合作单位四川省顺祥油气工程有限公司运输过来的四川境内水基岩屑</w:t>
            </w:r>
            <w:r>
              <w:rPr>
                <w:rFonts w:hint="eastAsia" w:ascii="宋体" w:hAnsi="宋体" w:cs="宋体"/>
                <w:color w:val="000000"/>
                <w:kern w:val="0"/>
                <w:sz w:val="24"/>
                <w:szCs w:val="24"/>
                <w:lang w:val="en-US" w:eastAsia="zh-CN" w:bidi="ar"/>
              </w:rPr>
              <w:t>和</w:t>
            </w:r>
            <w:r>
              <w:rPr>
                <w:rFonts w:hint="eastAsia"/>
                <w:color w:val="000000" w:themeColor="text1"/>
                <w14:textFill>
                  <w14:solidFill>
                    <w14:schemeClr w14:val="tx1"/>
                  </w14:solidFill>
                </w14:textFill>
              </w:rPr>
              <w:t>四川安瑞环境治理有限公司</w:t>
            </w:r>
            <w:r>
              <w:rPr>
                <w:rFonts w:hint="eastAsia"/>
                <w:color w:val="000000" w:themeColor="text1"/>
                <w:lang w:val="en-US" w:eastAsia="zh-CN"/>
                <w14:textFill>
                  <w14:solidFill>
                    <w14:schemeClr w14:val="tx1"/>
                  </w14:solidFill>
                </w14:textFill>
              </w:rPr>
              <w:t>运输过来的已经过热脱附后的干渣</w:t>
            </w:r>
            <w:r>
              <w:rPr>
                <w:rFonts w:hint="eastAsia" w:ascii="宋体" w:hAnsi="宋体" w:eastAsia="宋体" w:cs="宋体"/>
                <w:color w:val="000000"/>
                <w:kern w:val="0"/>
                <w:sz w:val="24"/>
                <w:szCs w:val="24"/>
                <w:lang w:val="en-US" w:eastAsia="zh-CN" w:bidi="ar"/>
              </w:rPr>
              <w:t>，满足合作单位供给后，还可接收处理平昌及周边水基岩屑</w:t>
            </w:r>
            <w:r>
              <w:rPr>
                <w:rFonts w:hint="eastAsia" w:ascii="宋体" w:hAnsi="宋体" w:cs="宋体"/>
                <w:color w:val="000000"/>
                <w:kern w:val="0"/>
                <w:sz w:val="24"/>
                <w:szCs w:val="24"/>
                <w:lang w:val="en-US" w:eastAsia="zh-CN" w:bidi="ar"/>
              </w:rPr>
              <w:t>和热脱附干渣。</w:t>
            </w:r>
          </w:p>
          <w:p w14:paraId="5603B961">
            <w:pPr>
              <w:ind w:firstLine="480"/>
              <w:rPr>
                <w:rFonts w:cs="Times New Roman"/>
              </w:rPr>
            </w:pPr>
            <w:r>
              <w:rPr>
                <w:rFonts w:hint="eastAsia" w:ascii="宋体" w:hAnsi="宋体" w:cs="宋体"/>
                <w:color w:val="000000"/>
                <w:kern w:val="0"/>
                <w:sz w:val="24"/>
                <w:szCs w:val="24"/>
                <w:lang w:val="en-US" w:eastAsia="zh-CN" w:bidi="ar"/>
              </w:rPr>
              <w:t>水基岩屑（经预处理）和热脱附干渣经</w:t>
            </w:r>
            <w:r>
              <w:rPr>
                <w:rFonts w:hint="eastAsia" w:cs="Times New Roman"/>
                <w:lang w:val="en-US" w:eastAsia="zh-CN"/>
              </w:rPr>
              <w:t>煅烧得到中间产物水稳层骨料，以中间产物（水稳层骨料）生产免烧砌块作为最终产品。因产品产量随市场需求确定，在缺乏市场订单，建设单位不进行免烧砌块生产或较少进行免烧砌块生产时，中间产物水稳层骨料可直接作为产品外售。具体</w:t>
            </w:r>
            <w:r>
              <w:rPr>
                <w:rFonts w:cs="Times New Roman"/>
              </w:rPr>
              <w:t>产品方案如下：</w:t>
            </w:r>
          </w:p>
          <w:p w14:paraId="48F3AA5D">
            <w:pPr>
              <w:pStyle w:val="11"/>
              <w:keepNext/>
              <w:rPr>
                <w:rFonts w:cs="Times New Roman"/>
              </w:rPr>
            </w:pPr>
            <w:r>
              <w:rPr>
                <w:rFonts w:cs="Times New Roman"/>
              </w:rPr>
              <w:t>表</w:t>
            </w:r>
            <w:r>
              <w:rPr>
                <w:rFonts w:hint="eastAsia" w:cs="Times New Roman"/>
                <w:lang w:val="en-US" w:eastAsia="zh-CN"/>
              </w:rPr>
              <w:t xml:space="preserve">2-8 </w:t>
            </w:r>
            <w:r>
              <w:rPr>
                <w:rFonts w:cs="Times New Roman"/>
              </w:rPr>
              <w:t>产品方案表</w:t>
            </w:r>
          </w:p>
          <w:tbl>
            <w:tblPr>
              <w:tblStyle w:val="2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75"/>
              <w:gridCol w:w="1957"/>
              <w:gridCol w:w="1335"/>
              <w:gridCol w:w="2727"/>
              <w:gridCol w:w="1506"/>
              <w:gridCol w:w="689"/>
            </w:tblGrid>
            <w:tr w14:paraId="082FC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09" w:type="dxa"/>
                  <w:vAlign w:val="center"/>
                </w:tcPr>
                <w:p w14:paraId="797EA06B">
                  <w:pPr>
                    <w:pStyle w:val="45"/>
                    <w:rPr>
                      <w:rFonts w:cs="Times New Roman"/>
                    </w:rPr>
                  </w:pPr>
                  <w:r>
                    <w:rPr>
                      <w:rFonts w:cs="Times New Roman"/>
                    </w:rPr>
                    <w:t>产品名称</w:t>
                  </w:r>
                </w:p>
              </w:tc>
              <w:tc>
                <w:tcPr>
                  <w:tcW w:w="1964" w:type="dxa"/>
                  <w:vAlign w:val="center"/>
                </w:tcPr>
                <w:p w14:paraId="1C083C7F">
                  <w:pPr>
                    <w:pStyle w:val="45"/>
                    <w:rPr>
                      <w:rFonts w:cs="Times New Roman"/>
                    </w:rPr>
                  </w:pPr>
                  <w:r>
                    <w:rPr>
                      <w:rFonts w:cs="Times New Roman"/>
                    </w:rPr>
                    <w:t>规格</w:t>
                  </w:r>
                </w:p>
              </w:tc>
              <w:tc>
                <w:tcPr>
                  <w:tcW w:w="1336" w:type="dxa"/>
                  <w:vAlign w:val="center"/>
                </w:tcPr>
                <w:p w14:paraId="7F464692">
                  <w:pPr>
                    <w:pStyle w:val="45"/>
                    <w:rPr>
                      <w:rFonts w:cs="Times New Roman"/>
                    </w:rPr>
                  </w:pPr>
                  <w:r>
                    <w:rPr>
                      <w:rFonts w:cs="Times New Roman"/>
                    </w:rPr>
                    <w:t>年产量(</w:t>
                  </w:r>
                  <w:r>
                    <w:rPr>
                      <w:rFonts w:hint="eastAsia" w:cs="Times New Roman"/>
                      <w:lang w:val="en-US" w:eastAsia="zh-CN"/>
                    </w:rPr>
                    <w:t>t</w:t>
                  </w:r>
                  <w:r>
                    <w:rPr>
                      <w:rFonts w:cs="Times New Roman"/>
                    </w:rPr>
                    <w:t>/</w:t>
                  </w:r>
                  <w:r>
                    <w:rPr>
                      <w:rFonts w:hint="eastAsia" w:cs="Times New Roman"/>
                      <w:lang w:val="en-US" w:eastAsia="zh-CN"/>
                    </w:rPr>
                    <w:t>a</w:t>
                  </w:r>
                  <w:r>
                    <w:rPr>
                      <w:rFonts w:cs="Times New Roman"/>
                    </w:rPr>
                    <w:t>)</w:t>
                  </w:r>
                </w:p>
              </w:tc>
              <w:tc>
                <w:tcPr>
                  <w:tcW w:w="2752" w:type="dxa"/>
                  <w:vAlign w:val="center"/>
                </w:tcPr>
                <w:p w14:paraId="34A71510">
                  <w:pPr>
                    <w:pStyle w:val="45"/>
                    <w:rPr>
                      <w:rFonts w:hint="eastAsia" w:eastAsia="宋体" w:cs="Times New Roman"/>
                      <w:lang w:eastAsia="zh-CN"/>
                    </w:rPr>
                  </w:pPr>
                  <w:r>
                    <w:rPr>
                      <w:rFonts w:hint="eastAsia" w:cs="Times New Roman"/>
                      <w:lang w:val="en-US" w:eastAsia="zh-CN"/>
                    </w:rPr>
                    <w:t>产品质量标准</w:t>
                  </w:r>
                </w:p>
              </w:tc>
              <w:tc>
                <w:tcPr>
                  <w:tcW w:w="1562" w:type="dxa"/>
                  <w:shd w:val="clear" w:color="auto" w:fill="auto"/>
                  <w:vAlign w:val="center"/>
                </w:tcPr>
                <w:p w14:paraId="14F41DC2">
                  <w:pPr>
                    <w:pStyle w:val="45"/>
                    <w:ind w:firstLine="0" w:firstLineChars="0"/>
                    <w:rPr>
                      <w:rFonts w:hint="eastAsia" w:ascii="Times New Roman" w:hAnsi="Times New Roman" w:eastAsia="宋体" w:cs="Times New Roman"/>
                      <w:b/>
                      <w:bCs/>
                      <w:kern w:val="0"/>
                      <w:sz w:val="21"/>
                      <w:szCs w:val="24"/>
                      <w:lang w:val="en-US" w:eastAsia="zh-CN" w:bidi="ar-SA"/>
                    </w:rPr>
                  </w:pPr>
                  <w:r>
                    <w:rPr>
                      <w:rFonts w:hint="eastAsia" w:cs="Times New Roman"/>
                      <w:lang w:val="en-US" w:eastAsia="zh-CN"/>
                    </w:rPr>
                    <w:t>去向</w:t>
                  </w:r>
                </w:p>
              </w:tc>
              <w:tc>
                <w:tcPr>
                  <w:tcW w:w="702" w:type="dxa"/>
                  <w:vAlign w:val="center"/>
                </w:tcPr>
                <w:p w14:paraId="604865FE">
                  <w:pPr>
                    <w:pStyle w:val="45"/>
                    <w:rPr>
                      <w:rFonts w:hint="default" w:cs="Times New Roman"/>
                      <w:lang w:val="en-US" w:eastAsia="zh-CN"/>
                    </w:rPr>
                  </w:pPr>
                  <w:r>
                    <w:rPr>
                      <w:rFonts w:hint="eastAsia" w:cs="Times New Roman"/>
                      <w:lang w:val="en-US" w:eastAsia="zh-CN"/>
                    </w:rPr>
                    <w:t>备注</w:t>
                  </w:r>
                </w:p>
              </w:tc>
            </w:tr>
            <w:tr w14:paraId="538E1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09" w:type="dxa"/>
                  <w:vMerge w:val="restart"/>
                  <w:vAlign w:val="center"/>
                </w:tcPr>
                <w:p w14:paraId="0F55D680">
                  <w:pPr>
                    <w:pStyle w:val="12"/>
                    <w:rPr>
                      <w:rFonts w:hint="default" w:ascii="Times New Roman" w:hAnsi="Times New Roman" w:cs="Times New Roman"/>
                      <w:lang w:val="en-US" w:eastAsia="zh-CN"/>
                    </w:rPr>
                  </w:pPr>
                  <w:r>
                    <w:rPr>
                      <w:rFonts w:hint="default" w:ascii="Times New Roman" w:hAnsi="Times New Roman" w:cs="Times New Roman"/>
                      <w:lang w:val="en-US" w:eastAsia="zh-CN"/>
                    </w:rPr>
                    <w:t>水稳层</w:t>
                  </w:r>
                </w:p>
                <w:p w14:paraId="70A47D09">
                  <w:pPr>
                    <w:pStyle w:val="12"/>
                    <w:rPr>
                      <w:rFonts w:hint="default" w:ascii="Times New Roman" w:hAnsi="Times New Roman" w:eastAsia="宋体" w:cs="Times New Roman"/>
                      <w:lang w:val="en-US" w:eastAsia="zh-CN"/>
                    </w:rPr>
                  </w:pPr>
                  <w:r>
                    <w:rPr>
                      <w:rFonts w:hint="eastAsia" w:cs="Times New Roman"/>
                      <w:lang w:val="en-US" w:eastAsia="zh-CN"/>
                    </w:rPr>
                    <w:t>骨料</w:t>
                  </w:r>
                </w:p>
              </w:tc>
              <w:tc>
                <w:tcPr>
                  <w:tcW w:w="1964" w:type="dxa"/>
                  <w:vMerge w:val="restart"/>
                  <w:vAlign w:val="center"/>
                </w:tcPr>
                <w:p w14:paraId="6999E4ED">
                  <w:pPr>
                    <w:pStyle w:val="12"/>
                    <w:rPr>
                      <w:rFonts w:hint="default" w:ascii="Times New Roman" w:hAnsi="Times New Roman" w:eastAsia="宋体" w:cs="Times New Roman"/>
                      <w:lang w:val="en-US" w:eastAsia="zh-CN"/>
                    </w:rPr>
                  </w:pPr>
                  <w:r>
                    <w:rPr>
                      <w:rFonts w:hint="default" w:ascii="Times New Roman" w:hAnsi="Times New Roman" w:cs="Times New Roman"/>
                      <w:lang w:val="en-US" w:eastAsia="zh-CN"/>
                    </w:rPr>
                    <w:t>粒径≤20mm，含水率0.5%</w:t>
                  </w:r>
                </w:p>
              </w:tc>
              <w:tc>
                <w:tcPr>
                  <w:tcW w:w="1336" w:type="dxa"/>
                  <w:vAlign w:val="center"/>
                </w:tcPr>
                <w:p w14:paraId="714E14C8">
                  <w:pPr>
                    <w:pStyle w:val="12"/>
                    <w:rPr>
                      <w:rFonts w:hint="default" w:ascii="Times New Roman" w:hAnsi="Times New Roman" w:eastAsia="宋体" w:cs="Times New Roman"/>
                      <w:lang w:val="en-US" w:eastAsia="zh-CN"/>
                    </w:rPr>
                  </w:pPr>
                  <w:r>
                    <w:rPr>
                      <w:rFonts w:hint="eastAsia" w:cs="Times New Roman"/>
                      <w:lang w:val="en-US" w:eastAsia="zh-CN"/>
                    </w:rPr>
                    <w:t>95999.9287</w:t>
                  </w:r>
                </w:p>
              </w:tc>
              <w:tc>
                <w:tcPr>
                  <w:tcW w:w="2752" w:type="dxa"/>
                  <w:vAlign w:val="center"/>
                </w:tcPr>
                <w:p w14:paraId="11D888CD">
                  <w:pPr>
                    <w:pStyle w:val="12"/>
                    <w:rPr>
                      <w:rFonts w:hint="default" w:eastAsia="宋体" w:cs="Times New Roman"/>
                      <w:lang w:val="en-US" w:eastAsia="zh-CN"/>
                    </w:rPr>
                  </w:pPr>
                  <w:r>
                    <w:rPr>
                      <w:rFonts w:hint="eastAsia" w:cs="Times New Roman"/>
                      <w:lang w:val="en-US" w:eastAsia="zh-CN"/>
                    </w:rPr>
                    <w:t>/</w:t>
                  </w:r>
                </w:p>
              </w:tc>
              <w:tc>
                <w:tcPr>
                  <w:tcW w:w="1562" w:type="dxa"/>
                  <w:shd w:val="clear" w:color="auto" w:fill="auto"/>
                  <w:vAlign w:val="center"/>
                </w:tcPr>
                <w:p w14:paraId="356B4D1B">
                  <w:pPr>
                    <w:pStyle w:val="12"/>
                    <w:ind w:firstLine="0" w:firstLineChars="0"/>
                    <w:rPr>
                      <w:rFonts w:hint="eastAsia" w:ascii="Times New Roman" w:hAnsi="Times New Roman" w:eastAsia="宋体" w:cs="Times New Roman"/>
                      <w:b w:val="0"/>
                      <w:bCs/>
                      <w:kern w:val="0"/>
                      <w:sz w:val="21"/>
                      <w:szCs w:val="24"/>
                      <w:lang w:val="en-US" w:eastAsia="zh-CN" w:bidi="ar-SA"/>
                    </w:rPr>
                  </w:pPr>
                  <w:r>
                    <w:rPr>
                      <w:rFonts w:hint="eastAsia" w:cs="Times New Roman"/>
                      <w:lang w:val="en-US" w:eastAsia="zh-CN"/>
                    </w:rPr>
                    <w:t>作为免烧砌块生产原料</w:t>
                  </w:r>
                </w:p>
              </w:tc>
              <w:tc>
                <w:tcPr>
                  <w:tcW w:w="702" w:type="dxa"/>
                  <w:vAlign w:val="center"/>
                </w:tcPr>
                <w:p w14:paraId="1E5C1BB9">
                  <w:pPr>
                    <w:pStyle w:val="12"/>
                    <w:rPr>
                      <w:rFonts w:hint="default" w:eastAsia="宋体" w:cs="Times New Roman"/>
                      <w:lang w:val="en-US" w:eastAsia="zh-CN"/>
                    </w:rPr>
                  </w:pPr>
                  <w:r>
                    <w:rPr>
                      <w:rFonts w:hint="eastAsia" w:cs="Times New Roman"/>
                      <w:lang w:val="en-US" w:eastAsia="zh-CN"/>
                    </w:rPr>
                    <w:t>中间产物</w:t>
                  </w:r>
                </w:p>
              </w:tc>
            </w:tr>
            <w:tr w14:paraId="45751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09" w:type="dxa"/>
                  <w:vMerge w:val="continue"/>
                  <w:vAlign w:val="center"/>
                </w:tcPr>
                <w:p w14:paraId="72AFCAD0">
                  <w:pPr>
                    <w:pStyle w:val="12"/>
                  </w:pPr>
                </w:p>
              </w:tc>
              <w:tc>
                <w:tcPr>
                  <w:tcW w:w="1964" w:type="dxa"/>
                  <w:vMerge w:val="continue"/>
                  <w:vAlign w:val="center"/>
                </w:tcPr>
                <w:p w14:paraId="26F52952">
                  <w:pPr>
                    <w:pStyle w:val="12"/>
                    <w:rPr>
                      <w:rFonts w:hint="default" w:ascii="Times New Roman" w:hAnsi="Times New Roman" w:cs="Times New Roman"/>
                      <w:lang w:val="en-US" w:eastAsia="zh-CN"/>
                    </w:rPr>
                  </w:pPr>
                </w:p>
              </w:tc>
              <w:tc>
                <w:tcPr>
                  <w:tcW w:w="1336" w:type="dxa"/>
                  <w:vAlign w:val="center"/>
                </w:tcPr>
                <w:p w14:paraId="28B9B40C">
                  <w:pPr>
                    <w:pStyle w:val="12"/>
                    <w:rPr>
                      <w:rFonts w:hint="default" w:ascii="Times New Roman" w:hAnsi="Times New Roman" w:cs="Times New Roman"/>
                      <w:lang w:val="en-US" w:eastAsia="zh-CN"/>
                    </w:rPr>
                  </w:pPr>
                  <w:r>
                    <w:rPr>
                      <w:rFonts w:hint="eastAsia" w:cs="Times New Roman"/>
                      <w:lang w:val="en-US" w:eastAsia="zh-CN"/>
                    </w:rPr>
                    <w:t>120170</w:t>
                  </w:r>
                </w:p>
              </w:tc>
              <w:tc>
                <w:tcPr>
                  <w:tcW w:w="2752" w:type="dxa"/>
                  <w:vAlign w:val="center"/>
                </w:tcPr>
                <w:p w14:paraId="3B7FC4CF">
                  <w:pPr>
                    <w:pStyle w:val="12"/>
                    <w:rPr>
                      <w:rFonts w:hint="default" w:ascii="Times New Roman" w:hAnsi="Times New Roman" w:cs="Times New Roman"/>
                      <w:lang w:val="en-US" w:eastAsia="zh-CN"/>
                    </w:rPr>
                  </w:pPr>
                  <w:r>
                    <w:rPr>
                      <w:rFonts w:hint="default" w:cs="Times New Roman"/>
                    </w:rPr>
                    <w:t>《城镇道路工程施工与质量验收规范》(CJJ1-2008)</w:t>
                  </w:r>
                  <w:r>
                    <w:rPr>
                      <w:rFonts w:hint="eastAsia" w:cs="Times New Roman"/>
                      <w:lang w:eastAsia="zh-CN"/>
                    </w:rPr>
                    <w:t>、</w:t>
                  </w:r>
                  <w:r>
                    <w:rPr>
                      <w:rFonts w:hint="default" w:cs="Times New Roman"/>
                    </w:rPr>
                    <w:t>《城市道路路基设计规范》（CJJ194-2013）</w:t>
                  </w:r>
                </w:p>
              </w:tc>
              <w:tc>
                <w:tcPr>
                  <w:tcW w:w="1562" w:type="dxa"/>
                  <w:shd w:val="clear" w:color="auto" w:fill="auto"/>
                  <w:vAlign w:val="center"/>
                </w:tcPr>
                <w:p w14:paraId="7D1007F3">
                  <w:pPr>
                    <w:pStyle w:val="12"/>
                    <w:ind w:firstLine="0" w:firstLineChars="0"/>
                    <w:rPr>
                      <w:rFonts w:hint="eastAsia" w:ascii="Times New Roman" w:hAnsi="Times New Roman" w:eastAsia="宋体" w:cs="Times New Roman"/>
                      <w:b w:val="0"/>
                      <w:bCs/>
                      <w:kern w:val="0"/>
                      <w:sz w:val="21"/>
                      <w:szCs w:val="24"/>
                      <w:lang w:val="en-US" w:eastAsia="zh-CN" w:bidi="ar-SA"/>
                    </w:rPr>
                  </w:pPr>
                  <w:r>
                    <w:rPr>
                      <w:rFonts w:hint="eastAsia" w:cs="Times New Roman"/>
                      <w:lang w:val="en-US" w:eastAsia="zh-CN"/>
                    </w:rPr>
                    <w:t>作为水稳层骨料产品外售</w:t>
                  </w:r>
                </w:p>
              </w:tc>
              <w:tc>
                <w:tcPr>
                  <w:tcW w:w="702" w:type="dxa"/>
                  <w:vAlign w:val="center"/>
                </w:tcPr>
                <w:p w14:paraId="5188EAC8">
                  <w:pPr>
                    <w:pStyle w:val="12"/>
                    <w:rPr>
                      <w:rFonts w:hint="default" w:ascii="Times New Roman" w:hAnsi="Times New Roman" w:cs="Times New Roman"/>
                      <w:lang w:val="en-US" w:eastAsia="zh-CN"/>
                    </w:rPr>
                  </w:pPr>
                  <w:r>
                    <w:rPr>
                      <w:rFonts w:hint="eastAsia" w:cs="Times New Roman"/>
                      <w:lang w:val="en-US" w:eastAsia="zh-CN"/>
                    </w:rPr>
                    <w:t>产品</w:t>
                  </w:r>
                </w:p>
              </w:tc>
            </w:tr>
            <w:tr w14:paraId="1CC4A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09" w:type="dxa"/>
                  <w:vAlign w:val="center"/>
                </w:tcPr>
                <w:p w14:paraId="68D7FED3">
                  <w:pPr>
                    <w:pStyle w:val="12"/>
                    <w:rPr>
                      <w:rFonts w:hint="default" w:eastAsia="宋体" w:cs="Times New Roman"/>
                      <w:lang w:val="en-US" w:eastAsia="zh-CN"/>
                    </w:rPr>
                  </w:pPr>
                  <w:r>
                    <w:rPr>
                      <w:rFonts w:hint="eastAsia" w:cs="Times New Roman"/>
                      <w:lang w:val="en-US" w:eastAsia="zh-CN"/>
                    </w:rPr>
                    <w:t>免烧砌块</w:t>
                  </w:r>
                </w:p>
              </w:tc>
              <w:tc>
                <w:tcPr>
                  <w:tcW w:w="1964" w:type="dxa"/>
                  <w:vAlign w:val="center"/>
                </w:tcPr>
                <w:p w14:paraId="38333265">
                  <w:pPr>
                    <w:pStyle w:val="12"/>
                    <w:rPr>
                      <w:rFonts w:hint="default" w:eastAsia="宋体" w:cs="Times New Roman"/>
                      <w:vertAlign w:val="baseline"/>
                      <w:lang w:val="en-US" w:eastAsia="zh-CN"/>
                    </w:rPr>
                  </w:pPr>
                  <w:r>
                    <w:rPr>
                      <w:rFonts w:hint="eastAsia" w:cs="Times New Roman"/>
                      <w:lang w:val="en-US" w:eastAsia="zh-CN"/>
                    </w:rPr>
                    <w:t>单块重量1~2.5kg，密度约1.8t/m</w:t>
                  </w:r>
                  <w:r>
                    <w:rPr>
                      <w:rFonts w:hint="eastAsia" w:cs="Times New Roman"/>
                      <w:vertAlign w:val="superscript"/>
                      <w:lang w:val="en-US" w:eastAsia="zh-CN"/>
                    </w:rPr>
                    <w:t>3</w:t>
                  </w:r>
                  <w:r>
                    <w:rPr>
                      <w:rFonts w:hint="eastAsia" w:cs="Times New Roman"/>
                      <w:lang w:val="en-US" w:eastAsia="zh-CN"/>
                    </w:rPr>
                    <w:t>，含水率2%，尺寸25cm*25cm*25cm</w:t>
                  </w:r>
                </w:p>
              </w:tc>
              <w:tc>
                <w:tcPr>
                  <w:tcW w:w="1336" w:type="dxa"/>
                  <w:vAlign w:val="center"/>
                </w:tcPr>
                <w:p w14:paraId="178C7E5F">
                  <w:pPr>
                    <w:pStyle w:val="12"/>
                    <w:rPr>
                      <w:rFonts w:hint="default" w:eastAsia="宋体" w:cs="Times New Roman"/>
                      <w:lang w:val="en-US" w:eastAsia="zh-CN"/>
                    </w:rPr>
                  </w:pPr>
                  <w:r>
                    <w:rPr>
                      <w:rFonts w:hint="eastAsia" w:cs="Times New Roman"/>
                      <w:lang w:val="en-US" w:eastAsia="zh-CN"/>
                    </w:rPr>
                    <w:t>223545.4572</w:t>
                  </w:r>
                </w:p>
              </w:tc>
              <w:tc>
                <w:tcPr>
                  <w:tcW w:w="2752" w:type="dxa"/>
                  <w:vAlign w:val="center"/>
                </w:tcPr>
                <w:p w14:paraId="1C4B7125">
                  <w:pPr>
                    <w:pStyle w:val="12"/>
                    <w:rPr>
                      <w:rFonts w:hint="default" w:eastAsia="宋体" w:cs="Times New Roman"/>
                      <w:lang w:val="en-US" w:eastAsia="zh-CN"/>
                    </w:rPr>
                  </w:pPr>
                  <w:r>
                    <w:rPr>
                      <w:rFonts w:hint="default" w:ascii="Times New Roman" w:hAnsi="Times New Roman" w:eastAsia="宋体" w:cs="Times New Roman"/>
                      <w:color w:val="000000"/>
                      <w:kern w:val="0"/>
                      <w:sz w:val="21"/>
                      <w:szCs w:val="21"/>
                      <w:lang w:val="en-US" w:eastAsia="zh-CN" w:bidi="ar"/>
                    </w:rPr>
                    <w:t>《砌墙砖实验方法》（GB/T2542-2012）</w:t>
                  </w:r>
                  <w:r>
                    <w:rPr>
                      <w:rFonts w:hint="eastAsia" w:cs="Times New Roman"/>
                      <w:color w:val="000000"/>
                      <w:kern w:val="0"/>
                      <w:sz w:val="21"/>
                      <w:szCs w:val="21"/>
                      <w:lang w:val="en-US" w:eastAsia="zh-CN" w:bidi="ar"/>
                    </w:rPr>
                    <w:t>、</w:t>
                  </w:r>
                  <w:r>
                    <w:rPr>
                      <w:rFonts w:hint="default" w:ascii="Times New Roman" w:hAnsi="Times New Roman" w:eastAsia="宋体" w:cs="Times New Roman"/>
                      <w:color w:val="000000"/>
                      <w:kern w:val="0"/>
                      <w:sz w:val="21"/>
                      <w:szCs w:val="21"/>
                      <w:lang w:val="en-US" w:eastAsia="zh-CN" w:bidi="ar"/>
                    </w:rPr>
                    <w:t>《</w:t>
                  </w:r>
                  <w:r>
                    <w:rPr>
                      <w:rFonts w:hint="eastAsia" w:cs="Times New Roman"/>
                      <w:color w:val="000000"/>
                      <w:kern w:val="0"/>
                      <w:sz w:val="21"/>
                      <w:szCs w:val="21"/>
                      <w:lang w:val="en-US" w:eastAsia="zh-CN" w:bidi="ar"/>
                    </w:rPr>
                    <w:t>非烧结普通砖</w:t>
                  </w:r>
                  <w:r>
                    <w:rPr>
                      <w:rFonts w:hint="default" w:ascii="Times New Roman" w:hAnsi="Times New Roman" w:eastAsia="宋体" w:cs="Times New Roman"/>
                      <w:color w:val="000000"/>
                      <w:kern w:val="0"/>
                      <w:sz w:val="21"/>
                      <w:szCs w:val="21"/>
                      <w:lang w:val="en-US" w:eastAsia="zh-CN" w:bidi="ar"/>
                    </w:rPr>
                    <w:t>》</w:t>
                  </w:r>
                  <w:r>
                    <w:rPr>
                      <w:rFonts w:hint="eastAsia" w:cs="Times New Roman"/>
                      <w:color w:val="000000"/>
                      <w:kern w:val="0"/>
                      <w:sz w:val="21"/>
                      <w:szCs w:val="21"/>
                      <w:lang w:val="en-US" w:eastAsia="zh-CN" w:bidi="ar"/>
                    </w:rPr>
                    <w:t>（GB/T21144-2023）和《建筑材料放射性核素限量》（GB6566-2010）</w:t>
                  </w:r>
                </w:p>
              </w:tc>
              <w:tc>
                <w:tcPr>
                  <w:tcW w:w="1562" w:type="dxa"/>
                  <w:shd w:val="clear" w:color="auto" w:fill="auto"/>
                  <w:vAlign w:val="center"/>
                </w:tcPr>
                <w:p w14:paraId="1C4500D7">
                  <w:pPr>
                    <w:pStyle w:val="12"/>
                    <w:ind w:firstLine="0" w:firstLineChars="0"/>
                    <w:rPr>
                      <w:rFonts w:hint="eastAsia" w:ascii="Times New Roman" w:hAnsi="Times New Roman" w:eastAsia="宋体" w:cs="Times New Roman"/>
                      <w:b w:val="0"/>
                      <w:bCs/>
                      <w:kern w:val="0"/>
                      <w:sz w:val="21"/>
                      <w:szCs w:val="24"/>
                      <w:lang w:val="en-US" w:eastAsia="zh-CN" w:bidi="ar-SA"/>
                    </w:rPr>
                  </w:pPr>
                  <w:r>
                    <w:rPr>
                      <w:rFonts w:hint="eastAsia" w:cs="Times New Roman"/>
                      <w:lang w:val="en-US" w:eastAsia="zh-CN"/>
                    </w:rPr>
                    <w:t>作为产品外售</w:t>
                  </w:r>
                </w:p>
              </w:tc>
              <w:tc>
                <w:tcPr>
                  <w:tcW w:w="702" w:type="dxa"/>
                  <w:vAlign w:val="center"/>
                </w:tcPr>
                <w:p w14:paraId="4D47CC42">
                  <w:pPr>
                    <w:pStyle w:val="12"/>
                    <w:rPr>
                      <w:rFonts w:hint="eastAsia" w:eastAsia="宋体" w:cs="Times New Roman"/>
                      <w:lang w:val="en-US" w:eastAsia="zh-CN"/>
                    </w:rPr>
                  </w:pPr>
                  <w:r>
                    <w:rPr>
                      <w:rFonts w:hint="eastAsia" w:cs="Times New Roman"/>
                      <w:lang w:val="en-US" w:eastAsia="zh-CN"/>
                    </w:rPr>
                    <w:t>产品</w:t>
                  </w:r>
                </w:p>
              </w:tc>
            </w:tr>
            <w:tr w14:paraId="4C9FF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425" w:type="dxa"/>
                  <w:gridSpan w:val="6"/>
                  <w:vAlign w:val="center"/>
                </w:tcPr>
                <w:p w14:paraId="299B3BA9">
                  <w:pPr>
                    <w:ind w:left="0" w:leftChars="0" w:firstLine="400" w:firstLineChars="200"/>
                    <w:jc w:val="both"/>
                    <w:rPr>
                      <w:rFonts w:hint="default" w:cs="Times New Roman"/>
                      <w:sz w:val="20"/>
                      <w:szCs w:val="22"/>
                      <w:lang w:val="en-US" w:eastAsia="zh-CN"/>
                    </w:rPr>
                  </w:pPr>
                  <w:r>
                    <w:rPr>
                      <w:rFonts w:hint="eastAsia" w:cs="Times New Roman"/>
                      <w:sz w:val="20"/>
                      <w:szCs w:val="22"/>
                      <w:lang w:val="en-US" w:eastAsia="zh-CN"/>
                    </w:rPr>
                    <w:t>注：</w:t>
                  </w:r>
                  <w:r>
                    <w:rPr>
                      <w:rFonts w:hint="eastAsia" w:cs="Times New Roman"/>
                      <w:b/>
                      <w:bCs/>
                      <w:i/>
                      <w:iCs/>
                      <w:u w:val="single"/>
                      <w:lang w:val="en-US" w:eastAsia="zh-CN"/>
                    </w:rPr>
                    <w:t>该部分内容涉密，不予公开。</w:t>
                  </w:r>
                </w:p>
              </w:tc>
            </w:tr>
          </w:tbl>
          <w:p w14:paraId="3A656AC2">
            <w:pPr>
              <w:spacing w:line="240" w:lineRule="auto"/>
              <w:ind w:firstLine="480"/>
              <w:rPr>
                <w:rFonts w:hint="eastAsia" w:cs="Times New Roman"/>
                <w:lang w:val="en-US" w:eastAsia="zh-CN"/>
              </w:rPr>
            </w:pPr>
            <w:r>
              <w:rPr>
                <w:rFonts w:hint="eastAsia" w:cs="Times New Roman"/>
                <w:lang w:val="en-US" w:eastAsia="zh-CN"/>
              </w:rPr>
              <w:t>本项目产品关联情况如下：</w:t>
            </w:r>
          </w:p>
          <w:p w14:paraId="0E855E23">
            <w:pPr>
              <w:ind w:left="0" w:leftChars="0" w:firstLine="482" w:firstLineChars="200"/>
              <w:jc w:val="both"/>
              <w:rPr>
                <w:rFonts w:hint="default" w:cs="Times New Roman"/>
                <w:b/>
                <w:bCs/>
                <w:i/>
                <w:iCs/>
                <w:u w:val="single"/>
                <w:lang w:val="en-US" w:eastAsia="zh-CN"/>
              </w:rPr>
            </w:pPr>
            <w:r>
              <w:rPr>
                <w:rFonts w:hint="eastAsia" w:cs="Times New Roman"/>
                <w:b/>
                <w:bCs/>
                <w:i/>
                <w:iCs/>
                <w:u w:val="single"/>
                <w:lang w:val="en-US" w:eastAsia="zh-CN"/>
              </w:rPr>
              <w:t>该部分内容涉密，不予公开。</w:t>
            </w:r>
          </w:p>
          <w:p w14:paraId="232A1D13">
            <w:pPr>
              <w:pStyle w:val="3"/>
              <w:keepNext w:val="0"/>
              <w:keepLines w:val="0"/>
              <w:pageBreakBefore w:val="0"/>
              <w:kinsoku/>
              <w:wordWrap/>
              <w:overflowPunct/>
              <w:topLinePunct w:val="0"/>
              <w:autoSpaceDE/>
              <w:autoSpaceDN/>
              <w:bidi w:val="0"/>
              <w:adjustRightInd/>
              <w:snapToGrid/>
              <w:spacing w:before="0" w:beforeLines="0"/>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建设内容</w:t>
            </w:r>
          </w:p>
          <w:p w14:paraId="2F5E4A5B">
            <w:pPr>
              <w:keepNext w:val="0"/>
              <w:keepLines w:val="0"/>
              <w:pageBreakBefore w:val="0"/>
              <w:kinsoku/>
              <w:wordWrap/>
              <w:overflowPunct/>
              <w:topLinePunct w:val="0"/>
              <w:autoSpaceDE/>
              <w:autoSpaceDN/>
              <w:bidi w:val="0"/>
              <w:adjustRightInd/>
              <w:snapToGrid/>
              <w:ind w:firstLine="480"/>
              <w:textAlignment w:val="auto"/>
              <w:rPr>
                <w:rFonts w:hint="default" w:ascii="Times New Roman" w:hAnsi="Times New Roman" w:cs="Times New Roman"/>
                <w:color w:val="000000"/>
                <w:kern w:val="0"/>
                <w:sz w:val="24"/>
                <w:szCs w:val="24"/>
                <w:lang w:val="en-US" w:eastAsia="zh-CN" w:bidi="ar"/>
              </w:rPr>
            </w:pPr>
            <w:bookmarkStart w:id="34" w:name="OLE_LINK465"/>
            <w:bookmarkStart w:id="35" w:name="OLE_LINK466"/>
            <w:r>
              <w:rPr>
                <w:rFonts w:hint="default" w:ascii="Times New Roman" w:hAnsi="Times New Roman" w:cs="Times New Roman"/>
                <w:color w:val="000000"/>
                <w:kern w:val="0"/>
                <w:sz w:val="24"/>
                <w:szCs w:val="24"/>
                <w:lang w:val="en-US" w:eastAsia="zh-CN" w:bidi="ar"/>
              </w:rPr>
              <w:t>本项目</w:t>
            </w:r>
            <w:r>
              <w:rPr>
                <w:rFonts w:hint="default" w:ascii="Times New Roman" w:hAnsi="Times New Roman" w:eastAsia="宋体" w:cs="Times New Roman"/>
                <w:color w:val="000000"/>
                <w:kern w:val="0"/>
                <w:sz w:val="24"/>
                <w:szCs w:val="24"/>
                <w:lang w:val="en-US" w:eastAsia="zh-CN" w:bidi="ar"/>
              </w:rPr>
              <w:t>租用四川金联玉合电气有限公司已建厂区内已建厂房（1号、2号、3号厂房），进行适应性改造，</w:t>
            </w:r>
            <w:r>
              <w:rPr>
                <w:rFonts w:hint="default" w:ascii="Times New Roman" w:hAnsi="Times New Roman" w:cs="Times New Roman"/>
                <w:color w:val="000000"/>
                <w:kern w:val="0"/>
                <w:sz w:val="24"/>
                <w:szCs w:val="24"/>
                <w:lang w:val="en-US" w:eastAsia="zh-CN" w:bidi="ar"/>
              </w:rPr>
              <w:t>新建</w:t>
            </w:r>
            <w:r>
              <w:rPr>
                <w:rFonts w:hint="eastAsia" w:cs="Times New Roman"/>
                <w:color w:val="000000"/>
                <w:kern w:val="0"/>
                <w:sz w:val="24"/>
                <w:szCs w:val="24"/>
                <w:lang w:val="en-US" w:eastAsia="zh-CN" w:bidi="ar"/>
              </w:rPr>
              <w:t>水基岩屑及热脱附干渣</w:t>
            </w:r>
            <w:r>
              <w:rPr>
                <w:rFonts w:hint="default" w:ascii="Times New Roman" w:hAnsi="Times New Roman" w:eastAsia="宋体" w:cs="Times New Roman"/>
                <w:color w:val="000000"/>
                <w:kern w:val="0"/>
                <w:sz w:val="24"/>
                <w:szCs w:val="24"/>
                <w:lang w:val="en-US" w:eastAsia="zh-CN" w:bidi="ar"/>
              </w:rPr>
              <w:t>综合利用项目</w:t>
            </w:r>
            <w:r>
              <w:rPr>
                <w:rFonts w:hint="default" w:ascii="Times New Roman" w:hAnsi="Times New Roman" w:cs="Times New Roman"/>
                <w:color w:val="000000"/>
                <w:kern w:val="0"/>
                <w:sz w:val="24"/>
                <w:szCs w:val="24"/>
                <w:lang w:val="en-US" w:eastAsia="zh-CN" w:bidi="ar"/>
              </w:rPr>
              <w:t>。</w:t>
            </w:r>
            <w:bookmarkEnd w:id="34"/>
            <w:bookmarkEnd w:id="35"/>
            <w:r>
              <w:rPr>
                <w:rFonts w:hint="default" w:ascii="Times New Roman" w:hAnsi="Times New Roman" w:eastAsia="宋体" w:cs="Times New Roman"/>
                <w:color w:val="000000"/>
                <w:kern w:val="0"/>
                <w:sz w:val="24"/>
                <w:szCs w:val="24"/>
                <w:lang w:val="en-US" w:eastAsia="zh-CN" w:bidi="ar"/>
              </w:rPr>
              <w:t>项目建设完成后，可综合利用水基岩屑30万t/a，</w:t>
            </w:r>
            <w:r>
              <w:rPr>
                <w:rFonts w:hint="eastAsia" w:cs="Times New Roman"/>
                <w:color w:val="000000"/>
                <w:kern w:val="0"/>
                <w:sz w:val="24"/>
                <w:szCs w:val="24"/>
                <w:lang w:val="en-US" w:eastAsia="zh-CN" w:bidi="ar"/>
              </w:rPr>
              <w:t>热脱附干渣约4.2万t/a，</w:t>
            </w:r>
            <w:r>
              <w:rPr>
                <w:rFonts w:hint="default" w:ascii="Times New Roman" w:hAnsi="Times New Roman" w:cs="Times New Roman"/>
                <w:color w:val="000000"/>
                <w:kern w:val="0"/>
                <w:sz w:val="24"/>
                <w:szCs w:val="24"/>
                <w:lang w:val="en-US" w:eastAsia="zh-CN" w:bidi="ar"/>
              </w:rPr>
              <w:t>以</w:t>
            </w:r>
            <w:r>
              <w:rPr>
                <w:rFonts w:hint="eastAsia" w:cs="Times New Roman"/>
                <w:color w:val="000000"/>
                <w:kern w:val="0"/>
                <w:sz w:val="24"/>
                <w:szCs w:val="24"/>
                <w:lang w:val="en-US" w:eastAsia="zh-CN" w:bidi="ar"/>
              </w:rPr>
              <w:t>水稳层骨料</w:t>
            </w:r>
            <w:r>
              <w:rPr>
                <w:rFonts w:hint="default" w:ascii="Times New Roman" w:hAnsi="Times New Roman" w:cs="Times New Roman"/>
                <w:color w:val="000000"/>
                <w:kern w:val="0"/>
                <w:sz w:val="24"/>
                <w:szCs w:val="24"/>
                <w:lang w:val="en-US" w:eastAsia="zh-CN" w:bidi="ar"/>
              </w:rPr>
              <w:t>生</w:t>
            </w:r>
            <w:r>
              <w:rPr>
                <w:rFonts w:hint="default" w:ascii="Times New Roman" w:hAnsi="Times New Roman" w:eastAsia="宋体" w:cs="Times New Roman"/>
                <w:color w:val="000000"/>
                <w:kern w:val="0"/>
                <w:sz w:val="24"/>
                <w:szCs w:val="24"/>
                <w:lang w:val="en-US" w:eastAsia="zh-CN" w:bidi="ar"/>
              </w:rPr>
              <w:t>产</w:t>
            </w:r>
            <w:r>
              <w:rPr>
                <w:rFonts w:hint="eastAsia" w:cs="Times New Roman"/>
                <w:color w:val="000000"/>
                <w:kern w:val="0"/>
                <w:sz w:val="24"/>
                <w:szCs w:val="24"/>
                <w:lang w:val="en-US" w:eastAsia="zh-CN" w:bidi="ar"/>
              </w:rPr>
              <w:t>免烧砌块</w:t>
            </w:r>
            <w:r>
              <w:rPr>
                <w:rFonts w:hint="default" w:ascii="Times New Roman" w:hAnsi="Times New Roman" w:eastAsia="宋体" w:cs="Times New Roman"/>
                <w:color w:val="000000"/>
                <w:kern w:val="0"/>
                <w:sz w:val="24"/>
                <w:szCs w:val="24"/>
                <w:lang w:val="en-US" w:eastAsia="zh-CN" w:bidi="ar"/>
              </w:rPr>
              <w:t>约2</w:t>
            </w:r>
            <w:r>
              <w:rPr>
                <w:rFonts w:hint="eastAsia" w:cs="Times New Roman"/>
                <w:color w:val="000000"/>
                <w:kern w:val="0"/>
                <w:sz w:val="24"/>
                <w:szCs w:val="24"/>
                <w:lang w:val="en-US" w:eastAsia="zh-CN" w:bidi="ar"/>
              </w:rPr>
              <w:t>2</w:t>
            </w:r>
            <w:r>
              <w:rPr>
                <w:rFonts w:hint="default" w:ascii="Times New Roman" w:hAnsi="Times New Roman" w:eastAsia="宋体" w:cs="Times New Roman"/>
                <w:color w:val="000000"/>
                <w:kern w:val="0"/>
                <w:sz w:val="24"/>
                <w:szCs w:val="24"/>
                <w:lang w:val="en-US" w:eastAsia="zh-CN" w:bidi="ar"/>
              </w:rPr>
              <w:t>万t/a</w:t>
            </w:r>
            <w:r>
              <w:rPr>
                <w:rFonts w:hint="default" w:ascii="Times New Roman" w:hAnsi="Times New Roman" w:cs="Times New Roman"/>
                <w:color w:val="000000"/>
                <w:kern w:val="0"/>
                <w:sz w:val="24"/>
                <w:szCs w:val="24"/>
                <w:lang w:val="en-US" w:eastAsia="zh-CN" w:bidi="ar"/>
              </w:rPr>
              <w:t>。项目组成及主要环境问题列表如下。</w:t>
            </w:r>
          </w:p>
          <w:p w14:paraId="315FD494">
            <w:pPr>
              <w:pStyle w:val="11"/>
              <w:keepNext/>
              <w:rPr>
                <w:rFonts w:cs="Times New Roman"/>
              </w:rPr>
            </w:pPr>
            <w:r>
              <w:rPr>
                <w:rFonts w:cs="Times New Roman"/>
              </w:rPr>
              <w:t>表</w:t>
            </w:r>
            <w:r>
              <w:rPr>
                <w:rFonts w:hint="eastAsia" w:cs="Times New Roman"/>
                <w:lang w:val="en-US" w:eastAsia="zh-CN"/>
              </w:rPr>
              <w:t>2-11</w:t>
            </w:r>
            <w:r>
              <w:rPr>
                <w:rFonts w:cs="Times New Roman"/>
              </w:rPr>
              <w:t xml:space="preserve"> 项目组成及主要环境问题一览表</w:t>
            </w:r>
          </w:p>
          <w:tbl>
            <w:tblPr>
              <w:tblStyle w:val="46"/>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9"/>
              <w:gridCol w:w="711"/>
              <w:gridCol w:w="1016"/>
              <w:gridCol w:w="4352"/>
              <w:gridCol w:w="910"/>
              <w:gridCol w:w="925"/>
              <w:gridCol w:w="657"/>
            </w:tblGrid>
            <w:tr w14:paraId="46C35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jc w:val="center"/>
              </w:trPr>
              <w:tc>
                <w:tcPr>
                  <w:tcW w:w="382" w:type="pct"/>
                  <w:vMerge w:val="restart"/>
                  <w:vAlign w:val="center"/>
                </w:tcPr>
                <w:p w14:paraId="68054D17">
                  <w:pPr>
                    <w:pStyle w:val="45"/>
                    <w:spacing w:line="240" w:lineRule="auto"/>
                    <w:rPr>
                      <w:rFonts w:cs="Times New Roman"/>
                    </w:rPr>
                  </w:pPr>
                  <w:r>
                    <w:rPr>
                      <w:rFonts w:cs="Times New Roman"/>
                    </w:rPr>
                    <w:t>工程分类</w:t>
                  </w:r>
                </w:p>
              </w:tc>
              <w:tc>
                <w:tcPr>
                  <w:tcW w:w="383" w:type="pct"/>
                  <w:vMerge w:val="restart"/>
                  <w:vAlign w:val="center"/>
                </w:tcPr>
                <w:p w14:paraId="2E6B6112">
                  <w:pPr>
                    <w:pStyle w:val="45"/>
                    <w:spacing w:line="240" w:lineRule="auto"/>
                    <w:rPr>
                      <w:rFonts w:cs="Times New Roman"/>
                    </w:rPr>
                  </w:pPr>
                  <w:r>
                    <w:rPr>
                      <w:rFonts w:cs="Times New Roman"/>
                    </w:rPr>
                    <w:t>名称</w:t>
                  </w:r>
                </w:p>
              </w:tc>
              <w:tc>
                <w:tcPr>
                  <w:tcW w:w="2891" w:type="pct"/>
                  <w:gridSpan w:val="2"/>
                  <w:vMerge w:val="restart"/>
                  <w:vAlign w:val="center"/>
                </w:tcPr>
                <w:p w14:paraId="6877B0B9">
                  <w:pPr>
                    <w:pStyle w:val="45"/>
                    <w:spacing w:line="240" w:lineRule="auto"/>
                    <w:rPr>
                      <w:rFonts w:cs="Times New Roman"/>
                    </w:rPr>
                  </w:pPr>
                  <w:r>
                    <w:rPr>
                      <w:rFonts w:cs="Times New Roman"/>
                    </w:rPr>
                    <w:t>建设内容及规模</w:t>
                  </w:r>
                </w:p>
              </w:tc>
              <w:tc>
                <w:tcPr>
                  <w:tcW w:w="988" w:type="pct"/>
                  <w:gridSpan w:val="2"/>
                  <w:vAlign w:val="center"/>
                </w:tcPr>
                <w:p w14:paraId="52C3AA75">
                  <w:pPr>
                    <w:pStyle w:val="45"/>
                    <w:spacing w:line="240" w:lineRule="auto"/>
                    <w:rPr>
                      <w:rFonts w:cs="Times New Roman"/>
                    </w:rPr>
                  </w:pPr>
                  <w:r>
                    <w:rPr>
                      <w:rFonts w:cs="Times New Roman"/>
                    </w:rPr>
                    <w:t>主要环境问题</w:t>
                  </w:r>
                </w:p>
              </w:tc>
              <w:tc>
                <w:tcPr>
                  <w:tcW w:w="354" w:type="pct"/>
                  <w:vMerge w:val="restart"/>
                  <w:vAlign w:val="center"/>
                </w:tcPr>
                <w:p w14:paraId="65C45BFB">
                  <w:pPr>
                    <w:pStyle w:val="45"/>
                    <w:spacing w:line="240" w:lineRule="auto"/>
                    <w:rPr>
                      <w:rFonts w:hint="eastAsia" w:eastAsia="宋体" w:cs="Times New Roman"/>
                      <w:lang w:val="en-US" w:eastAsia="zh-CN"/>
                    </w:rPr>
                  </w:pPr>
                  <w:r>
                    <w:rPr>
                      <w:rFonts w:hint="eastAsia" w:cs="Times New Roman"/>
                      <w:lang w:val="en-US" w:eastAsia="zh-CN"/>
                    </w:rPr>
                    <w:t>备注</w:t>
                  </w:r>
                </w:p>
              </w:tc>
            </w:tr>
            <w:tr w14:paraId="46E76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jc w:val="center"/>
              </w:trPr>
              <w:tc>
                <w:tcPr>
                  <w:tcW w:w="382" w:type="pct"/>
                  <w:vMerge w:val="continue"/>
                  <w:vAlign w:val="center"/>
                </w:tcPr>
                <w:p w14:paraId="3FB7DFC9">
                  <w:pPr>
                    <w:pStyle w:val="45"/>
                    <w:spacing w:line="240" w:lineRule="auto"/>
                    <w:rPr>
                      <w:rFonts w:cs="Times New Roman"/>
                    </w:rPr>
                  </w:pPr>
                </w:p>
              </w:tc>
              <w:tc>
                <w:tcPr>
                  <w:tcW w:w="383" w:type="pct"/>
                  <w:vMerge w:val="continue"/>
                  <w:vAlign w:val="center"/>
                </w:tcPr>
                <w:p w14:paraId="0C10F57E">
                  <w:pPr>
                    <w:pStyle w:val="45"/>
                    <w:spacing w:line="240" w:lineRule="auto"/>
                    <w:rPr>
                      <w:rFonts w:cs="Times New Roman"/>
                    </w:rPr>
                  </w:pPr>
                </w:p>
              </w:tc>
              <w:tc>
                <w:tcPr>
                  <w:tcW w:w="2891" w:type="pct"/>
                  <w:gridSpan w:val="2"/>
                  <w:vMerge w:val="continue"/>
                  <w:vAlign w:val="center"/>
                </w:tcPr>
                <w:p w14:paraId="01A6A397">
                  <w:pPr>
                    <w:pStyle w:val="45"/>
                    <w:spacing w:line="240" w:lineRule="auto"/>
                    <w:rPr>
                      <w:rFonts w:cs="Times New Roman"/>
                    </w:rPr>
                  </w:pPr>
                </w:p>
              </w:tc>
              <w:tc>
                <w:tcPr>
                  <w:tcW w:w="490" w:type="pct"/>
                  <w:vAlign w:val="center"/>
                </w:tcPr>
                <w:p w14:paraId="70DE8FE6">
                  <w:pPr>
                    <w:pStyle w:val="45"/>
                    <w:spacing w:line="240" w:lineRule="auto"/>
                    <w:rPr>
                      <w:rFonts w:cs="Times New Roman"/>
                    </w:rPr>
                  </w:pPr>
                  <w:r>
                    <w:rPr>
                      <w:rFonts w:cs="Times New Roman"/>
                    </w:rPr>
                    <w:t>施工期</w:t>
                  </w:r>
                </w:p>
              </w:tc>
              <w:tc>
                <w:tcPr>
                  <w:tcW w:w="498" w:type="pct"/>
                  <w:vAlign w:val="center"/>
                </w:tcPr>
                <w:p w14:paraId="254365AA">
                  <w:pPr>
                    <w:pStyle w:val="45"/>
                    <w:spacing w:line="240" w:lineRule="auto"/>
                    <w:rPr>
                      <w:rFonts w:cs="Times New Roman"/>
                    </w:rPr>
                  </w:pPr>
                  <w:r>
                    <w:rPr>
                      <w:rFonts w:cs="Times New Roman"/>
                    </w:rPr>
                    <w:t>运营期</w:t>
                  </w:r>
                </w:p>
              </w:tc>
              <w:tc>
                <w:tcPr>
                  <w:tcW w:w="354" w:type="pct"/>
                  <w:vMerge w:val="continue"/>
                  <w:vAlign w:val="center"/>
                </w:tcPr>
                <w:p w14:paraId="7DEBB6C1">
                  <w:pPr>
                    <w:pStyle w:val="45"/>
                    <w:spacing w:line="240" w:lineRule="auto"/>
                    <w:rPr>
                      <w:rFonts w:cs="Times New Roman"/>
                    </w:rPr>
                  </w:pPr>
                </w:p>
              </w:tc>
            </w:tr>
            <w:tr w14:paraId="0F0D7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jc w:val="center"/>
              </w:trPr>
              <w:tc>
                <w:tcPr>
                  <w:tcW w:w="382" w:type="pct"/>
                  <w:vMerge w:val="restart"/>
                  <w:vAlign w:val="center"/>
                </w:tcPr>
                <w:p w14:paraId="1F87574B">
                  <w:pPr>
                    <w:pStyle w:val="12"/>
                    <w:spacing w:line="240" w:lineRule="auto"/>
                    <w:rPr>
                      <w:rFonts w:cs="Times New Roman"/>
                    </w:rPr>
                  </w:pPr>
                  <w:r>
                    <w:rPr>
                      <w:rFonts w:cs="Times New Roman"/>
                    </w:rPr>
                    <w:t>主体工程</w:t>
                  </w:r>
                </w:p>
              </w:tc>
              <w:tc>
                <w:tcPr>
                  <w:tcW w:w="383" w:type="pct"/>
                  <w:vMerge w:val="restart"/>
                  <w:vAlign w:val="center"/>
                </w:tcPr>
                <w:p w14:paraId="5198DFA7">
                  <w:pPr>
                    <w:pStyle w:val="12"/>
                    <w:spacing w:line="240" w:lineRule="auto"/>
                    <w:rPr>
                      <w:rFonts w:hint="default" w:cs="Times New Roman"/>
                      <w:lang w:val="en-US" w:eastAsia="zh-CN"/>
                    </w:rPr>
                  </w:pPr>
                  <w:r>
                    <w:rPr>
                      <w:rFonts w:hint="eastAsia" w:cs="Times New Roman"/>
                      <w:lang w:val="en-US" w:eastAsia="zh-CN"/>
                    </w:rPr>
                    <w:t>1号厂房</w:t>
                  </w:r>
                </w:p>
              </w:tc>
              <w:tc>
                <w:tcPr>
                  <w:tcW w:w="2891" w:type="pct"/>
                  <w:gridSpan w:val="2"/>
                  <w:shd w:val="clear" w:color="auto" w:fill="auto"/>
                  <w:vAlign w:val="center"/>
                </w:tcPr>
                <w:p w14:paraId="3F691D56">
                  <w:pPr>
                    <w:pStyle w:val="12"/>
                    <w:spacing w:line="240" w:lineRule="auto"/>
                    <w:ind w:firstLine="0" w:firstLineChars="0"/>
                    <w:jc w:val="left"/>
                    <w:rPr>
                      <w:rFonts w:hint="eastAsia" w:ascii="Times New Roman" w:hAnsi="Times New Roman" w:eastAsia="宋体" w:cs="Times New Roman"/>
                      <w:b w:val="0"/>
                      <w:bCs/>
                      <w:color w:val="000000" w:themeColor="text1"/>
                      <w:kern w:val="0"/>
                      <w:sz w:val="21"/>
                      <w:szCs w:val="24"/>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1栋，1F，建筑面积</w:t>
                  </w:r>
                  <w:r>
                    <w:rPr>
                      <w:rFonts w:hint="eastAsia" w:cs="Times New Roman"/>
                      <w:lang w:val="en-US" w:eastAsia="zh-CN"/>
                    </w:rPr>
                    <w:t>5767</w:t>
                  </w:r>
                  <w:r>
                    <w:rPr>
                      <w:rFonts w:hint="eastAsia" w:cs="Times New Roman"/>
                      <w:color w:val="000000" w:themeColor="text1"/>
                      <w:lang w:val="en-US" w:eastAsia="zh-CN"/>
                      <w14:textFill>
                        <w14:solidFill>
                          <w14:schemeClr w14:val="tx1"/>
                        </w14:solidFill>
                      </w14:textFill>
                    </w:rPr>
                    <w:t>m</w:t>
                  </w:r>
                  <w:r>
                    <w:rPr>
                      <w:rFonts w:hint="eastAsia" w:cs="Times New Roman"/>
                      <w:color w:val="000000" w:themeColor="text1"/>
                      <w:vertAlign w:val="superscript"/>
                      <w:lang w:val="en-US" w:eastAsia="zh-CN"/>
                      <w14:textFill>
                        <w14:solidFill>
                          <w14:schemeClr w14:val="tx1"/>
                        </w14:solidFill>
                      </w14:textFill>
                    </w:rPr>
                    <w:t>2</w:t>
                  </w:r>
                  <w:r>
                    <w:rPr>
                      <w:rFonts w:hint="eastAsia" w:cs="Times New Roman"/>
                      <w:color w:val="000000" w:themeColor="text1"/>
                      <w:lang w:val="en-US" w:eastAsia="zh-CN"/>
                      <w14:textFill>
                        <w14:solidFill>
                          <w14:schemeClr w14:val="tx1"/>
                        </w14:solidFill>
                      </w14:textFill>
                    </w:rPr>
                    <w:t>，租用已建成厂房进行扩建及适应性改造。厂房内不设置生产设备，内设干岩屑堆放区1处、热脱附干渣堆存区1处。</w:t>
                  </w:r>
                </w:p>
              </w:tc>
              <w:tc>
                <w:tcPr>
                  <w:tcW w:w="490" w:type="pct"/>
                  <w:vMerge w:val="restart"/>
                  <w:vAlign w:val="center"/>
                </w:tcPr>
                <w:p w14:paraId="7BFAF0DD">
                  <w:pPr>
                    <w:pStyle w:val="12"/>
                    <w:spacing w:line="240" w:lineRule="auto"/>
                    <w:rPr>
                      <w:rFonts w:cs="Times New Roman"/>
                    </w:rPr>
                  </w:pPr>
                  <w:r>
                    <w:rPr>
                      <w:rFonts w:cs="Times New Roman"/>
                    </w:rPr>
                    <w:t>施工扬尘、施工噪声、施工废水、建筑垃圾</w:t>
                  </w:r>
                  <w:r>
                    <w:rPr>
                      <w:rFonts w:hint="eastAsia" w:cs="Times New Roman"/>
                      <w:lang w:val="en-US" w:eastAsia="zh-CN"/>
                    </w:rPr>
                    <w:t>一般水泥硬化</w:t>
                  </w:r>
                </w:p>
              </w:tc>
              <w:tc>
                <w:tcPr>
                  <w:tcW w:w="498" w:type="pct"/>
                  <w:shd w:val="clear" w:color="auto" w:fill="auto"/>
                  <w:vAlign w:val="center"/>
                </w:tcPr>
                <w:p w14:paraId="38B12A03">
                  <w:pPr>
                    <w:pStyle w:val="12"/>
                    <w:spacing w:line="240" w:lineRule="auto"/>
                    <w:ind w:firstLine="0" w:firstLineChars="0"/>
                    <w:rPr>
                      <w:rFonts w:hint="eastAsia" w:ascii="Times New Roman" w:hAnsi="Times New Roman" w:eastAsia="宋体" w:cs="Times New Roman"/>
                      <w:b w:val="0"/>
                      <w:bCs/>
                      <w:kern w:val="0"/>
                      <w:sz w:val="21"/>
                      <w:szCs w:val="24"/>
                      <w:lang w:val="en-US" w:eastAsia="zh-CN" w:bidi="ar-SA"/>
                    </w:rPr>
                  </w:pPr>
                  <w:r>
                    <w:rPr>
                      <w:rFonts w:hint="eastAsia" w:cs="Times New Roman"/>
                      <w:lang w:val="en-US" w:eastAsia="zh-CN"/>
                    </w:rPr>
                    <w:t>/</w:t>
                  </w:r>
                </w:p>
              </w:tc>
              <w:tc>
                <w:tcPr>
                  <w:tcW w:w="354" w:type="pct"/>
                  <w:shd w:val="clear" w:color="auto" w:fill="auto"/>
                  <w:vAlign w:val="center"/>
                </w:tcPr>
                <w:p w14:paraId="0D514482">
                  <w:pPr>
                    <w:pStyle w:val="12"/>
                    <w:spacing w:line="240" w:lineRule="auto"/>
                    <w:ind w:firstLine="0" w:firstLineChars="0"/>
                    <w:rPr>
                      <w:rFonts w:hint="eastAsia" w:ascii="Times New Roman" w:hAnsi="Times New Roman" w:eastAsia="宋体" w:cs="Times New Roman"/>
                      <w:b w:val="0"/>
                      <w:bCs/>
                      <w:kern w:val="0"/>
                      <w:sz w:val="21"/>
                      <w:szCs w:val="24"/>
                      <w:lang w:val="en-US" w:eastAsia="zh-CN" w:bidi="ar-SA"/>
                    </w:rPr>
                  </w:pPr>
                  <w:r>
                    <w:rPr>
                      <w:rFonts w:hint="eastAsia" w:cs="Times New Roman"/>
                      <w:lang w:val="en-US" w:eastAsia="zh-CN"/>
                    </w:rPr>
                    <w:t>新建</w:t>
                  </w:r>
                </w:p>
              </w:tc>
            </w:tr>
            <w:tr w14:paraId="4B432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jc w:val="center"/>
              </w:trPr>
              <w:tc>
                <w:tcPr>
                  <w:tcW w:w="382" w:type="pct"/>
                  <w:vMerge w:val="continue"/>
                  <w:vAlign w:val="center"/>
                </w:tcPr>
                <w:p w14:paraId="67723093">
                  <w:pPr>
                    <w:pStyle w:val="12"/>
                    <w:spacing w:line="240" w:lineRule="auto"/>
                    <w:rPr>
                      <w:rFonts w:cs="Times New Roman"/>
                    </w:rPr>
                  </w:pPr>
                </w:p>
              </w:tc>
              <w:tc>
                <w:tcPr>
                  <w:tcW w:w="383" w:type="pct"/>
                  <w:vMerge w:val="continue"/>
                  <w:vAlign w:val="center"/>
                </w:tcPr>
                <w:p w14:paraId="2B343BED">
                  <w:pPr>
                    <w:pStyle w:val="12"/>
                    <w:spacing w:line="240" w:lineRule="auto"/>
                    <w:rPr>
                      <w:rFonts w:hint="eastAsia" w:cs="Times New Roman"/>
                      <w:lang w:val="en-US" w:eastAsia="zh-CN"/>
                    </w:rPr>
                  </w:pPr>
                </w:p>
              </w:tc>
              <w:tc>
                <w:tcPr>
                  <w:tcW w:w="2891" w:type="pct"/>
                  <w:gridSpan w:val="2"/>
                  <w:shd w:val="clear" w:color="auto" w:fill="auto"/>
                  <w:vAlign w:val="center"/>
                </w:tcPr>
                <w:p w14:paraId="73223B49">
                  <w:pPr>
                    <w:pStyle w:val="12"/>
                    <w:spacing w:line="240" w:lineRule="auto"/>
                    <w:ind w:firstLine="0" w:firstLineChars="0"/>
                    <w:jc w:val="left"/>
                    <w:rPr>
                      <w:rFonts w:hint="eastAsia" w:ascii="Times New Roman" w:hAnsi="Times New Roman" w:eastAsia="宋体" w:cs="Times New Roman"/>
                      <w:b w:val="0"/>
                      <w:bCs/>
                      <w:color w:val="000000" w:themeColor="text1"/>
                      <w:kern w:val="0"/>
                      <w:sz w:val="21"/>
                      <w:szCs w:val="24"/>
                      <w:lang w:val="en-US" w:eastAsia="zh-CN" w:bidi="ar-SA"/>
                      <w14:textFill>
                        <w14:solidFill>
                          <w14:schemeClr w14:val="tx1"/>
                        </w14:solidFill>
                      </w14:textFill>
                    </w:rPr>
                  </w:pPr>
                  <w:r>
                    <w:rPr>
                      <w:rFonts w:hint="eastAsia" w:cs="Times New Roman"/>
                      <w:lang w:val="en-US" w:eastAsia="zh-CN"/>
                    </w:rPr>
                    <w:t>干水基岩屑堆存区：1处，设置于厂房西部，占地面积约4000m</w:t>
                  </w:r>
                  <w:r>
                    <w:rPr>
                      <w:rFonts w:hint="eastAsia" w:cs="Times New Roman"/>
                      <w:vertAlign w:val="superscript"/>
                      <w:lang w:val="en-US" w:eastAsia="zh-CN"/>
                    </w:rPr>
                    <w:t>2</w:t>
                  </w:r>
                  <w:r>
                    <w:rPr>
                      <w:rFonts w:hint="eastAsia" w:cs="Times New Roman"/>
                      <w:lang w:val="en-US" w:eastAsia="zh-CN"/>
                    </w:rPr>
                    <w:t>；三面设置0.5m高围堰+一面设置车辆卸料斜坡+栏板；堆放含水率为35%的干水基岩屑。</w:t>
                  </w:r>
                </w:p>
              </w:tc>
              <w:tc>
                <w:tcPr>
                  <w:tcW w:w="490" w:type="pct"/>
                  <w:vMerge w:val="continue"/>
                  <w:vAlign w:val="center"/>
                </w:tcPr>
                <w:p w14:paraId="5F0C38E5">
                  <w:pPr>
                    <w:pStyle w:val="12"/>
                    <w:spacing w:line="240" w:lineRule="auto"/>
                    <w:rPr>
                      <w:rFonts w:cs="Times New Roman"/>
                    </w:rPr>
                  </w:pPr>
                </w:p>
              </w:tc>
              <w:tc>
                <w:tcPr>
                  <w:tcW w:w="498" w:type="pct"/>
                  <w:shd w:val="clear" w:color="auto" w:fill="auto"/>
                  <w:vAlign w:val="center"/>
                </w:tcPr>
                <w:p w14:paraId="3AF71E9A">
                  <w:pPr>
                    <w:pStyle w:val="12"/>
                    <w:spacing w:line="240" w:lineRule="auto"/>
                    <w:ind w:firstLine="0" w:firstLineChars="0"/>
                    <w:rPr>
                      <w:rFonts w:hint="eastAsia" w:ascii="Times New Roman" w:hAnsi="Times New Roman" w:eastAsia="宋体" w:cs="Times New Roman"/>
                      <w:b w:val="0"/>
                      <w:bCs/>
                      <w:kern w:val="0"/>
                      <w:sz w:val="21"/>
                      <w:szCs w:val="24"/>
                      <w:lang w:val="en-US" w:eastAsia="zh-CN" w:bidi="ar-SA"/>
                    </w:rPr>
                  </w:pPr>
                  <w:r>
                    <w:rPr>
                      <w:rFonts w:hint="eastAsia" w:cs="Times New Roman"/>
                      <w:lang w:val="en-US" w:eastAsia="zh-CN"/>
                    </w:rPr>
                    <w:t>臭气浓度</w:t>
                  </w:r>
                </w:p>
              </w:tc>
              <w:tc>
                <w:tcPr>
                  <w:tcW w:w="354" w:type="pct"/>
                  <w:shd w:val="clear" w:color="auto" w:fill="auto"/>
                  <w:vAlign w:val="center"/>
                </w:tcPr>
                <w:p w14:paraId="270BFF7E">
                  <w:pPr>
                    <w:pStyle w:val="12"/>
                    <w:spacing w:line="240" w:lineRule="auto"/>
                    <w:ind w:firstLine="0" w:firstLineChars="0"/>
                    <w:rPr>
                      <w:rFonts w:hint="eastAsia" w:ascii="Times New Roman" w:hAnsi="Times New Roman" w:eastAsia="宋体" w:cs="Times New Roman"/>
                      <w:b w:val="0"/>
                      <w:bCs/>
                      <w:kern w:val="0"/>
                      <w:sz w:val="21"/>
                      <w:szCs w:val="24"/>
                      <w:lang w:val="en-US" w:eastAsia="zh-CN" w:bidi="ar-SA"/>
                    </w:rPr>
                  </w:pPr>
                  <w:r>
                    <w:rPr>
                      <w:rFonts w:hint="eastAsia" w:cs="Times New Roman"/>
                      <w:lang w:val="en-US" w:eastAsia="zh-CN"/>
                    </w:rPr>
                    <w:t>新建</w:t>
                  </w:r>
                </w:p>
              </w:tc>
            </w:tr>
            <w:tr w14:paraId="7EF96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jc w:val="center"/>
              </w:trPr>
              <w:tc>
                <w:tcPr>
                  <w:tcW w:w="382" w:type="pct"/>
                  <w:vMerge w:val="continue"/>
                  <w:vAlign w:val="center"/>
                </w:tcPr>
                <w:p w14:paraId="08F95B31">
                  <w:pPr>
                    <w:pStyle w:val="12"/>
                    <w:spacing w:line="240" w:lineRule="auto"/>
                    <w:rPr>
                      <w:rFonts w:cs="Times New Roman"/>
                    </w:rPr>
                  </w:pPr>
                </w:p>
              </w:tc>
              <w:tc>
                <w:tcPr>
                  <w:tcW w:w="383" w:type="pct"/>
                  <w:vMerge w:val="continue"/>
                  <w:vAlign w:val="center"/>
                </w:tcPr>
                <w:p w14:paraId="57E69DD0">
                  <w:pPr>
                    <w:pStyle w:val="12"/>
                    <w:spacing w:line="240" w:lineRule="auto"/>
                    <w:rPr>
                      <w:rFonts w:hint="eastAsia" w:cs="Times New Roman"/>
                      <w:lang w:val="en-US" w:eastAsia="zh-CN"/>
                    </w:rPr>
                  </w:pPr>
                </w:p>
              </w:tc>
              <w:tc>
                <w:tcPr>
                  <w:tcW w:w="2891" w:type="pct"/>
                  <w:gridSpan w:val="2"/>
                  <w:shd w:val="clear" w:color="auto" w:fill="auto"/>
                  <w:vAlign w:val="center"/>
                </w:tcPr>
                <w:p w14:paraId="4A812FB2">
                  <w:pPr>
                    <w:pStyle w:val="12"/>
                    <w:spacing w:line="240" w:lineRule="auto"/>
                    <w:ind w:firstLine="0" w:firstLineChars="0"/>
                    <w:jc w:val="left"/>
                    <w:rPr>
                      <w:rFonts w:hint="eastAsia" w:ascii="Times New Roman" w:hAnsi="Times New Roman" w:eastAsia="宋体" w:cs="Times New Roman"/>
                      <w:b w:val="0"/>
                      <w:bCs/>
                      <w:color w:val="000000" w:themeColor="text1"/>
                      <w:kern w:val="0"/>
                      <w:sz w:val="21"/>
                      <w:szCs w:val="24"/>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热脱附干渣堆存区：</w:t>
                  </w:r>
                  <w:r>
                    <w:rPr>
                      <w:rFonts w:hint="eastAsia"/>
                      <w:color w:val="000000" w:themeColor="text1"/>
                      <w:lang w:val="en-US" w:eastAsia="zh-CN"/>
                      <w14:textFill>
                        <w14:solidFill>
                          <w14:schemeClr w14:val="tx1"/>
                        </w14:solidFill>
                      </w14:textFill>
                    </w:rPr>
                    <w:t>1处，设置于厂房东部，占地面积约1600</w:t>
                  </w:r>
                  <w:r>
                    <w:rPr>
                      <w:rFonts w:hint="eastAsia" w:cs="Times New Roman"/>
                      <w:color w:val="000000" w:themeColor="text1"/>
                      <w:lang w:val="en-US" w:eastAsia="zh-CN"/>
                      <w14:textFill>
                        <w14:solidFill>
                          <w14:schemeClr w14:val="tx1"/>
                        </w14:solidFill>
                      </w14:textFill>
                    </w:rPr>
                    <w:t>m</w:t>
                  </w:r>
                  <w:r>
                    <w:rPr>
                      <w:rFonts w:hint="eastAsia" w:cs="Times New Roman"/>
                      <w:color w:val="000000" w:themeColor="text1"/>
                      <w:vertAlign w:val="superscript"/>
                      <w:lang w:val="en-US" w:eastAsia="zh-CN"/>
                      <w14:textFill>
                        <w14:solidFill>
                          <w14:schemeClr w14:val="tx1"/>
                        </w14:solidFill>
                      </w14:textFill>
                    </w:rPr>
                    <w:t>2</w:t>
                  </w:r>
                  <w:r>
                    <w:rPr>
                      <w:rFonts w:hint="eastAsia" w:cs="Times New Roman"/>
                      <w:color w:val="000000" w:themeColor="text1"/>
                      <w:lang w:val="en-US" w:eastAsia="zh-CN"/>
                      <w14:textFill>
                        <w14:solidFill>
                          <w14:schemeClr w14:val="tx1"/>
                        </w14:solidFill>
                      </w14:textFill>
                    </w:rPr>
                    <w:t>；三面设置0.5m高围堰+一面设置车辆卸料斜坡+栏板；堆放热脱附干渣。</w:t>
                  </w:r>
                </w:p>
              </w:tc>
              <w:tc>
                <w:tcPr>
                  <w:tcW w:w="490" w:type="pct"/>
                  <w:vMerge w:val="continue"/>
                  <w:vAlign w:val="center"/>
                </w:tcPr>
                <w:p w14:paraId="4D6D9546">
                  <w:pPr>
                    <w:pStyle w:val="12"/>
                    <w:spacing w:line="240" w:lineRule="auto"/>
                    <w:rPr>
                      <w:rFonts w:cs="Times New Roman"/>
                    </w:rPr>
                  </w:pPr>
                </w:p>
              </w:tc>
              <w:tc>
                <w:tcPr>
                  <w:tcW w:w="498" w:type="pct"/>
                  <w:shd w:val="clear" w:color="auto" w:fill="auto"/>
                  <w:vAlign w:val="center"/>
                </w:tcPr>
                <w:p w14:paraId="5D075CD4">
                  <w:pPr>
                    <w:pStyle w:val="12"/>
                    <w:spacing w:line="240" w:lineRule="auto"/>
                    <w:ind w:firstLine="0" w:firstLineChars="0"/>
                    <w:rPr>
                      <w:rFonts w:hint="eastAsia" w:ascii="Times New Roman" w:hAnsi="Times New Roman" w:eastAsia="宋体" w:cs="Times New Roman"/>
                      <w:b w:val="0"/>
                      <w:bCs/>
                      <w:kern w:val="0"/>
                      <w:sz w:val="21"/>
                      <w:szCs w:val="24"/>
                      <w:lang w:val="en-US" w:eastAsia="zh-CN" w:bidi="ar-SA"/>
                    </w:rPr>
                  </w:pPr>
                  <w:r>
                    <w:rPr>
                      <w:rFonts w:hint="eastAsia" w:cs="Times New Roman"/>
                      <w:lang w:val="en-US" w:eastAsia="zh-CN"/>
                    </w:rPr>
                    <w:t>臭气浓度</w:t>
                  </w:r>
                </w:p>
              </w:tc>
              <w:tc>
                <w:tcPr>
                  <w:tcW w:w="354" w:type="pct"/>
                  <w:shd w:val="clear" w:color="auto" w:fill="auto"/>
                  <w:vAlign w:val="center"/>
                </w:tcPr>
                <w:p w14:paraId="294B2C47">
                  <w:pPr>
                    <w:pStyle w:val="12"/>
                    <w:spacing w:line="240" w:lineRule="auto"/>
                    <w:ind w:firstLine="0" w:firstLineChars="0"/>
                    <w:rPr>
                      <w:rFonts w:hint="eastAsia" w:ascii="Times New Roman" w:hAnsi="Times New Roman" w:eastAsia="宋体" w:cs="Times New Roman"/>
                      <w:b w:val="0"/>
                      <w:bCs/>
                      <w:kern w:val="0"/>
                      <w:sz w:val="21"/>
                      <w:szCs w:val="24"/>
                      <w:lang w:val="en-US" w:eastAsia="zh-CN" w:bidi="ar-SA"/>
                    </w:rPr>
                  </w:pPr>
                  <w:r>
                    <w:rPr>
                      <w:rFonts w:hint="eastAsia" w:cs="Times New Roman"/>
                      <w:lang w:val="en-US" w:eastAsia="zh-CN"/>
                    </w:rPr>
                    <w:t>新建</w:t>
                  </w:r>
                </w:p>
              </w:tc>
            </w:tr>
            <w:tr w14:paraId="0BED9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jc w:val="center"/>
              </w:trPr>
              <w:tc>
                <w:tcPr>
                  <w:tcW w:w="382" w:type="pct"/>
                  <w:vMerge w:val="continue"/>
                  <w:vAlign w:val="center"/>
                </w:tcPr>
                <w:p w14:paraId="45A09485">
                  <w:pPr>
                    <w:pStyle w:val="12"/>
                    <w:spacing w:line="240" w:lineRule="auto"/>
                    <w:rPr>
                      <w:rFonts w:cs="Times New Roman"/>
                    </w:rPr>
                  </w:pPr>
                  <w:bookmarkStart w:id="36" w:name="_Hlk206774860"/>
                </w:p>
              </w:tc>
              <w:tc>
                <w:tcPr>
                  <w:tcW w:w="383" w:type="pct"/>
                  <w:vMerge w:val="restart"/>
                  <w:vAlign w:val="center"/>
                </w:tcPr>
                <w:p w14:paraId="63AAE407">
                  <w:pPr>
                    <w:pStyle w:val="12"/>
                    <w:spacing w:line="240" w:lineRule="auto"/>
                    <w:rPr>
                      <w:rFonts w:hint="default" w:eastAsia="宋体" w:cs="Times New Roman"/>
                      <w:lang w:val="en-US" w:eastAsia="zh-CN"/>
                    </w:rPr>
                  </w:pPr>
                  <w:r>
                    <w:rPr>
                      <w:rFonts w:hint="eastAsia" w:cs="Times New Roman"/>
                      <w:lang w:val="en-US" w:eastAsia="zh-CN"/>
                    </w:rPr>
                    <w:t>2号厂房</w:t>
                  </w:r>
                </w:p>
              </w:tc>
              <w:tc>
                <w:tcPr>
                  <w:tcW w:w="2891" w:type="pct"/>
                  <w:gridSpan w:val="2"/>
                  <w:vAlign w:val="center"/>
                </w:tcPr>
                <w:p w14:paraId="7B44C2EF">
                  <w:pPr>
                    <w:pStyle w:val="12"/>
                    <w:spacing w:line="240" w:lineRule="auto"/>
                    <w:jc w:val="left"/>
                    <w:rPr>
                      <w:rFonts w:hint="eastAsia" w:cs="Times New Roman"/>
                      <w:lang w:val="en-US" w:eastAsia="zh-CN"/>
                    </w:rPr>
                  </w:pPr>
                  <w:r>
                    <w:rPr>
                      <w:rFonts w:hint="eastAsia" w:cs="Times New Roman"/>
                      <w:lang w:val="en-US" w:eastAsia="zh-CN"/>
                    </w:rPr>
                    <w:t>1栋，1F，建筑面积3800m</w:t>
                  </w:r>
                  <w:r>
                    <w:rPr>
                      <w:rFonts w:hint="eastAsia" w:cs="Times New Roman"/>
                      <w:vertAlign w:val="superscript"/>
                      <w:lang w:val="en-US" w:eastAsia="zh-CN"/>
                    </w:rPr>
                    <w:t>2</w:t>
                  </w:r>
                  <w:r>
                    <w:rPr>
                      <w:rFonts w:hint="eastAsia" w:cs="Times New Roman"/>
                      <w:lang w:val="en-US" w:eastAsia="zh-CN"/>
                    </w:rPr>
                    <w:t>，租用已建成厂房进行扩建及适应性改造，厂房内设置煅烧生产线1条、水基岩屑储存池1座（分4格，其中2格为滤液池）、水基岩屑预处理系统1套。</w:t>
                  </w:r>
                </w:p>
              </w:tc>
              <w:tc>
                <w:tcPr>
                  <w:tcW w:w="490" w:type="pct"/>
                  <w:vMerge w:val="continue"/>
                  <w:vAlign w:val="center"/>
                </w:tcPr>
                <w:p w14:paraId="62FB7D53">
                  <w:pPr>
                    <w:pStyle w:val="12"/>
                    <w:spacing w:line="240" w:lineRule="auto"/>
                    <w:rPr>
                      <w:rFonts w:cs="Times New Roman"/>
                    </w:rPr>
                  </w:pPr>
                </w:p>
              </w:tc>
              <w:tc>
                <w:tcPr>
                  <w:tcW w:w="498" w:type="pct"/>
                  <w:vAlign w:val="center"/>
                </w:tcPr>
                <w:p w14:paraId="72F9023C">
                  <w:pPr>
                    <w:pStyle w:val="12"/>
                    <w:spacing w:line="240" w:lineRule="auto"/>
                    <w:rPr>
                      <w:rFonts w:hint="eastAsia" w:eastAsia="宋体" w:cs="Times New Roman"/>
                      <w:lang w:val="en-US" w:eastAsia="zh-CN"/>
                    </w:rPr>
                  </w:pPr>
                  <w:r>
                    <w:rPr>
                      <w:rFonts w:hint="eastAsia" w:cs="Times New Roman"/>
                      <w:lang w:val="en-US" w:eastAsia="zh-CN"/>
                    </w:rPr>
                    <w:t>/</w:t>
                  </w:r>
                </w:p>
              </w:tc>
              <w:tc>
                <w:tcPr>
                  <w:tcW w:w="354" w:type="pct"/>
                  <w:vAlign w:val="center"/>
                </w:tcPr>
                <w:p w14:paraId="03F27026">
                  <w:pPr>
                    <w:pStyle w:val="12"/>
                    <w:spacing w:line="240" w:lineRule="auto"/>
                    <w:rPr>
                      <w:rFonts w:hint="default" w:cs="Times New Roman"/>
                      <w:lang w:val="en-US" w:eastAsia="zh-CN"/>
                    </w:rPr>
                  </w:pPr>
                  <w:r>
                    <w:rPr>
                      <w:rFonts w:hint="eastAsia" w:cs="Times New Roman"/>
                      <w:lang w:val="en-US" w:eastAsia="zh-CN"/>
                    </w:rPr>
                    <w:t>扩建</w:t>
                  </w:r>
                </w:p>
              </w:tc>
            </w:tr>
            <w:tr w14:paraId="5721B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jc w:val="center"/>
              </w:trPr>
              <w:tc>
                <w:tcPr>
                  <w:tcW w:w="382" w:type="pct"/>
                  <w:vMerge w:val="continue"/>
                  <w:vAlign w:val="center"/>
                </w:tcPr>
                <w:p w14:paraId="7A01BDE8">
                  <w:pPr>
                    <w:pStyle w:val="12"/>
                    <w:spacing w:line="240" w:lineRule="auto"/>
                    <w:rPr>
                      <w:rFonts w:cs="Times New Roman"/>
                    </w:rPr>
                  </w:pPr>
                </w:p>
              </w:tc>
              <w:tc>
                <w:tcPr>
                  <w:tcW w:w="383" w:type="pct"/>
                  <w:vMerge w:val="continue"/>
                  <w:vAlign w:val="center"/>
                </w:tcPr>
                <w:p w14:paraId="6E88034B">
                  <w:pPr>
                    <w:pStyle w:val="12"/>
                    <w:spacing w:line="240" w:lineRule="auto"/>
                    <w:rPr>
                      <w:rFonts w:cs="Times New Roman"/>
                    </w:rPr>
                  </w:pPr>
                </w:p>
              </w:tc>
              <w:tc>
                <w:tcPr>
                  <w:tcW w:w="2891" w:type="pct"/>
                  <w:gridSpan w:val="2"/>
                  <w:vAlign w:val="center"/>
                </w:tcPr>
                <w:p w14:paraId="7D7715A8">
                  <w:pPr>
                    <w:pStyle w:val="12"/>
                    <w:spacing w:line="240" w:lineRule="auto"/>
                    <w:jc w:val="left"/>
                    <w:rPr>
                      <w:rFonts w:hint="default" w:cs="Times New Roman"/>
                      <w:vertAlign w:val="baseline"/>
                      <w:lang w:val="en-US" w:eastAsia="zh-CN"/>
                    </w:rPr>
                  </w:pPr>
                  <w:r>
                    <w:rPr>
                      <w:rFonts w:hint="eastAsia" w:cs="Times New Roman"/>
                      <w:lang w:val="en-US" w:eastAsia="zh-CN"/>
                    </w:rPr>
                    <w:t>煅烧生产线：1条，位于厂房内东南侧，占地面积约550m</w:t>
                  </w:r>
                  <w:r>
                    <w:rPr>
                      <w:rFonts w:hint="eastAsia" w:cs="Times New Roman"/>
                      <w:vertAlign w:val="superscript"/>
                      <w:lang w:val="en-US" w:eastAsia="zh-CN"/>
                    </w:rPr>
                    <w:t>2</w:t>
                  </w:r>
                  <w:r>
                    <w:rPr>
                      <w:rFonts w:hint="eastAsia" w:cs="Times New Roman"/>
                      <w:lang w:val="en-US" w:eastAsia="zh-CN"/>
                    </w:rPr>
                    <w:t>；设置1台煅烧回转窑及配套进料、环保设施，采用天然气为能源；煅烧干水基岩屑，生产水稳层骨料。</w:t>
                  </w:r>
                </w:p>
              </w:tc>
              <w:tc>
                <w:tcPr>
                  <w:tcW w:w="490" w:type="pct"/>
                  <w:vMerge w:val="continue"/>
                  <w:vAlign w:val="center"/>
                </w:tcPr>
                <w:p w14:paraId="0BA11A54">
                  <w:pPr>
                    <w:pStyle w:val="12"/>
                    <w:spacing w:line="240" w:lineRule="auto"/>
                    <w:rPr>
                      <w:rFonts w:cs="Times New Roman"/>
                    </w:rPr>
                  </w:pPr>
                </w:p>
              </w:tc>
              <w:tc>
                <w:tcPr>
                  <w:tcW w:w="498" w:type="pct"/>
                  <w:vAlign w:val="center"/>
                </w:tcPr>
                <w:p w14:paraId="2318E632">
                  <w:pPr>
                    <w:pStyle w:val="12"/>
                    <w:spacing w:line="240" w:lineRule="auto"/>
                    <w:rPr>
                      <w:rFonts w:hint="default" w:eastAsia="宋体" w:cs="Times New Roman"/>
                      <w:lang w:val="en-US" w:eastAsia="zh-CN"/>
                    </w:rPr>
                  </w:pPr>
                  <w:r>
                    <w:rPr>
                      <w:rFonts w:hint="eastAsia" w:cs="Times New Roman"/>
                      <w:lang w:val="en-US" w:eastAsia="zh-CN"/>
                    </w:rPr>
                    <w:t>臭气浓度、煅烧废气、固废、噪声</w:t>
                  </w:r>
                </w:p>
              </w:tc>
              <w:tc>
                <w:tcPr>
                  <w:tcW w:w="354" w:type="pct"/>
                  <w:vAlign w:val="center"/>
                </w:tcPr>
                <w:p w14:paraId="4FF571E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cs="Times New Roman"/>
                      <w:sz w:val="21"/>
                      <w:szCs w:val="20"/>
                      <w:lang w:val="en-US" w:eastAsia="zh-CN"/>
                    </w:rPr>
                  </w:pPr>
                  <w:r>
                    <w:rPr>
                      <w:rFonts w:hint="eastAsia" w:cs="Times New Roman"/>
                      <w:sz w:val="21"/>
                      <w:szCs w:val="20"/>
                      <w:lang w:val="en-US" w:eastAsia="zh-CN"/>
                    </w:rPr>
                    <w:t>扩建</w:t>
                  </w:r>
                </w:p>
              </w:tc>
            </w:tr>
            <w:tr w14:paraId="23E15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jc w:val="center"/>
              </w:trPr>
              <w:tc>
                <w:tcPr>
                  <w:tcW w:w="382" w:type="pct"/>
                  <w:vMerge w:val="continue"/>
                  <w:vAlign w:val="center"/>
                </w:tcPr>
                <w:p w14:paraId="4831C1A1">
                  <w:pPr>
                    <w:pStyle w:val="12"/>
                    <w:spacing w:line="240" w:lineRule="auto"/>
                    <w:rPr>
                      <w:rFonts w:cs="Times New Roman"/>
                    </w:rPr>
                  </w:pPr>
                </w:p>
              </w:tc>
              <w:tc>
                <w:tcPr>
                  <w:tcW w:w="383" w:type="pct"/>
                  <w:vMerge w:val="continue"/>
                  <w:vAlign w:val="center"/>
                </w:tcPr>
                <w:p w14:paraId="2BFDDEB8">
                  <w:pPr>
                    <w:pStyle w:val="12"/>
                    <w:spacing w:line="240" w:lineRule="auto"/>
                    <w:rPr>
                      <w:rFonts w:cs="Times New Roman"/>
                    </w:rPr>
                  </w:pPr>
                </w:p>
              </w:tc>
              <w:tc>
                <w:tcPr>
                  <w:tcW w:w="2891" w:type="pct"/>
                  <w:gridSpan w:val="2"/>
                  <w:vAlign w:val="center"/>
                </w:tcPr>
                <w:p w14:paraId="48591976">
                  <w:pPr>
                    <w:pStyle w:val="12"/>
                    <w:spacing w:line="240" w:lineRule="auto"/>
                    <w:ind w:firstLine="0" w:firstLineChars="0"/>
                    <w:jc w:val="left"/>
                    <w:rPr>
                      <w:rFonts w:hint="default" w:ascii="Times New Roman" w:hAnsi="Times New Roman" w:cs="Times New Roman"/>
                      <w:lang w:val="en-US" w:eastAsia="zh-CN"/>
                    </w:rPr>
                  </w:pPr>
                  <w:r>
                    <w:rPr>
                      <w:rFonts w:hint="eastAsia" w:cs="Times New Roman"/>
                      <w:lang w:val="en-US" w:eastAsia="zh-CN"/>
                    </w:rPr>
                    <w:t>水基岩屑</w:t>
                  </w:r>
                  <w:r>
                    <w:rPr>
                      <w:rFonts w:hint="default" w:ascii="Times New Roman" w:hAnsi="Times New Roman" w:cs="Times New Roman"/>
                      <w:lang w:val="en-US" w:eastAsia="zh-CN"/>
                    </w:rPr>
                    <w:t>储存池：1座，4格，地埋式钢砼池体，位于厂房</w:t>
                  </w:r>
                  <w:r>
                    <w:rPr>
                      <w:rFonts w:hint="eastAsia" w:cs="Times New Roman"/>
                      <w:lang w:val="en-US" w:eastAsia="zh-CN"/>
                    </w:rPr>
                    <w:t>北</w:t>
                  </w:r>
                  <w:r>
                    <w:rPr>
                      <w:rFonts w:hint="default" w:ascii="Times New Roman" w:hAnsi="Times New Roman" w:cs="Times New Roman"/>
                      <w:lang w:val="en-US" w:eastAsia="zh-CN"/>
                    </w:rPr>
                    <w:t>侧，尺寸为：85.3×17.5×4m（长×宽×深），有效容积约5900m</w:t>
                  </w:r>
                  <w:r>
                    <w:rPr>
                      <w:rFonts w:hint="default" w:ascii="Times New Roman" w:hAnsi="Times New Roman" w:cs="Times New Roman"/>
                      <w:vertAlign w:val="superscript"/>
                      <w:lang w:val="en-US" w:eastAsia="zh-CN"/>
                    </w:rPr>
                    <w:t>3</w:t>
                  </w:r>
                  <w:r>
                    <w:rPr>
                      <w:rFonts w:hint="default" w:ascii="Times New Roman" w:hAnsi="Times New Roman" w:cs="Times New Roman"/>
                      <w:lang w:val="en-US" w:eastAsia="zh-CN"/>
                    </w:rPr>
                    <w:t>。</w:t>
                  </w:r>
                </w:p>
                <w:p w14:paraId="60CF8928">
                  <w:pPr>
                    <w:pStyle w:val="12"/>
                    <w:spacing w:line="240" w:lineRule="auto"/>
                    <w:ind w:firstLine="0" w:firstLineChars="0"/>
                    <w:jc w:val="left"/>
                    <w:rPr>
                      <w:rFonts w:hint="default" w:ascii="Times New Roman" w:hAnsi="Times New Roman" w:cs="Times New Roman"/>
                      <w:lang w:val="en-US" w:eastAsia="zh-CN"/>
                    </w:rPr>
                  </w:pPr>
                  <w:r>
                    <w:rPr>
                      <w:rFonts w:hint="default" w:ascii="Times New Roman" w:hAnsi="Times New Roman" w:cs="Times New Roman"/>
                      <w:lang w:val="en-US" w:eastAsia="zh-CN"/>
                    </w:rPr>
                    <w:t>池体共分为4格，其中2格用于储存平均含水率为80%的水基岩屑，这2格合计尺寸为69.3×17.5×4m（长×宽×深），有效容积约4800m</w:t>
                  </w:r>
                  <w:r>
                    <w:rPr>
                      <w:rFonts w:hint="default" w:ascii="Times New Roman" w:hAnsi="Times New Roman" w:cs="Times New Roman"/>
                      <w:vertAlign w:val="superscript"/>
                      <w:lang w:val="en-US" w:eastAsia="zh-CN"/>
                    </w:rPr>
                    <w:t>3</w:t>
                  </w:r>
                  <w:r>
                    <w:rPr>
                      <w:rFonts w:hint="default" w:ascii="Times New Roman" w:hAnsi="Times New Roman" w:cs="Times New Roman"/>
                      <w:lang w:val="en-US" w:eastAsia="zh-CN"/>
                    </w:rPr>
                    <w:t>。</w:t>
                  </w:r>
                </w:p>
                <w:p w14:paraId="6D2DE631">
                  <w:pPr>
                    <w:pStyle w:val="12"/>
                    <w:spacing w:line="240" w:lineRule="auto"/>
                    <w:ind w:firstLine="0" w:firstLineChars="0"/>
                    <w:jc w:val="left"/>
                    <w:rPr>
                      <w:rFonts w:hint="default"/>
                      <w:lang w:val="en-US" w:eastAsia="zh-CN"/>
                    </w:rPr>
                  </w:pPr>
                  <w:r>
                    <w:rPr>
                      <w:rFonts w:hint="default" w:ascii="Times New Roman" w:hAnsi="Times New Roman" w:cs="Times New Roman"/>
                      <w:lang w:val="en-US" w:eastAsia="zh-CN"/>
                    </w:rPr>
                    <w:t>其余两格用于储存水基岩屑预处理压滤产生的压滤废水，这两格2格合计尺寸为16×17.5×4m（长×宽×深），有效容积</w:t>
                  </w:r>
                  <w:r>
                    <w:rPr>
                      <w:rFonts w:hint="eastAsia" w:cs="Times New Roman"/>
                      <w:lang w:val="en-US" w:eastAsia="zh-CN"/>
                    </w:rPr>
                    <w:t>约1100m</w:t>
                  </w:r>
                  <w:r>
                    <w:rPr>
                      <w:rFonts w:hint="eastAsia" w:cs="Times New Roman"/>
                      <w:vertAlign w:val="superscript"/>
                      <w:lang w:val="en-US" w:eastAsia="zh-CN"/>
                    </w:rPr>
                    <w:t>3</w:t>
                  </w:r>
                  <w:r>
                    <w:rPr>
                      <w:rFonts w:hint="eastAsia" w:cs="Times New Roman"/>
                      <w:lang w:val="en-US" w:eastAsia="zh-CN"/>
                    </w:rPr>
                    <w:t>。</w:t>
                  </w:r>
                </w:p>
              </w:tc>
              <w:tc>
                <w:tcPr>
                  <w:tcW w:w="490" w:type="pct"/>
                  <w:vMerge w:val="continue"/>
                  <w:vAlign w:val="center"/>
                </w:tcPr>
                <w:p w14:paraId="26EDE8FC">
                  <w:pPr>
                    <w:pStyle w:val="12"/>
                    <w:spacing w:line="240" w:lineRule="auto"/>
                    <w:rPr>
                      <w:rFonts w:cs="Times New Roman"/>
                    </w:rPr>
                  </w:pPr>
                </w:p>
              </w:tc>
              <w:tc>
                <w:tcPr>
                  <w:tcW w:w="498" w:type="pct"/>
                  <w:vAlign w:val="center"/>
                </w:tcPr>
                <w:p w14:paraId="6FDCC3A9">
                  <w:pPr>
                    <w:pStyle w:val="12"/>
                    <w:spacing w:line="240" w:lineRule="auto"/>
                    <w:rPr>
                      <w:rFonts w:hint="eastAsia" w:eastAsia="宋体" w:cs="Times New Roman"/>
                      <w:lang w:val="en-US" w:eastAsia="zh-CN"/>
                    </w:rPr>
                  </w:pPr>
                  <w:r>
                    <w:rPr>
                      <w:rFonts w:hint="eastAsia" w:cs="Times New Roman"/>
                      <w:lang w:val="en-US" w:eastAsia="zh-CN"/>
                    </w:rPr>
                    <w:t>臭气浓度、废水、噪声</w:t>
                  </w:r>
                </w:p>
              </w:tc>
              <w:tc>
                <w:tcPr>
                  <w:tcW w:w="354" w:type="pct"/>
                  <w:vAlign w:val="center"/>
                </w:tcPr>
                <w:p w14:paraId="394925C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cs="Times New Roman"/>
                      <w:sz w:val="21"/>
                      <w:szCs w:val="20"/>
                      <w:lang w:val="en-US" w:eastAsia="zh-CN"/>
                    </w:rPr>
                  </w:pPr>
                  <w:r>
                    <w:rPr>
                      <w:rFonts w:hint="eastAsia" w:cs="Times New Roman"/>
                      <w:sz w:val="21"/>
                      <w:szCs w:val="20"/>
                      <w:lang w:val="en-US" w:eastAsia="zh-CN"/>
                    </w:rPr>
                    <w:t>扩建</w:t>
                  </w:r>
                </w:p>
              </w:tc>
            </w:tr>
            <w:tr w14:paraId="0814A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jc w:val="center"/>
              </w:trPr>
              <w:tc>
                <w:tcPr>
                  <w:tcW w:w="382" w:type="pct"/>
                  <w:vMerge w:val="continue"/>
                  <w:vAlign w:val="center"/>
                </w:tcPr>
                <w:p w14:paraId="14B39D49">
                  <w:pPr>
                    <w:pStyle w:val="12"/>
                    <w:spacing w:line="240" w:lineRule="auto"/>
                    <w:rPr>
                      <w:rFonts w:cs="Times New Roman"/>
                    </w:rPr>
                  </w:pPr>
                </w:p>
              </w:tc>
              <w:tc>
                <w:tcPr>
                  <w:tcW w:w="383" w:type="pct"/>
                  <w:vMerge w:val="continue"/>
                  <w:vAlign w:val="center"/>
                </w:tcPr>
                <w:p w14:paraId="21071133">
                  <w:pPr>
                    <w:pStyle w:val="12"/>
                    <w:spacing w:line="240" w:lineRule="auto"/>
                    <w:rPr>
                      <w:rFonts w:cs="Times New Roman"/>
                    </w:rPr>
                  </w:pPr>
                </w:p>
              </w:tc>
              <w:tc>
                <w:tcPr>
                  <w:tcW w:w="2891" w:type="pct"/>
                  <w:gridSpan w:val="2"/>
                  <w:vAlign w:val="center"/>
                </w:tcPr>
                <w:p w14:paraId="7EEA7886">
                  <w:pPr>
                    <w:pStyle w:val="12"/>
                    <w:spacing w:line="240" w:lineRule="auto"/>
                    <w:jc w:val="left"/>
                    <w:rPr>
                      <w:rFonts w:hint="default" w:cs="Times New Roman"/>
                      <w:vertAlign w:val="baseline"/>
                      <w:lang w:val="en-US" w:eastAsia="zh-CN"/>
                    </w:rPr>
                  </w:pPr>
                  <w:r>
                    <w:rPr>
                      <w:rFonts w:hint="eastAsia" w:cs="Times New Roman"/>
                      <w:lang w:val="en-US" w:eastAsia="zh-CN"/>
                    </w:rPr>
                    <w:t>水基岩屑预处理系统：1套，位于厂房内东北侧，占地面积约350m</w:t>
                  </w:r>
                  <w:r>
                    <w:rPr>
                      <w:rFonts w:hint="eastAsia" w:cs="Times New Roman"/>
                      <w:vertAlign w:val="superscript"/>
                      <w:lang w:val="en-US" w:eastAsia="zh-CN"/>
                    </w:rPr>
                    <w:t>2</w:t>
                  </w:r>
                  <w:r>
                    <w:rPr>
                      <w:rFonts w:hint="eastAsia" w:cs="Times New Roman"/>
                      <w:lang w:val="en-US" w:eastAsia="zh-CN"/>
                    </w:rPr>
                    <w:t>；共设置1个搅拌罐、1台高压压滤机及配套设备（泵、管线等）；用于预处理80%含水率的湿水基岩屑，投加絮凝剂（氧化钙、硫酸亚铁），与水基岩屑搅拌混合后，通过高压压滤机将水基岩屑含水率降至35%以下；预处理能力800t/d。</w:t>
                  </w:r>
                </w:p>
              </w:tc>
              <w:tc>
                <w:tcPr>
                  <w:tcW w:w="490" w:type="pct"/>
                  <w:vMerge w:val="continue"/>
                  <w:vAlign w:val="center"/>
                </w:tcPr>
                <w:p w14:paraId="1457388C">
                  <w:pPr>
                    <w:pStyle w:val="12"/>
                    <w:spacing w:line="240" w:lineRule="auto"/>
                    <w:rPr>
                      <w:rFonts w:cs="Times New Roman"/>
                    </w:rPr>
                  </w:pPr>
                </w:p>
              </w:tc>
              <w:tc>
                <w:tcPr>
                  <w:tcW w:w="498" w:type="pct"/>
                  <w:vAlign w:val="center"/>
                </w:tcPr>
                <w:p w14:paraId="55EA3ECC">
                  <w:pPr>
                    <w:pStyle w:val="12"/>
                    <w:spacing w:line="240" w:lineRule="auto"/>
                    <w:rPr>
                      <w:rFonts w:hint="default" w:eastAsia="宋体" w:cs="Times New Roman"/>
                      <w:lang w:val="en-US" w:eastAsia="zh-CN"/>
                    </w:rPr>
                  </w:pPr>
                  <w:r>
                    <w:rPr>
                      <w:rFonts w:hint="eastAsia" w:cs="Times New Roman"/>
                      <w:lang w:val="en-US" w:eastAsia="zh-CN"/>
                    </w:rPr>
                    <w:t>臭气浓度、废水、固废、噪声</w:t>
                  </w:r>
                </w:p>
              </w:tc>
              <w:tc>
                <w:tcPr>
                  <w:tcW w:w="354" w:type="pct"/>
                  <w:vAlign w:val="center"/>
                </w:tcPr>
                <w:p w14:paraId="757EB41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cs="Times New Roman"/>
                      <w:sz w:val="21"/>
                      <w:szCs w:val="20"/>
                      <w:lang w:val="en-US" w:eastAsia="zh-CN"/>
                    </w:rPr>
                  </w:pPr>
                  <w:r>
                    <w:rPr>
                      <w:rFonts w:hint="eastAsia" w:cs="Times New Roman"/>
                      <w:sz w:val="21"/>
                      <w:szCs w:val="20"/>
                      <w:lang w:val="en-US" w:eastAsia="zh-CN"/>
                    </w:rPr>
                    <w:t>扩建</w:t>
                  </w:r>
                </w:p>
              </w:tc>
            </w:tr>
            <w:tr w14:paraId="70130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jc w:val="center"/>
              </w:trPr>
              <w:tc>
                <w:tcPr>
                  <w:tcW w:w="382" w:type="pct"/>
                  <w:vMerge w:val="continue"/>
                  <w:vAlign w:val="center"/>
                </w:tcPr>
                <w:p w14:paraId="247AE6AE">
                  <w:pPr>
                    <w:pStyle w:val="12"/>
                    <w:spacing w:line="240" w:lineRule="auto"/>
                    <w:rPr>
                      <w:rFonts w:cs="Times New Roman"/>
                    </w:rPr>
                  </w:pPr>
                </w:p>
              </w:tc>
              <w:tc>
                <w:tcPr>
                  <w:tcW w:w="383" w:type="pct"/>
                  <w:vMerge w:val="restart"/>
                  <w:vAlign w:val="center"/>
                </w:tcPr>
                <w:p w14:paraId="31AA0753">
                  <w:pPr>
                    <w:pStyle w:val="12"/>
                    <w:spacing w:line="240" w:lineRule="auto"/>
                    <w:rPr>
                      <w:rFonts w:hint="default" w:eastAsia="宋体" w:cs="Times New Roman"/>
                      <w:lang w:val="en-US" w:eastAsia="zh-CN"/>
                    </w:rPr>
                  </w:pPr>
                  <w:r>
                    <w:rPr>
                      <w:rFonts w:hint="eastAsia" w:cs="Times New Roman"/>
                      <w:lang w:val="en-US" w:eastAsia="zh-CN"/>
                    </w:rPr>
                    <w:t>3号厂房</w:t>
                  </w:r>
                </w:p>
              </w:tc>
              <w:tc>
                <w:tcPr>
                  <w:tcW w:w="2891" w:type="pct"/>
                  <w:gridSpan w:val="2"/>
                  <w:shd w:val="clear" w:color="auto" w:fill="auto"/>
                  <w:vAlign w:val="center"/>
                </w:tcPr>
                <w:p w14:paraId="26DE7DB0">
                  <w:pPr>
                    <w:pStyle w:val="12"/>
                    <w:spacing w:line="240" w:lineRule="auto"/>
                    <w:ind w:firstLine="0" w:firstLineChars="0"/>
                    <w:jc w:val="left"/>
                    <w:rPr>
                      <w:rFonts w:hint="eastAsia" w:ascii="Times New Roman" w:hAnsi="Times New Roman" w:eastAsia="宋体" w:cs="Times New Roman"/>
                      <w:b w:val="0"/>
                      <w:bCs/>
                      <w:kern w:val="0"/>
                      <w:sz w:val="21"/>
                      <w:szCs w:val="24"/>
                      <w:vertAlign w:val="baseline"/>
                      <w:lang w:val="en-US" w:eastAsia="zh-CN" w:bidi="ar-SA"/>
                    </w:rPr>
                  </w:pPr>
                  <w:r>
                    <w:rPr>
                      <w:rFonts w:hint="eastAsia" w:cs="Times New Roman"/>
                      <w:lang w:val="en-US" w:eastAsia="zh-CN"/>
                    </w:rPr>
                    <w:t>1栋，1F，建筑面积</w:t>
                  </w:r>
                  <w:r>
                    <w:rPr>
                      <w:rFonts w:hint="eastAsia" w:cs="Times New Roman"/>
                      <w:color w:val="000000" w:themeColor="text1"/>
                      <w:lang w:val="en-US" w:eastAsia="zh-CN"/>
                      <w14:textFill>
                        <w14:solidFill>
                          <w14:schemeClr w14:val="tx1"/>
                        </w14:solidFill>
                      </w14:textFill>
                    </w:rPr>
                    <w:t>2197</w:t>
                  </w:r>
                  <w:r>
                    <w:rPr>
                      <w:rFonts w:hint="eastAsia" w:cs="Times New Roman"/>
                      <w:lang w:val="en-US" w:eastAsia="zh-CN"/>
                    </w:rPr>
                    <w:t>m</w:t>
                  </w:r>
                  <w:r>
                    <w:rPr>
                      <w:rFonts w:hint="eastAsia" w:cs="Times New Roman"/>
                      <w:vertAlign w:val="superscript"/>
                      <w:lang w:val="en-US" w:eastAsia="zh-CN"/>
                    </w:rPr>
                    <w:t>2</w:t>
                  </w:r>
                  <w:r>
                    <w:rPr>
                      <w:rFonts w:hint="eastAsia" w:cs="Times New Roman"/>
                      <w:lang w:val="en-US" w:eastAsia="zh-CN"/>
                    </w:rPr>
                    <w:t>，租用已建成厂房进行适应性改造。厂房内设置免烧建筑基材生产线1条（含蒸养区、1个水泥筒仓）、水稳层骨料仓1个、砂石堆放区1处</w:t>
                  </w:r>
                  <w:r>
                    <w:rPr>
                      <w:rFonts w:hint="eastAsia" w:cs="Times New Roman"/>
                      <w:color w:val="000000" w:themeColor="text1"/>
                      <w:lang w:val="en-US" w:eastAsia="zh-CN"/>
                      <w14:textFill>
                        <w14:solidFill>
                          <w14:schemeClr w14:val="tx1"/>
                        </w14:solidFill>
                      </w14:textFill>
                    </w:rPr>
                    <w:t>、药剂堆存区1处。设置工具间、磅房等共2间。设置危废暂存间1间、一般固废暂存间1间</w:t>
                  </w:r>
                  <w:r>
                    <w:rPr>
                      <w:rFonts w:hint="eastAsia" w:cs="Times New Roman"/>
                      <w:lang w:val="en-US" w:eastAsia="zh-CN"/>
                    </w:rPr>
                    <w:t>。</w:t>
                  </w:r>
                </w:p>
              </w:tc>
              <w:tc>
                <w:tcPr>
                  <w:tcW w:w="490" w:type="pct"/>
                  <w:vMerge w:val="continue"/>
                  <w:vAlign w:val="center"/>
                </w:tcPr>
                <w:p w14:paraId="3AED8AD6">
                  <w:pPr>
                    <w:pStyle w:val="12"/>
                    <w:spacing w:line="240" w:lineRule="auto"/>
                    <w:rPr>
                      <w:rFonts w:cs="Times New Roman"/>
                    </w:rPr>
                  </w:pPr>
                </w:p>
              </w:tc>
              <w:tc>
                <w:tcPr>
                  <w:tcW w:w="498" w:type="pct"/>
                  <w:shd w:val="clear" w:color="auto" w:fill="auto"/>
                  <w:vAlign w:val="center"/>
                </w:tcPr>
                <w:p w14:paraId="286522D4">
                  <w:pPr>
                    <w:pStyle w:val="12"/>
                    <w:spacing w:line="240" w:lineRule="auto"/>
                    <w:ind w:firstLine="0" w:firstLineChars="0"/>
                    <w:rPr>
                      <w:rFonts w:hint="eastAsia" w:ascii="Times New Roman" w:hAnsi="Times New Roman" w:eastAsia="宋体" w:cs="Times New Roman"/>
                      <w:b w:val="0"/>
                      <w:bCs/>
                      <w:kern w:val="0"/>
                      <w:sz w:val="21"/>
                      <w:szCs w:val="24"/>
                      <w:lang w:val="en-US" w:eastAsia="zh-CN" w:bidi="ar-SA"/>
                    </w:rPr>
                  </w:pPr>
                  <w:r>
                    <w:rPr>
                      <w:rFonts w:hint="eastAsia" w:cs="Times New Roman"/>
                      <w:lang w:val="en-US" w:eastAsia="zh-CN"/>
                    </w:rPr>
                    <w:t>/</w:t>
                  </w:r>
                </w:p>
              </w:tc>
              <w:tc>
                <w:tcPr>
                  <w:tcW w:w="354" w:type="pct"/>
                  <w:shd w:val="clear" w:color="auto" w:fill="auto"/>
                  <w:vAlign w:val="center"/>
                </w:tcPr>
                <w:p w14:paraId="71C77180">
                  <w:pPr>
                    <w:pStyle w:val="12"/>
                    <w:spacing w:line="240" w:lineRule="auto"/>
                    <w:ind w:firstLine="0" w:firstLineChars="0"/>
                    <w:rPr>
                      <w:rFonts w:hint="default" w:ascii="Times New Roman" w:hAnsi="Times New Roman" w:eastAsia="宋体" w:cs="Times New Roman"/>
                      <w:b w:val="0"/>
                      <w:bCs/>
                      <w:kern w:val="0"/>
                      <w:sz w:val="21"/>
                      <w:szCs w:val="24"/>
                      <w:lang w:val="en-US" w:eastAsia="zh-CN" w:bidi="ar-SA"/>
                    </w:rPr>
                  </w:pPr>
                  <w:r>
                    <w:rPr>
                      <w:rFonts w:hint="eastAsia" w:cs="Times New Roman"/>
                      <w:lang w:val="en-US" w:eastAsia="zh-CN"/>
                    </w:rPr>
                    <w:t>新建</w:t>
                  </w:r>
                </w:p>
              </w:tc>
            </w:tr>
            <w:tr w14:paraId="0FEFB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jc w:val="center"/>
              </w:trPr>
              <w:tc>
                <w:tcPr>
                  <w:tcW w:w="382" w:type="pct"/>
                  <w:vMerge w:val="continue"/>
                  <w:vAlign w:val="center"/>
                </w:tcPr>
                <w:p w14:paraId="22F92BB7">
                  <w:pPr>
                    <w:pStyle w:val="12"/>
                    <w:spacing w:line="240" w:lineRule="auto"/>
                    <w:rPr>
                      <w:rFonts w:cs="Times New Roman"/>
                    </w:rPr>
                  </w:pPr>
                </w:p>
              </w:tc>
              <w:tc>
                <w:tcPr>
                  <w:tcW w:w="383" w:type="pct"/>
                  <w:vMerge w:val="continue"/>
                  <w:vAlign w:val="center"/>
                </w:tcPr>
                <w:p w14:paraId="2574DE7F">
                  <w:pPr>
                    <w:pStyle w:val="12"/>
                    <w:spacing w:line="240" w:lineRule="auto"/>
                    <w:rPr>
                      <w:rFonts w:hint="eastAsia" w:eastAsia="宋体" w:cs="Times New Roman"/>
                      <w:lang w:val="en-US" w:eastAsia="zh-CN"/>
                    </w:rPr>
                  </w:pPr>
                </w:p>
              </w:tc>
              <w:tc>
                <w:tcPr>
                  <w:tcW w:w="2891" w:type="pct"/>
                  <w:gridSpan w:val="2"/>
                  <w:shd w:val="clear" w:color="auto" w:fill="auto"/>
                  <w:vAlign w:val="center"/>
                </w:tcPr>
                <w:p w14:paraId="50E893FD">
                  <w:pPr>
                    <w:pStyle w:val="12"/>
                    <w:spacing w:line="240" w:lineRule="auto"/>
                    <w:jc w:val="left"/>
                    <w:rPr>
                      <w:rFonts w:hint="eastAsia" w:cs="Times New Roman"/>
                      <w:lang w:val="en-US" w:eastAsia="zh-CN"/>
                    </w:rPr>
                  </w:pPr>
                  <w:r>
                    <w:rPr>
                      <w:rFonts w:hint="eastAsia" w:cs="Times New Roman"/>
                      <w:lang w:val="en-US" w:eastAsia="zh-CN"/>
                    </w:rPr>
                    <w:t>免烧建筑基材生产线：1条，设置于厂房内东部，占地面积约1500m</w:t>
                  </w:r>
                  <w:r>
                    <w:rPr>
                      <w:rFonts w:hint="eastAsia" w:cs="Times New Roman"/>
                      <w:vertAlign w:val="superscript"/>
                      <w:lang w:val="en-US" w:eastAsia="zh-CN"/>
                    </w:rPr>
                    <w:t>2</w:t>
                  </w:r>
                  <w:r>
                    <w:rPr>
                      <w:rFonts w:hint="eastAsia" w:cs="Times New Roman"/>
                      <w:lang w:val="en-US" w:eastAsia="zh-CN"/>
                    </w:rPr>
                    <w:t>。设置配料仓、轮辊机、搅拌机、静压机、油冷机、出砖机、叠板机、蒸养箱、电加热蒸汽发生器等设备。采用水稳层骨料，添加水泥、砂、碎石、固化剂、水，制作免烧砌块，生产能力1200t/d。</w:t>
                  </w:r>
                </w:p>
                <w:p w14:paraId="43857A60">
                  <w:pPr>
                    <w:pStyle w:val="12"/>
                    <w:spacing w:line="240" w:lineRule="auto"/>
                    <w:ind w:firstLine="0" w:firstLineChars="0"/>
                    <w:jc w:val="left"/>
                    <w:rPr>
                      <w:rFonts w:hint="eastAsia" w:ascii="Times New Roman" w:hAnsi="Times New Roman" w:eastAsia="宋体" w:cs="黑体"/>
                      <w:b w:val="0"/>
                      <w:bCs/>
                      <w:kern w:val="0"/>
                      <w:sz w:val="21"/>
                      <w:szCs w:val="24"/>
                      <w:lang w:val="en-US" w:eastAsia="zh-CN" w:bidi="ar-SA"/>
                    </w:rPr>
                  </w:pPr>
                  <w:r>
                    <w:rPr>
                      <w:rFonts w:hint="eastAsia"/>
                      <w:lang w:val="en-US" w:eastAsia="zh-CN"/>
                    </w:rPr>
                    <w:t>配套设有1个水泥筒仓，</w:t>
                  </w:r>
                  <w:r>
                    <w:rPr>
                      <w:rFonts w:hint="eastAsia" w:cs="Times New Roman"/>
                      <w:lang w:val="en-US" w:eastAsia="zh-CN"/>
                    </w:rPr>
                    <w:t>钢结构，单个容量200t，顶部自带布袋除尘设施；用于储存水泥原料；配套设置空压机及管线，用于水泥输送。</w:t>
                  </w:r>
                </w:p>
              </w:tc>
              <w:tc>
                <w:tcPr>
                  <w:tcW w:w="490" w:type="pct"/>
                  <w:vMerge w:val="continue"/>
                  <w:vAlign w:val="center"/>
                </w:tcPr>
                <w:p w14:paraId="4357C21F">
                  <w:pPr>
                    <w:pStyle w:val="12"/>
                    <w:spacing w:line="240" w:lineRule="auto"/>
                    <w:rPr>
                      <w:rFonts w:cs="Times New Roman"/>
                    </w:rPr>
                  </w:pPr>
                </w:p>
              </w:tc>
              <w:tc>
                <w:tcPr>
                  <w:tcW w:w="498" w:type="pct"/>
                  <w:shd w:val="clear" w:color="auto" w:fill="auto"/>
                  <w:vAlign w:val="center"/>
                </w:tcPr>
                <w:p w14:paraId="7E6FFD38">
                  <w:pPr>
                    <w:pStyle w:val="12"/>
                    <w:spacing w:line="240" w:lineRule="auto"/>
                    <w:ind w:firstLine="0" w:firstLineChars="0"/>
                    <w:rPr>
                      <w:rFonts w:hint="default" w:ascii="Times New Roman" w:hAnsi="Times New Roman" w:eastAsia="宋体" w:cs="Times New Roman"/>
                      <w:b w:val="0"/>
                      <w:bCs/>
                      <w:kern w:val="0"/>
                      <w:sz w:val="21"/>
                      <w:szCs w:val="24"/>
                      <w:lang w:val="en-US" w:eastAsia="zh-CN" w:bidi="ar-SA"/>
                    </w:rPr>
                  </w:pPr>
                  <w:r>
                    <w:rPr>
                      <w:rFonts w:hint="eastAsia" w:cs="Times New Roman"/>
                      <w:lang w:val="en-US" w:eastAsia="zh-CN"/>
                    </w:rPr>
                    <w:t>废气、固废、噪声</w:t>
                  </w:r>
                </w:p>
              </w:tc>
              <w:tc>
                <w:tcPr>
                  <w:tcW w:w="354" w:type="pct"/>
                  <w:shd w:val="clear" w:color="auto" w:fill="auto"/>
                  <w:vAlign w:val="center"/>
                </w:tcPr>
                <w:p w14:paraId="2E5400DD">
                  <w:pPr>
                    <w:pStyle w:val="12"/>
                    <w:spacing w:line="240" w:lineRule="auto"/>
                    <w:ind w:firstLine="0" w:firstLineChars="0"/>
                    <w:rPr>
                      <w:rFonts w:hint="default" w:ascii="Times New Roman" w:hAnsi="Times New Roman" w:eastAsia="宋体" w:cs="Times New Roman"/>
                      <w:b w:val="0"/>
                      <w:bCs/>
                      <w:kern w:val="0"/>
                      <w:sz w:val="21"/>
                      <w:szCs w:val="24"/>
                      <w:lang w:val="en-US" w:eastAsia="zh-CN" w:bidi="ar-SA"/>
                    </w:rPr>
                  </w:pPr>
                  <w:r>
                    <w:rPr>
                      <w:rFonts w:hint="eastAsia" w:cs="Times New Roman"/>
                      <w:lang w:val="en-US" w:eastAsia="zh-CN"/>
                    </w:rPr>
                    <w:t>新建</w:t>
                  </w:r>
                </w:p>
              </w:tc>
            </w:tr>
            <w:tr w14:paraId="6A418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jc w:val="center"/>
              </w:trPr>
              <w:tc>
                <w:tcPr>
                  <w:tcW w:w="382" w:type="pct"/>
                  <w:vMerge w:val="continue"/>
                  <w:vAlign w:val="center"/>
                </w:tcPr>
                <w:p w14:paraId="79219AA5">
                  <w:pPr>
                    <w:pStyle w:val="12"/>
                    <w:spacing w:line="240" w:lineRule="auto"/>
                    <w:rPr>
                      <w:rFonts w:cs="Times New Roman"/>
                    </w:rPr>
                  </w:pPr>
                </w:p>
              </w:tc>
              <w:tc>
                <w:tcPr>
                  <w:tcW w:w="383" w:type="pct"/>
                  <w:vMerge w:val="continue"/>
                  <w:vAlign w:val="center"/>
                </w:tcPr>
                <w:p w14:paraId="1950EB03">
                  <w:pPr>
                    <w:pStyle w:val="12"/>
                    <w:spacing w:line="240" w:lineRule="auto"/>
                    <w:rPr>
                      <w:rFonts w:cs="Times New Roman"/>
                    </w:rPr>
                  </w:pPr>
                </w:p>
              </w:tc>
              <w:tc>
                <w:tcPr>
                  <w:tcW w:w="2891" w:type="pct"/>
                  <w:gridSpan w:val="2"/>
                  <w:shd w:val="clear" w:color="auto" w:fill="auto"/>
                  <w:vAlign w:val="center"/>
                </w:tcPr>
                <w:p w14:paraId="6DAA8304">
                  <w:pPr>
                    <w:pStyle w:val="12"/>
                    <w:spacing w:line="240" w:lineRule="auto"/>
                    <w:ind w:firstLine="0" w:firstLineChars="0"/>
                    <w:jc w:val="left"/>
                    <w:rPr>
                      <w:rFonts w:hint="default" w:ascii="Times New Roman" w:hAnsi="Times New Roman" w:eastAsia="宋体" w:cs="Times New Roman"/>
                      <w:b w:val="0"/>
                      <w:bCs/>
                      <w:kern w:val="0"/>
                      <w:sz w:val="21"/>
                      <w:szCs w:val="24"/>
                      <w:vertAlign w:val="baseline"/>
                      <w:lang w:val="en-US" w:eastAsia="zh-CN" w:bidi="ar-SA"/>
                    </w:rPr>
                  </w:pPr>
                  <w:r>
                    <w:rPr>
                      <w:rFonts w:hint="eastAsia" w:cs="Times New Roman"/>
                      <w:lang w:val="en-US" w:eastAsia="zh-CN"/>
                    </w:rPr>
                    <w:t>水稳层骨料仓：1个，位于厂房西侧，钢制立式仓，有效容积约800m</w:t>
                  </w:r>
                  <w:r>
                    <w:rPr>
                      <w:rFonts w:hint="eastAsia" w:cs="Times New Roman"/>
                      <w:vertAlign w:val="superscript"/>
                      <w:lang w:val="en-US" w:eastAsia="zh-CN"/>
                    </w:rPr>
                    <w:t>3</w:t>
                  </w:r>
                  <w:r>
                    <w:rPr>
                      <w:rFonts w:hint="eastAsia" w:cs="Times New Roman"/>
                      <w:lang w:val="en-US" w:eastAsia="zh-CN"/>
                    </w:rPr>
                    <w:t>；堆放暂存煅烧后的中间产物（水稳层骨料）。</w:t>
                  </w:r>
                </w:p>
              </w:tc>
              <w:tc>
                <w:tcPr>
                  <w:tcW w:w="490" w:type="pct"/>
                  <w:vMerge w:val="continue"/>
                  <w:vAlign w:val="center"/>
                </w:tcPr>
                <w:p w14:paraId="1ECD4FDA">
                  <w:pPr>
                    <w:pStyle w:val="12"/>
                    <w:spacing w:line="240" w:lineRule="auto"/>
                    <w:rPr>
                      <w:rFonts w:cs="Times New Roman"/>
                    </w:rPr>
                  </w:pPr>
                </w:p>
              </w:tc>
              <w:tc>
                <w:tcPr>
                  <w:tcW w:w="498" w:type="pct"/>
                  <w:shd w:val="clear" w:color="auto" w:fill="auto"/>
                  <w:vAlign w:val="center"/>
                </w:tcPr>
                <w:p w14:paraId="5030AC62">
                  <w:pPr>
                    <w:pStyle w:val="12"/>
                    <w:spacing w:line="240" w:lineRule="auto"/>
                    <w:ind w:firstLine="0" w:firstLineChars="0"/>
                    <w:rPr>
                      <w:rFonts w:hint="default" w:ascii="Times New Roman" w:hAnsi="Times New Roman" w:eastAsia="宋体" w:cs="Times New Roman"/>
                      <w:b w:val="0"/>
                      <w:bCs/>
                      <w:kern w:val="0"/>
                      <w:sz w:val="21"/>
                      <w:szCs w:val="24"/>
                      <w:lang w:val="en-US" w:eastAsia="zh-CN" w:bidi="ar-SA"/>
                    </w:rPr>
                  </w:pPr>
                  <w:r>
                    <w:rPr>
                      <w:rFonts w:hint="eastAsia" w:cs="Times New Roman"/>
                      <w:lang w:val="en-US" w:eastAsia="zh-CN"/>
                    </w:rPr>
                    <w:t>粉尘、噪声</w:t>
                  </w:r>
                </w:p>
              </w:tc>
              <w:tc>
                <w:tcPr>
                  <w:tcW w:w="354" w:type="pct"/>
                  <w:shd w:val="clear" w:color="auto" w:fill="auto"/>
                  <w:vAlign w:val="center"/>
                </w:tcPr>
                <w:p w14:paraId="43A30A84">
                  <w:pPr>
                    <w:pStyle w:val="12"/>
                    <w:spacing w:line="240" w:lineRule="auto"/>
                    <w:ind w:firstLine="0" w:firstLineChars="0"/>
                    <w:rPr>
                      <w:rFonts w:hint="default" w:ascii="Times New Roman" w:hAnsi="Times New Roman" w:eastAsia="宋体" w:cs="Times New Roman"/>
                      <w:b w:val="0"/>
                      <w:bCs/>
                      <w:kern w:val="0"/>
                      <w:sz w:val="21"/>
                      <w:szCs w:val="24"/>
                      <w:lang w:val="en-US" w:eastAsia="zh-CN" w:bidi="ar-SA"/>
                    </w:rPr>
                  </w:pPr>
                  <w:r>
                    <w:rPr>
                      <w:rFonts w:hint="eastAsia" w:cs="Times New Roman"/>
                      <w:lang w:val="en-US" w:eastAsia="zh-CN"/>
                    </w:rPr>
                    <w:t>新建</w:t>
                  </w:r>
                </w:p>
              </w:tc>
            </w:tr>
            <w:tr w14:paraId="696EB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jc w:val="center"/>
              </w:trPr>
              <w:tc>
                <w:tcPr>
                  <w:tcW w:w="382" w:type="pct"/>
                  <w:vMerge w:val="continue"/>
                  <w:vAlign w:val="center"/>
                </w:tcPr>
                <w:p w14:paraId="36A56CC6">
                  <w:pPr>
                    <w:pStyle w:val="12"/>
                    <w:spacing w:line="240" w:lineRule="auto"/>
                    <w:rPr>
                      <w:rFonts w:cs="Times New Roman"/>
                    </w:rPr>
                  </w:pPr>
                </w:p>
              </w:tc>
              <w:tc>
                <w:tcPr>
                  <w:tcW w:w="383" w:type="pct"/>
                  <w:vMerge w:val="continue"/>
                  <w:vAlign w:val="center"/>
                </w:tcPr>
                <w:p w14:paraId="2FD17834">
                  <w:pPr>
                    <w:pStyle w:val="12"/>
                    <w:spacing w:line="240" w:lineRule="auto"/>
                    <w:rPr>
                      <w:rFonts w:cs="Times New Roman"/>
                    </w:rPr>
                  </w:pPr>
                </w:p>
              </w:tc>
              <w:tc>
                <w:tcPr>
                  <w:tcW w:w="2891" w:type="pct"/>
                  <w:gridSpan w:val="2"/>
                  <w:shd w:val="clear" w:color="auto" w:fill="auto"/>
                  <w:vAlign w:val="center"/>
                </w:tcPr>
                <w:p w14:paraId="34C0B7FE">
                  <w:pPr>
                    <w:pStyle w:val="12"/>
                    <w:spacing w:line="240" w:lineRule="auto"/>
                    <w:ind w:firstLine="0" w:firstLineChars="0"/>
                    <w:jc w:val="left"/>
                    <w:rPr>
                      <w:rFonts w:hint="eastAsia" w:ascii="Times New Roman" w:hAnsi="Times New Roman" w:eastAsia="宋体" w:cs="Times New Roman"/>
                      <w:b w:val="0"/>
                      <w:bCs/>
                      <w:kern w:val="0"/>
                      <w:sz w:val="21"/>
                      <w:szCs w:val="24"/>
                      <w:lang w:val="en-US" w:eastAsia="zh-CN" w:bidi="ar-SA"/>
                    </w:rPr>
                  </w:pPr>
                  <w:r>
                    <w:rPr>
                      <w:rFonts w:hint="eastAsia" w:cs="Times New Roman"/>
                      <w:lang w:val="en-US" w:eastAsia="zh-CN"/>
                    </w:rPr>
                    <w:t>药剂堆存区：1处，占地约200m</w:t>
                  </w:r>
                  <w:r>
                    <w:rPr>
                      <w:rFonts w:hint="eastAsia" w:cs="Times New Roman"/>
                      <w:vertAlign w:val="superscript"/>
                      <w:lang w:val="en-US" w:eastAsia="zh-CN"/>
                    </w:rPr>
                    <w:t>2</w:t>
                  </w:r>
                  <w:r>
                    <w:rPr>
                      <w:rFonts w:hint="eastAsia" w:cs="Times New Roman"/>
                      <w:vertAlign w:val="baseline"/>
                      <w:lang w:val="en-US" w:eastAsia="zh-CN"/>
                    </w:rPr>
                    <w:t>，位于厂房西侧；堆放预处理所需的絮凝剂（氧化钙、硫酸亚铁）、废气处理所需药剂（活性炭、氢氧化钠）、免烧建筑基材生产所需的固化剂。</w:t>
                  </w:r>
                </w:p>
              </w:tc>
              <w:tc>
                <w:tcPr>
                  <w:tcW w:w="490" w:type="pct"/>
                  <w:vMerge w:val="continue"/>
                  <w:vAlign w:val="center"/>
                </w:tcPr>
                <w:p w14:paraId="37A924BC">
                  <w:pPr>
                    <w:pStyle w:val="12"/>
                    <w:spacing w:line="240" w:lineRule="auto"/>
                    <w:rPr>
                      <w:rFonts w:cs="Times New Roman"/>
                    </w:rPr>
                  </w:pPr>
                </w:p>
              </w:tc>
              <w:tc>
                <w:tcPr>
                  <w:tcW w:w="498" w:type="pct"/>
                  <w:shd w:val="clear" w:color="auto" w:fill="auto"/>
                  <w:vAlign w:val="center"/>
                </w:tcPr>
                <w:p w14:paraId="03D08C55">
                  <w:pPr>
                    <w:pStyle w:val="12"/>
                    <w:spacing w:line="240" w:lineRule="auto"/>
                    <w:ind w:firstLine="0" w:firstLineChars="0"/>
                    <w:rPr>
                      <w:rFonts w:hint="default" w:ascii="Times New Roman" w:hAnsi="Times New Roman" w:eastAsia="宋体" w:cs="Times New Roman"/>
                      <w:b w:val="0"/>
                      <w:bCs/>
                      <w:kern w:val="0"/>
                      <w:sz w:val="21"/>
                      <w:szCs w:val="24"/>
                      <w:lang w:val="en-US" w:eastAsia="zh-CN" w:bidi="ar-SA"/>
                    </w:rPr>
                  </w:pPr>
                  <w:r>
                    <w:rPr>
                      <w:rFonts w:hint="eastAsia" w:cs="Times New Roman"/>
                      <w:lang w:val="en-US" w:eastAsia="zh-CN"/>
                    </w:rPr>
                    <w:t>噪声</w:t>
                  </w:r>
                </w:p>
              </w:tc>
              <w:tc>
                <w:tcPr>
                  <w:tcW w:w="354" w:type="pct"/>
                  <w:shd w:val="clear" w:color="auto" w:fill="auto"/>
                  <w:vAlign w:val="center"/>
                </w:tcPr>
                <w:p w14:paraId="75848FF1">
                  <w:pPr>
                    <w:pStyle w:val="12"/>
                    <w:spacing w:line="240" w:lineRule="auto"/>
                    <w:ind w:firstLine="0" w:firstLineChars="0"/>
                    <w:rPr>
                      <w:rFonts w:hint="default" w:ascii="Times New Roman" w:hAnsi="Times New Roman" w:eastAsia="宋体" w:cs="Times New Roman"/>
                      <w:b w:val="0"/>
                      <w:bCs/>
                      <w:kern w:val="0"/>
                      <w:sz w:val="21"/>
                      <w:szCs w:val="24"/>
                      <w:lang w:val="en-US" w:eastAsia="zh-CN" w:bidi="ar-SA"/>
                    </w:rPr>
                  </w:pPr>
                  <w:r>
                    <w:rPr>
                      <w:rFonts w:hint="eastAsia" w:cs="Times New Roman"/>
                      <w:lang w:val="en-US" w:eastAsia="zh-CN"/>
                    </w:rPr>
                    <w:t>新建</w:t>
                  </w:r>
                </w:p>
              </w:tc>
            </w:tr>
            <w:tr w14:paraId="131D1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jc w:val="center"/>
              </w:trPr>
              <w:tc>
                <w:tcPr>
                  <w:tcW w:w="382" w:type="pct"/>
                  <w:vMerge w:val="continue"/>
                  <w:vAlign w:val="center"/>
                </w:tcPr>
                <w:p w14:paraId="4200B566">
                  <w:pPr>
                    <w:pStyle w:val="12"/>
                    <w:spacing w:line="240" w:lineRule="auto"/>
                    <w:rPr>
                      <w:rFonts w:cs="Times New Roman"/>
                    </w:rPr>
                  </w:pPr>
                </w:p>
              </w:tc>
              <w:tc>
                <w:tcPr>
                  <w:tcW w:w="383" w:type="pct"/>
                  <w:vMerge w:val="continue"/>
                  <w:vAlign w:val="center"/>
                </w:tcPr>
                <w:p w14:paraId="1920C801">
                  <w:pPr>
                    <w:pStyle w:val="12"/>
                    <w:spacing w:line="240" w:lineRule="auto"/>
                    <w:rPr>
                      <w:rFonts w:cs="Times New Roman"/>
                    </w:rPr>
                  </w:pPr>
                </w:p>
              </w:tc>
              <w:tc>
                <w:tcPr>
                  <w:tcW w:w="2891" w:type="pct"/>
                  <w:gridSpan w:val="2"/>
                  <w:shd w:val="clear" w:color="auto" w:fill="auto"/>
                  <w:vAlign w:val="center"/>
                </w:tcPr>
                <w:p w14:paraId="7AB13252">
                  <w:pPr>
                    <w:pStyle w:val="12"/>
                    <w:spacing w:line="240" w:lineRule="auto"/>
                    <w:ind w:firstLine="0" w:firstLineChars="0"/>
                    <w:jc w:val="left"/>
                    <w:rPr>
                      <w:rFonts w:hint="default" w:ascii="Times New Roman" w:hAnsi="Times New Roman" w:eastAsia="宋体" w:cs="Times New Roman"/>
                      <w:b w:val="0"/>
                      <w:bCs/>
                      <w:kern w:val="0"/>
                      <w:sz w:val="21"/>
                      <w:szCs w:val="24"/>
                      <w:vertAlign w:val="baseline"/>
                      <w:lang w:val="en-US" w:eastAsia="zh-CN" w:bidi="ar-SA"/>
                    </w:rPr>
                  </w:pPr>
                  <w:r>
                    <w:rPr>
                      <w:rFonts w:hint="eastAsia" w:cs="Times New Roman"/>
                      <w:lang w:val="en-US" w:eastAsia="zh-CN"/>
                    </w:rPr>
                    <w:t>砂石堆存区：1处，位于厂房西北侧，占地面积约400m</w:t>
                  </w:r>
                  <w:r>
                    <w:rPr>
                      <w:rFonts w:hint="eastAsia" w:cs="Times New Roman"/>
                      <w:vertAlign w:val="superscript"/>
                      <w:lang w:val="en-US" w:eastAsia="zh-CN"/>
                    </w:rPr>
                    <w:t>2</w:t>
                  </w:r>
                  <w:r>
                    <w:rPr>
                      <w:rFonts w:hint="eastAsia" w:cs="Times New Roman"/>
                      <w:lang w:val="en-US" w:eastAsia="zh-CN"/>
                    </w:rPr>
                    <w:t>；堆放暂存砂、碎石原料。</w:t>
                  </w:r>
                </w:p>
              </w:tc>
              <w:tc>
                <w:tcPr>
                  <w:tcW w:w="490" w:type="pct"/>
                  <w:vMerge w:val="continue"/>
                  <w:vAlign w:val="center"/>
                </w:tcPr>
                <w:p w14:paraId="21A00211">
                  <w:pPr>
                    <w:pStyle w:val="12"/>
                    <w:spacing w:line="240" w:lineRule="auto"/>
                    <w:rPr>
                      <w:rFonts w:cs="Times New Roman"/>
                    </w:rPr>
                  </w:pPr>
                </w:p>
              </w:tc>
              <w:tc>
                <w:tcPr>
                  <w:tcW w:w="498" w:type="pct"/>
                  <w:shd w:val="clear" w:color="auto" w:fill="auto"/>
                  <w:vAlign w:val="center"/>
                </w:tcPr>
                <w:p w14:paraId="34C2125B">
                  <w:pPr>
                    <w:pStyle w:val="12"/>
                    <w:spacing w:line="240" w:lineRule="auto"/>
                    <w:ind w:firstLine="0" w:firstLineChars="0"/>
                    <w:rPr>
                      <w:rFonts w:hint="default" w:ascii="Times New Roman" w:hAnsi="Times New Roman" w:eastAsia="宋体" w:cs="Times New Roman"/>
                      <w:b w:val="0"/>
                      <w:bCs/>
                      <w:kern w:val="0"/>
                      <w:sz w:val="21"/>
                      <w:szCs w:val="24"/>
                      <w:lang w:val="en-US" w:eastAsia="zh-CN" w:bidi="ar-SA"/>
                    </w:rPr>
                  </w:pPr>
                  <w:r>
                    <w:rPr>
                      <w:rFonts w:hint="eastAsia" w:cs="Times New Roman"/>
                      <w:lang w:val="en-US" w:eastAsia="zh-CN"/>
                    </w:rPr>
                    <w:t>粉尘</w:t>
                  </w:r>
                </w:p>
              </w:tc>
              <w:tc>
                <w:tcPr>
                  <w:tcW w:w="354" w:type="pct"/>
                  <w:shd w:val="clear" w:color="auto" w:fill="auto"/>
                  <w:vAlign w:val="center"/>
                </w:tcPr>
                <w:p w14:paraId="5E601A97">
                  <w:pPr>
                    <w:pStyle w:val="12"/>
                    <w:spacing w:line="240" w:lineRule="auto"/>
                    <w:ind w:firstLine="0" w:firstLineChars="0"/>
                    <w:rPr>
                      <w:rFonts w:hint="default" w:ascii="Times New Roman" w:hAnsi="Times New Roman" w:eastAsia="宋体" w:cs="Times New Roman"/>
                      <w:b w:val="0"/>
                      <w:bCs/>
                      <w:kern w:val="0"/>
                      <w:sz w:val="21"/>
                      <w:szCs w:val="24"/>
                      <w:lang w:val="en-US" w:eastAsia="zh-CN" w:bidi="ar-SA"/>
                    </w:rPr>
                  </w:pPr>
                  <w:r>
                    <w:rPr>
                      <w:rFonts w:hint="eastAsia" w:cs="Times New Roman"/>
                      <w:lang w:val="en-US" w:eastAsia="zh-CN"/>
                    </w:rPr>
                    <w:t>新建</w:t>
                  </w:r>
                </w:p>
              </w:tc>
            </w:tr>
            <w:tr w14:paraId="6B3AF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jc w:val="center"/>
              </w:trPr>
              <w:tc>
                <w:tcPr>
                  <w:tcW w:w="382" w:type="pct"/>
                  <w:vMerge w:val="continue"/>
                  <w:vAlign w:val="center"/>
                </w:tcPr>
                <w:p w14:paraId="07D864C0">
                  <w:pPr>
                    <w:pStyle w:val="12"/>
                    <w:spacing w:line="240" w:lineRule="auto"/>
                    <w:rPr>
                      <w:rFonts w:cs="Times New Roman"/>
                    </w:rPr>
                  </w:pPr>
                </w:p>
              </w:tc>
              <w:tc>
                <w:tcPr>
                  <w:tcW w:w="383" w:type="pct"/>
                  <w:vMerge w:val="continue"/>
                  <w:vAlign w:val="center"/>
                </w:tcPr>
                <w:p w14:paraId="2EA80EB2">
                  <w:pPr>
                    <w:pStyle w:val="12"/>
                    <w:spacing w:line="240" w:lineRule="auto"/>
                    <w:rPr>
                      <w:rFonts w:cs="Times New Roman"/>
                    </w:rPr>
                  </w:pPr>
                </w:p>
              </w:tc>
              <w:tc>
                <w:tcPr>
                  <w:tcW w:w="2891" w:type="pct"/>
                  <w:gridSpan w:val="2"/>
                  <w:shd w:val="clear" w:color="auto" w:fill="auto"/>
                  <w:vAlign w:val="center"/>
                </w:tcPr>
                <w:p w14:paraId="34CC7794">
                  <w:pPr>
                    <w:pStyle w:val="12"/>
                    <w:spacing w:line="240" w:lineRule="auto"/>
                    <w:ind w:firstLine="0" w:firstLineChars="0"/>
                    <w:jc w:val="left"/>
                    <w:rPr>
                      <w:rFonts w:hint="eastAsia" w:cs="Times New Roman"/>
                      <w:lang w:val="en-US" w:eastAsia="zh-CN"/>
                    </w:rPr>
                  </w:pPr>
                  <w:r>
                    <w:rPr>
                      <w:rFonts w:hint="eastAsia" w:cs="Times New Roman"/>
                      <w:lang w:val="en-US" w:eastAsia="zh-CN"/>
                    </w:rPr>
                    <w:t>磅房、工具间：共2间房间，位于厂房西侧。</w:t>
                  </w:r>
                </w:p>
              </w:tc>
              <w:tc>
                <w:tcPr>
                  <w:tcW w:w="490" w:type="pct"/>
                  <w:vMerge w:val="continue"/>
                  <w:vAlign w:val="center"/>
                </w:tcPr>
                <w:p w14:paraId="3A2A7EF2">
                  <w:pPr>
                    <w:pStyle w:val="12"/>
                    <w:spacing w:line="240" w:lineRule="auto"/>
                    <w:rPr>
                      <w:rFonts w:cs="Times New Roman"/>
                    </w:rPr>
                  </w:pPr>
                </w:p>
              </w:tc>
              <w:tc>
                <w:tcPr>
                  <w:tcW w:w="498" w:type="pct"/>
                  <w:shd w:val="clear" w:color="auto" w:fill="auto"/>
                  <w:vAlign w:val="center"/>
                </w:tcPr>
                <w:p w14:paraId="1EEB8313">
                  <w:pPr>
                    <w:pStyle w:val="12"/>
                    <w:spacing w:line="240" w:lineRule="auto"/>
                    <w:ind w:firstLine="0" w:firstLineChars="0"/>
                    <w:rPr>
                      <w:rFonts w:hint="default" w:cs="Times New Roman"/>
                      <w:b w:val="0"/>
                      <w:bCs/>
                      <w:kern w:val="0"/>
                      <w:sz w:val="21"/>
                      <w:szCs w:val="24"/>
                      <w:lang w:val="en-US" w:eastAsia="zh-CN" w:bidi="ar-SA"/>
                    </w:rPr>
                  </w:pPr>
                  <w:r>
                    <w:rPr>
                      <w:rFonts w:hint="eastAsia" w:cs="Times New Roman"/>
                      <w:b w:val="0"/>
                      <w:bCs/>
                      <w:kern w:val="0"/>
                      <w:sz w:val="21"/>
                      <w:szCs w:val="24"/>
                      <w:lang w:val="en-US" w:eastAsia="zh-CN" w:bidi="ar-SA"/>
                    </w:rPr>
                    <w:t>/</w:t>
                  </w:r>
                </w:p>
              </w:tc>
              <w:tc>
                <w:tcPr>
                  <w:tcW w:w="354" w:type="pct"/>
                  <w:shd w:val="clear" w:color="auto" w:fill="auto"/>
                  <w:vAlign w:val="center"/>
                </w:tcPr>
                <w:p w14:paraId="2BA600BE">
                  <w:pPr>
                    <w:pStyle w:val="12"/>
                    <w:spacing w:line="240" w:lineRule="auto"/>
                    <w:ind w:firstLine="0" w:firstLineChars="0"/>
                    <w:rPr>
                      <w:rFonts w:hint="default" w:cs="Times New Roman"/>
                      <w:lang w:val="en-US" w:eastAsia="zh-CN"/>
                    </w:rPr>
                  </w:pPr>
                  <w:r>
                    <w:rPr>
                      <w:rFonts w:hint="eastAsia" w:cs="Times New Roman"/>
                      <w:lang w:val="en-US" w:eastAsia="zh-CN"/>
                    </w:rPr>
                    <w:t>新建</w:t>
                  </w:r>
                </w:p>
              </w:tc>
            </w:tr>
            <w:tr w14:paraId="71CCA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jc w:val="center"/>
              </w:trPr>
              <w:tc>
                <w:tcPr>
                  <w:tcW w:w="382" w:type="pct"/>
                  <w:vMerge w:val="continue"/>
                  <w:vAlign w:val="center"/>
                </w:tcPr>
                <w:p w14:paraId="6D7A87BB">
                  <w:pPr>
                    <w:pStyle w:val="12"/>
                    <w:spacing w:line="240" w:lineRule="auto"/>
                    <w:rPr>
                      <w:rFonts w:cs="Times New Roman"/>
                    </w:rPr>
                  </w:pPr>
                </w:p>
              </w:tc>
              <w:tc>
                <w:tcPr>
                  <w:tcW w:w="383" w:type="pct"/>
                  <w:vMerge w:val="continue"/>
                  <w:vAlign w:val="center"/>
                </w:tcPr>
                <w:p w14:paraId="0DFD5322">
                  <w:pPr>
                    <w:pStyle w:val="12"/>
                    <w:spacing w:line="240" w:lineRule="auto"/>
                    <w:rPr>
                      <w:rFonts w:cs="Times New Roman"/>
                    </w:rPr>
                  </w:pPr>
                </w:p>
              </w:tc>
              <w:tc>
                <w:tcPr>
                  <w:tcW w:w="2891" w:type="pct"/>
                  <w:gridSpan w:val="2"/>
                  <w:shd w:val="clear" w:color="auto" w:fill="auto"/>
                  <w:vAlign w:val="center"/>
                </w:tcPr>
                <w:p w14:paraId="6FD85D98">
                  <w:pPr>
                    <w:pStyle w:val="12"/>
                    <w:spacing w:line="240" w:lineRule="auto"/>
                    <w:ind w:firstLine="0" w:firstLineChars="0"/>
                    <w:jc w:val="left"/>
                    <w:rPr>
                      <w:rFonts w:hint="eastAsia" w:ascii="Times New Roman" w:hAnsi="Times New Roman" w:eastAsia="宋体" w:cs="Times New Roman"/>
                      <w:b w:val="0"/>
                      <w:bCs/>
                      <w:kern w:val="0"/>
                      <w:sz w:val="21"/>
                      <w:szCs w:val="24"/>
                      <w:lang w:val="en-US" w:eastAsia="zh-CN" w:bidi="ar-SA"/>
                    </w:rPr>
                  </w:pPr>
                  <w:r>
                    <w:rPr>
                      <w:rFonts w:hint="eastAsia" w:cs="Times New Roman"/>
                      <w:lang w:val="en-US" w:eastAsia="zh-CN"/>
                    </w:rPr>
                    <w:t>危废暂存间：1间，独立房间，占地约10m</w:t>
                  </w:r>
                  <w:r>
                    <w:rPr>
                      <w:rFonts w:hint="eastAsia" w:cs="Times New Roman"/>
                      <w:vertAlign w:val="superscript"/>
                      <w:lang w:val="en-US" w:eastAsia="zh-CN"/>
                    </w:rPr>
                    <w:t>2</w:t>
                  </w:r>
                  <w:r>
                    <w:rPr>
                      <w:rFonts w:hint="eastAsia" w:cs="Times New Roman"/>
                      <w:vertAlign w:val="baseline"/>
                      <w:lang w:val="en-US" w:eastAsia="zh-CN"/>
                    </w:rPr>
                    <w:t>，位于厂房西北侧；暂存危险废物。</w:t>
                  </w:r>
                </w:p>
              </w:tc>
              <w:tc>
                <w:tcPr>
                  <w:tcW w:w="490" w:type="pct"/>
                  <w:vMerge w:val="continue"/>
                  <w:vAlign w:val="center"/>
                </w:tcPr>
                <w:p w14:paraId="0E1C95BA">
                  <w:pPr>
                    <w:pStyle w:val="12"/>
                    <w:spacing w:line="240" w:lineRule="auto"/>
                    <w:rPr>
                      <w:rFonts w:cs="Times New Roman"/>
                    </w:rPr>
                  </w:pPr>
                </w:p>
              </w:tc>
              <w:tc>
                <w:tcPr>
                  <w:tcW w:w="498" w:type="pct"/>
                  <w:shd w:val="clear" w:color="auto" w:fill="auto"/>
                  <w:vAlign w:val="center"/>
                </w:tcPr>
                <w:p w14:paraId="1509A9CF">
                  <w:pPr>
                    <w:pStyle w:val="12"/>
                    <w:spacing w:line="240" w:lineRule="auto"/>
                    <w:ind w:firstLine="0" w:firstLineChars="0"/>
                    <w:rPr>
                      <w:rFonts w:hint="eastAsia" w:ascii="Times New Roman" w:hAnsi="Times New Roman" w:eastAsia="宋体" w:cs="Times New Roman"/>
                      <w:b w:val="0"/>
                      <w:bCs/>
                      <w:kern w:val="0"/>
                      <w:sz w:val="21"/>
                      <w:szCs w:val="24"/>
                      <w:lang w:val="en-US" w:eastAsia="zh-CN" w:bidi="ar-SA"/>
                    </w:rPr>
                  </w:pPr>
                  <w:r>
                    <w:rPr>
                      <w:rFonts w:hint="eastAsia" w:cs="Times New Roman"/>
                      <w:lang w:val="en-US" w:eastAsia="zh-CN"/>
                    </w:rPr>
                    <w:t>危险废物</w:t>
                  </w:r>
                </w:p>
              </w:tc>
              <w:tc>
                <w:tcPr>
                  <w:tcW w:w="354" w:type="pct"/>
                  <w:shd w:val="clear" w:color="auto" w:fill="auto"/>
                  <w:vAlign w:val="center"/>
                </w:tcPr>
                <w:p w14:paraId="1A217940">
                  <w:pPr>
                    <w:pStyle w:val="12"/>
                    <w:spacing w:line="240" w:lineRule="auto"/>
                    <w:ind w:firstLine="0" w:firstLineChars="0"/>
                    <w:rPr>
                      <w:rFonts w:hint="eastAsia" w:ascii="Times New Roman" w:hAnsi="Times New Roman" w:eastAsia="宋体" w:cs="Times New Roman"/>
                      <w:b w:val="0"/>
                      <w:bCs/>
                      <w:kern w:val="0"/>
                      <w:sz w:val="21"/>
                      <w:szCs w:val="24"/>
                      <w:lang w:val="en-US" w:eastAsia="zh-CN" w:bidi="ar-SA"/>
                    </w:rPr>
                  </w:pPr>
                  <w:r>
                    <w:rPr>
                      <w:rFonts w:hint="eastAsia" w:cs="Times New Roman"/>
                      <w:lang w:val="en-US" w:eastAsia="zh-CN"/>
                    </w:rPr>
                    <w:t>新建</w:t>
                  </w:r>
                </w:p>
              </w:tc>
            </w:tr>
            <w:tr w14:paraId="2E60E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jc w:val="center"/>
              </w:trPr>
              <w:tc>
                <w:tcPr>
                  <w:tcW w:w="382" w:type="pct"/>
                  <w:vMerge w:val="continue"/>
                  <w:vAlign w:val="center"/>
                </w:tcPr>
                <w:p w14:paraId="78A4C80D">
                  <w:pPr>
                    <w:pStyle w:val="12"/>
                    <w:spacing w:line="240" w:lineRule="auto"/>
                    <w:rPr>
                      <w:rFonts w:cs="Times New Roman"/>
                    </w:rPr>
                  </w:pPr>
                </w:p>
              </w:tc>
              <w:tc>
                <w:tcPr>
                  <w:tcW w:w="383" w:type="pct"/>
                  <w:vMerge w:val="continue"/>
                  <w:vAlign w:val="center"/>
                </w:tcPr>
                <w:p w14:paraId="63C00FF1">
                  <w:pPr>
                    <w:pStyle w:val="12"/>
                    <w:spacing w:line="240" w:lineRule="auto"/>
                    <w:rPr>
                      <w:rFonts w:cs="Times New Roman"/>
                    </w:rPr>
                  </w:pPr>
                </w:p>
              </w:tc>
              <w:tc>
                <w:tcPr>
                  <w:tcW w:w="2891" w:type="pct"/>
                  <w:gridSpan w:val="2"/>
                  <w:shd w:val="clear" w:color="auto" w:fill="auto"/>
                  <w:vAlign w:val="center"/>
                </w:tcPr>
                <w:p w14:paraId="77B2CD28">
                  <w:pPr>
                    <w:pStyle w:val="12"/>
                    <w:spacing w:line="240" w:lineRule="auto"/>
                    <w:ind w:firstLine="0" w:firstLineChars="0"/>
                    <w:jc w:val="left"/>
                    <w:rPr>
                      <w:rFonts w:hint="eastAsia" w:ascii="Times New Roman" w:hAnsi="Times New Roman" w:eastAsia="宋体" w:cs="Times New Roman"/>
                      <w:b w:val="0"/>
                      <w:bCs/>
                      <w:kern w:val="0"/>
                      <w:sz w:val="21"/>
                      <w:szCs w:val="24"/>
                      <w:vertAlign w:val="baseline"/>
                      <w:lang w:val="en-US" w:eastAsia="zh-CN" w:bidi="ar-SA"/>
                    </w:rPr>
                  </w:pPr>
                  <w:r>
                    <w:rPr>
                      <w:rFonts w:hint="eastAsia" w:cs="Times New Roman"/>
                      <w:lang w:val="en-US" w:eastAsia="zh-CN"/>
                    </w:rPr>
                    <w:t>一般固废暂存间：1间，独立房间，占地约10m</w:t>
                  </w:r>
                  <w:r>
                    <w:rPr>
                      <w:rFonts w:hint="eastAsia" w:cs="Times New Roman"/>
                      <w:vertAlign w:val="superscript"/>
                      <w:lang w:val="en-US" w:eastAsia="zh-CN"/>
                    </w:rPr>
                    <w:t>2</w:t>
                  </w:r>
                  <w:r>
                    <w:rPr>
                      <w:rFonts w:hint="eastAsia" w:cs="Times New Roman"/>
                      <w:vertAlign w:val="baseline"/>
                      <w:lang w:val="en-US" w:eastAsia="zh-CN"/>
                    </w:rPr>
                    <w:t>，位于厂房西北侧；暂存一般固废。</w:t>
                  </w:r>
                </w:p>
              </w:tc>
              <w:tc>
                <w:tcPr>
                  <w:tcW w:w="490" w:type="pct"/>
                  <w:vMerge w:val="continue"/>
                  <w:vAlign w:val="center"/>
                </w:tcPr>
                <w:p w14:paraId="18C3C604">
                  <w:pPr>
                    <w:pStyle w:val="12"/>
                    <w:spacing w:line="240" w:lineRule="auto"/>
                    <w:rPr>
                      <w:rFonts w:cs="Times New Roman"/>
                    </w:rPr>
                  </w:pPr>
                </w:p>
              </w:tc>
              <w:tc>
                <w:tcPr>
                  <w:tcW w:w="498" w:type="pct"/>
                  <w:shd w:val="clear" w:color="auto" w:fill="auto"/>
                  <w:vAlign w:val="center"/>
                </w:tcPr>
                <w:p w14:paraId="4651F249">
                  <w:pPr>
                    <w:pStyle w:val="12"/>
                    <w:spacing w:line="240" w:lineRule="auto"/>
                    <w:ind w:firstLine="0" w:firstLineChars="0"/>
                    <w:rPr>
                      <w:rFonts w:hint="eastAsia" w:ascii="Times New Roman" w:hAnsi="Times New Roman" w:eastAsia="宋体" w:cs="Times New Roman"/>
                      <w:b w:val="0"/>
                      <w:bCs/>
                      <w:kern w:val="0"/>
                      <w:sz w:val="21"/>
                      <w:szCs w:val="24"/>
                      <w:lang w:val="en-US" w:eastAsia="zh-CN" w:bidi="ar-SA"/>
                    </w:rPr>
                  </w:pPr>
                  <w:r>
                    <w:rPr>
                      <w:rFonts w:hint="eastAsia" w:cs="Times New Roman"/>
                      <w:lang w:val="en-US" w:eastAsia="zh-CN"/>
                    </w:rPr>
                    <w:t>一般固废</w:t>
                  </w:r>
                </w:p>
              </w:tc>
              <w:tc>
                <w:tcPr>
                  <w:tcW w:w="354" w:type="pct"/>
                  <w:shd w:val="clear" w:color="auto" w:fill="auto"/>
                  <w:vAlign w:val="center"/>
                </w:tcPr>
                <w:p w14:paraId="21C7EF85">
                  <w:pPr>
                    <w:pStyle w:val="12"/>
                    <w:spacing w:line="240" w:lineRule="auto"/>
                    <w:ind w:firstLine="0" w:firstLineChars="0"/>
                    <w:rPr>
                      <w:rFonts w:hint="eastAsia" w:ascii="Times New Roman" w:hAnsi="Times New Roman" w:eastAsia="宋体" w:cs="Times New Roman"/>
                      <w:b w:val="0"/>
                      <w:bCs/>
                      <w:kern w:val="0"/>
                      <w:sz w:val="21"/>
                      <w:szCs w:val="24"/>
                      <w:lang w:val="en-US" w:eastAsia="zh-CN" w:bidi="ar-SA"/>
                    </w:rPr>
                  </w:pPr>
                  <w:r>
                    <w:rPr>
                      <w:rFonts w:hint="eastAsia" w:cs="Times New Roman"/>
                      <w:lang w:val="en-US" w:eastAsia="zh-CN"/>
                    </w:rPr>
                    <w:t>新建</w:t>
                  </w:r>
                </w:p>
              </w:tc>
            </w:tr>
            <w:tr w14:paraId="323DB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jc w:val="center"/>
              </w:trPr>
              <w:tc>
                <w:tcPr>
                  <w:tcW w:w="382" w:type="pct"/>
                  <w:vAlign w:val="center"/>
                </w:tcPr>
                <w:p w14:paraId="4727F14C">
                  <w:pPr>
                    <w:pStyle w:val="12"/>
                    <w:spacing w:line="240" w:lineRule="auto"/>
                    <w:rPr>
                      <w:rFonts w:hint="default" w:eastAsia="宋体" w:cs="Times New Roman"/>
                      <w:lang w:val="en-US" w:eastAsia="zh-CN"/>
                    </w:rPr>
                  </w:pPr>
                  <w:r>
                    <w:rPr>
                      <w:rFonts w:hint="eastAsia" w:cs="Times New Roman"/>
                      <w:lang w:val="en-US" w:eastAsia="zh-CN"/>
                    </w:rPr>
                    <w:t>储运工程</w:t>
                  </w:r>
                </w:p>
              </w:tc>
              <w:tc>
                <w:tcPr>
                  <w:tcW w:w="383" w:type="pct"/>
                  <w:vAlign w:val="center"/>
                </w:tcPr>
                <w:p w14:paraId="4C880874">
                  <w:pPr>
                    <w:pStyle w:val="12"/>
                    <w:spacing w:line="240" w:lineRule="auto"/>
                    <w:rPr>
                      <w:rFonts w:hint="default" w:eastAsia="宋体" w:cs="Times New Roman"/>
                      <w:lang w:val="en-US" w:eastAsia="zh-CN"/>
                    </w:rPr>
                  </w:pPr>
                  <w:r>
                    <w:rPr>
                      <w:rFonts w:hint="eastAsia" w:cs="Times New Roman"/>
                      <w:lang w:val="en-US" w:eastAsia="zh-CN"/>
                    </w:rPr>
                    <w:t>成品堆放区</w:t>
                  </w:r>
                </w:p>
              </w:tc>
              <w:tc>
                <w:tcPr>
                  <w:tcW w:w="2891" w:type="pct"/>
                  <w:gridSpan w:val="2"/>
                  <w:vAlign w:val="center"/>
                </w:tcPr>
                <w:p w14:paraId="7FC0499B">
                  <w:pPr>
                    <w:pStyle w:val="12"/>
                    <w:spacing w:line="240" w:lineRule="auto"/>
                    <w:jc w:val="left"/>
                    <w:rPr>
                      <w:rFonts w:hint="default" w:cs="Times New Roman"/>
                      <w:lang w:val="en-US" w:eastAsia="zh-CN"/>
                    </w:rPr>
                  </w:pPr>
                  <w:r>
                    <w:rPr>
                      <w:rFonts w:hint="eastAsia" w:cs="Times New Roman"/>
                      <w:lang w:val="en-US" w:eastAsia="zh-CN"/>
                    </w:rPr>
                    <w:t>设置三面围挡+顶棚+洒水，位于2号、3号厂房东南侧，用于暂存免烧砌块产品。</w:t>
                  </w:r>
                </w:p>
              </w:tc>
              <w:tc>
                <w:tcPr>
                  <w:tcW w:w="490" w:type="pct"/>
                  <w:vMerge w:val="continue"/>
                  <w:vAlign w:val="center"/>
                </w:tcPr>
                <w:p w14:paraId="2C9E0573">
                  <w:pPr>
                    <w:pStyle w:val="12"/>
                    <w:spacing w:line="240" w:lineRule="auto"/>
                    <w:rPr>
                      <w:rFonts w:cs="Times New Roman"/>
                    </w:rPr>
                  </w:pPr>
                </w:p>
              </w:tc>
              <w:tc>
                <w:tcPr>
                  <w:tcW w:w="498" w:type="pct"/>
                  <w:vAlign w:val="center"/>
                </w:tcPr>
                <w:p w14:paraId="1E1ED410">
                  <w:pPr>
                    <w:pStyle w:val="12"/>
                    <w:spacing w:line="240" w:lineRule="auto"/>
                    <w:rPr>
                      <w:rFonts w:hint="default" w:cs="Times New Roman"/>
                      <w:lang w:val="en-US" w:eastAsia="zh-CN"/>
                    </w:rPr>
                  </w:pPr>
                  <w:r>
                    <w:rPr>
                      <w:rFonts w:hint="eastAsia" w:cs="Times New Roman"/>
                      <w:lang w:val="en-US" w:eastAsia="zh-CN"/>
                    </w:rPr>
                    <w:t>/</w:t>
                  </w:r>
                </w:p>
              </w:tc>
              <w:tc>
                <w:tcPr>
                  <w:tcW w:w="354" w:type="pct"/>
                  <w:vAlign w:val="center"/>
                </w:tcPr>
                <w:p w14:paraId="7301AB90">
                  <w:pPr>
                    <w:pStyle w:val="12"/>
                    <w:spacing w:line="240" w:lineRule="auto"/>
                    <w:rPr>
                      <w:rFonts w:hint="default" w:cs="Times New Roman"/>
                      <w:lang w:val="en-US" w:eastAsia="zh-CN"/>
                    </w:rPr>
                  </w:pPr>
                  <w:r>
                    <w:rPr>
                      <w:rFonts w:hint="eastAsia" w:cs="Times New Roman"/>
                      <w:lang w:val="en-US" w:eastAsia="zh-CN"/>
                    </w:rPr>
                    <w:t>扩建</w:t>
                  </w:r>
                </w:p>
              </w:tc>
            </w:tr>
            <w:tr w14:paraId="74A2B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jc w:val="center"/>
              </w:trPr>
              <w:tc>
                <w:tcPr>
                  <w:tcW w:w="382" w:type="pct"/>
                  <w:vMerge w:val="restart"/>
                  <w:vAlign w:val="center"/>
                </w:tcPr>
                <w:p w14:paraId="596CB3E7">
                  <w:pPr>
                    <w:pStyle w:val="12"/>
                    <w:spacing w:line="240" w:lineRule="auto"/>
                    <w:rPr>
                      <w:rFonts w:hint="default" w:eastAsia="宋体" w:cs="Times New Roman"/>
                      <w:lang w:val="en-US" w:eastAsia="zh-CN"/>
                    </w:rPr>
                  </w:pPr>
                  <w:r>
                    <w:rPr>
                      <w:rFonts w:hint="eastAsia" w:cs="Times New Roman"/>
                      <w:lang w:val="en-US" w:eastAsia="zh-CN"/>
                    </w:rPr>
                    <w:t>辅助工程</w:t>
                  </w:r>
                </w:p>
              </w:tc>
              <w:tc>
                <w:tcPr>
                  <w:tcW w:w="383" w:type="pct"/>
                  <w:vAlign w:val="center"/>
                </w:tcPr>
                <w:p w14:paraId="3D31C65E">
                  <w:pPr>
                    <w:pStyle w:val="12"/>
                    <w:spacing w:line="240" w:lineRule="auto"/>
                    <w:rPr>
                      <w:rFonts w:hint="default" w:eastAsia="宋体" w:cs="Times New Roman"/>
                      <w:lang w:val="en-US" w:eastAsia="zh-CN"/>
                    </w:rPr>
                  </w:pPr>
                  <w:r>
                    <w:rPr>
                      <w:rFonts w:hint="eastAsia" w:cs="Times New Roman"/>
                      <w:lang w:val="en-US" w:eastAsia="zh-CN"/>
                    </w:rPr>
                    <w:t>风机房</w:t>
                  </w:r>
                </w:p>
              </w:tc>
              <w:tc>
                <w:tcPr>
                  <w:tcW w:w="2891" w:type="pct"/>
                  <w:gridSpan w:val="2"/>
                  <w:vAlign w:val="center"/>
                </w:tcPr>
                <w:p w14:paraId="2B58952E">
                  <w:pPr>
                    <w:pStyle w:val="12"/>
                    <w:spacing w:line="240" w:lineRule="auto"/>
                    <w:jc w:val="left"/>
                    <w:rPr>
                      <w:rFonts w:hint="default" w:cs="Times New Roman"/>
                      <w:vertAlign w:val="baseline"/>
                      <w:lang w:val="en-US" w:eastAsia="zh-CN"/>
                    </w:rPr>
                  </w:pPr>
                  <w:r>
                    <w:rPr>
                      <w:rFonts w:hint="eastAsia" w:cs="Times New Roman"/>
                      <w:lang w:val="en-US" w:eastAsia="zh-CN"/>
                    </w:rPr>
                    <w:t>1间，占地约15m</w:t>
                  </w:r>
                  <w:r>
                    <w:rPr>
                      <w:rFonts w:hint="eastAsia" w:cs="Times New Roman"/>
                      <w:vertAlign w:val="superscript"/>
                      <w:lang w:val="en-US" w:eastAsia="zh-CN"/>
                    </w:rPr>
                    <w:t>2</w:t>
                  </w:r>
                  <w:r>
                    <w:rPr>
                      <w:rFonts w:hint="eastAsia" w:cs="Times New Roman"/>
                      <w:vertAlign w:val="baseline"/>
                      <w:lang w:val="en-US" w:eastAsia="zh-CN"/>
                    </w:rPr>
                    <w:t>，位于3号厂房内东南侧，放置布袋除尘器配套风机。</w:t>
                  </w:r>
                </w:p>
              </w:tc>
              <w:tc>
                <w:tcPr>
                  <w:tcW w:w="490" w:type="pct"/>
                  <w:vMerge w:val="continue"/>
                  <w:vAlign w:val="center"/>
                </w:tcPr>
                <w:p w14:paraId="47B9EA93">
                  <w:pPr>
                    <w:pStyle w:val="12"/>
                    <w:spacing w:line="240" w:lineRule="auto"/>
                    <w:rPr>
                      <w:rFonts w:cs="Times New Roman"/>
                    </w:rPr>
                  </w:pPr>
                </w:p>
              </w:tc>
              <w:tc>
                <w:tcPr>
                  <w:tcW w:w="498" w:type="pct"/>
                  <w:vAlign w:val="center"/>
                </w:tcPr>
                <w:p w14:paraId="0902974A">
                  <w:pPr>
                    <w:pStyle w:val="12"/>
                    <w:spacing w:line="240" w:lineRule="auto"/>
                    <w:rPr>
                      <w:rFonts w:hint="eastAsia" w:eastAsia="宋体" w:cs="Times New Roman"/>
                      <w:lang w:val="en-US" w:eastAsia="zh-CN"/>
                    </w:rPr>
                  </w:pPr>
                  <w:r>
                    <w:rPr>
                      <w:rFonts w:hint="eastAsia" w:cs="Times New Roman"/>
                      <w:lang w:val="en-US" w:eastAsia="zh-CN"/>
                    </w:rPr>
                    <w:t>噪声</w:t>
                  </w:r>
                </w:p>
              </w:tc>
              <w:tc>
                <w:tcPr>
                  <w:tcW w:w="354" w:type="pct"/>
                  <w:vAlign w:val="center"/>
                </w:tcPr>
                <w:p w14:paraId="28D385C6">
                  <w:pPr>
                    <w:pStyle w:val="12"/>
                    <w:spacing w:line="240" w:lineRule="auto"/>
                    <w:rPr>
                      <w:rFonts w:hint="default" w:cs="Times New Roman"/>
                      <w:lang w:val="en-US" w:eastAsia="zh-CN"/>
                    </w:rPr>
                  </w:pPr>
                  <w:r>
                    <w:rPr>
                      <w:rFonts w:hint="eastAsia" w:cs="Times New Roman"/>
                      <w:lang w:val="en-US" w:eastAsia="zh-CN"/>
                    </w:rPr>
                    <w:t>新建</w:t>
                  </w:r>
                </w:p>
              </w:tc>
            </w:tr>
            <w:tr w14:paraId="3A94C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jc w:val="center"/>
              </w:trPr>
              <w:tc>
                <w:tcPr>
                  <w:tcW w:w="382" w:type="pct"/>
                  <w:vMerge w:val="continue"/>
                  <w:vAlign w:val="center"/>
                </w:tcPr>
                <w:p w14:paraId="6BB36034">
                  <w:pPr>
                    <w:pStyle w:val="12"/>
                    <w:spacing w:line="240" w:lineRule="auto"/>
                    <w:rPr>
                      <w:rFonts w:hint="eastAsia" w:cs="Times New Roman"/>
                      <w:lang w:val="en-US" w:eastAsia="zh-CN"/>
                    </w:rPr>
                  </w:pPr>
                </w:p>
              </w:tc>
              <w:tc>
                <w:tcPr>
                  <w:tcW w:w="383" w:type="pct"/>
                  <w:vAlign w:val="center"/>
                </w:tcPr>
                <w:p w14:paraId="43ABE424">
                  <w:pPr>
                    <w:pStyle w:val="12"/>
                    <w:spacing w:line="240" w:lineRule="auto"/>
                    <w:rPr>
                      <w:rFonts w:hint="default" w:cs="Times New Roman"/>
                      <w:lang w:val="en-US" w:eastAsia="zh-CN"/>
                    </w:rPr>
                  </w:pPr>
                  <w:r>
                    <w:rPr>
                      <w:rFonts w:hint="eastAsia" w:cs="Times New Roman"/>
                      <w:lang w:val="en-US" w:eastAsia="zh-CN"/>
                    </w:rPr>
                    <w:t>洗车区</w:t>
                  </w:r>
                </w:p>
              </w:tc>
              <w:tc>
                <w:tcPr>
                  <w:tcW w:w="2891" w:type="pct"/>
                  <w:gridSpan w:val="2"/>
                  <w:vAlign w:val="center"/>
                </w:tcPr>
                <w:p w14:paraId="65E5DD72">
                  <w:pPr>
                    <w:pStyle w:val="12"/>
                    <w:spacing w:line="240" w:lineRule="auto"/>
                    <w:jc w:val="left"/>
                    <w:rPr>
                      <w:rFonts w:hint="default" w:cs="Times New Roman"/>
                      <w:lang w:val="en-US" w:eastAsia="zh-CN"/>
                    </w:rPr>
                  </w:pPr>
                  <w:r>
                    <w:rPr>
                      <w:rFonts w:hint="eastAsia" w:cs="Times New Roman"/>
                      <w:lang w:val="en-US" w:eastAsia="zh-CN"/>
                    </w:rPr>
                    <w:t>1处，位于2号厂房外西北侧，露天设置，下沉式洗车槽，占地面积约30m</w:t>
                  </w:r>
                  <w:r>
                    <w:rPr>
                      <w:rFonts w:hint="eastAsia" w:cs="Times New Roman"/>
                      <w:vertAlign w:val="superscript"/>
                      <w:lang w:val="en-US" w:eastAsia="zh-CN"/>
                    </w:rPr>
                    <w:t>2</w:t>
                  </w:r>
                  <w:r>
                    <w:rPr>
                      <w:rFonts w:hint="eastAsia" w:cs="Times New Roman"/>
                      <w:vertAlign w:val="baseline"/>
                      <w:lang w:val="en-US" w:eastAsia="zh-CN"/>
                    </w:rPr>
                    <w:t>；用于车辆冲洗；设置管线将洗车废水送至水基岩屑储存池。</w:t>
                  </w:r>
                </w:p>
              </w:tc>
              <w:tc>
                <w:tcPr>
                  <w:tcW w:w="490" w:type="pct"/>
                  <w:vMerge w:val="continue"/>
                  <w:vAlign w:val="center"/>
                </w:tcPr>
                <w:p w14:paraId="05579913">
                  <w:pPr>
                    <w:pStyle w:val="12"/>
                    <w:spacing w:line="240" w:lineRule="auto"/>
                    <w:rPr>
                      <w:rFonts w:cs="Times New Roman"/>
                    </w:rPr>
                  </w:pPr>
                </w:p>
              </w:tc>
              <w:tc>
                <w:tcPr>
                  <w:tcW w:w="498" w:type="pct"/>
                  <w:vAlign w:val="center"/>
                </w:tcPr>
                <w:p w14:paraId="02A9ABF4">
                  <w:pPr>
                    <w:pStyle w:val="12"/>
                    <w:spacing w:line="240" w:lineRule="auto"/>
                    <w:rPr>
                      <w:rFonts w:hint="default" w:cs="Times New Roman"/>
                      <w:lang w:val="en-US" w:eastAsia="zh-CN"/>
                    </w:rPr>
                  </w:pPr>
                  <w:r>
                    <w:rPr>
                      <w:rFonts w:hint="eastAsia" w:cs="Times New Roman"/>
                      <w:lang w:val="en-US" w:eastAsia="zh-CN"/>
                    </w:rPr>
                    <w:t>废水</w:t>
                  </w:r>
                </w:p>
              </w:tc>
              <w:tc>
                <w:tcPr>
                  <w:tcW w:w="354" w:type="pct"/>
                  <w:vAlign w:val="center"/>
                </w:tcPr>
                <w:p w14:paraId="47C4C50A">
                  <w:pPr>
                    <w:pStyle w:val="12"/>
                    <w:spacing w:line="240" w:lineRule="auto"/>
                    <w:rPr>
                      <w:rFonts w:hint="default" w:cs="Times New Roman"/>
                      <w:lang w:val="en-US" w:eastAsia="zh-CN"/>
                    </w:rPr>
                  </w:pPr>
                  <w:r>
                    <w:rPr>
                      <w:rFonts w:hint="eastAsia" w:cs="Times New Roman"/>
                      <w:lang w:val="en-US" w:eastAsia="zh-CN"/>
                    </w:rPr>
                    <w:t>新建</w:t>
                  </w:r>
                </w:p>
              </w:tc>
            </w:tr>
            <w:tr w14:paraId="57100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jc w:val="center"/>
              </w:trPr>
              <w:tc>
                <w:tcPr>
                  <w:tcW w:w="382" w:type="pct"/>
                  <w:vMerge w:val="restart"/>
                  <w:vAlign w:val="center"/>
                </w:tcPr>
                <w:p w14:paraId="7ADEC2D5">
                  <w:pPr>
                    <w:pStyle w:val="12"/>
                    <w:spacing w:line="240" w:lineRule="auto"/>
                    <w:rPr>
                      <w:rFonts w:cs="Times New Roman"/>
                    </w:rPr>
                  </w:pPr>
                  <w:r>
                    <w:rPr>
                      <w:rFonts w:cs="Times New Roman"/>
                    </w:rPr>
                    <w:t>公用工程</w:t>
                  </w:r>
                </w:p>
              </w:tc>
              <w:tc>
                <w:tcPr>
                  <w:tcW w:w="383" w:type="pct"/>
                  <w:vAlign w:val="center"/>
                </w:tcPr>
                <w:p w14:paraId="4EE55DCA">
                  <w:pPr>
                    <w:pStyle w:val="12"/>
                    <w:spacing w:line="240" w:lineRule="auto"/>
                    <w:rPr>
                      <w:rFonts w:cs="Times New Roman"/>
                    </w:rPr>
                  </w:pPr>
                  <w:r>
                    <w:rPr>
                      <w:rFonts w:cs="Times New Roman"/>
                    </w:rPr>
                    <w:t>供电</w:t>
                  </w:r>
                </w:p>
              </w:tc>
              <w:tc>
                <w:tcPr>
                  <w:tcW w:w="2891" w:type="pct"/>
                  <w:gridSpan w:val="2"/>
                  <w:vAlign w:val="center"/>
                </w:tcPr>
                <w:p w14:paraId="504BE453">
                  <w:pPr>
                    <w:pStyle w:val="12"/>
                    <w:spacing w:line="240" w:lineRule="auto"/>
                    <w:jc w:val="left"/>
                    <w:rPr>
                      <w:rFonts w:cs="Times New Roman"/>
                    </w:rPr>
                  </w:pPr>
                  <w:r>
                    <w:rPr>
                      <w:rFonts w:hint="eastAsia" w:cs="Times New Roman"/>
                      <w:lang w:val="en-US" w:eastAsia="zh-CN"/>
                    </w:rPr>
                    <w:t>园区</w:t>
                  </w:r>
                  <w:r>
                    <w:rPr>
                      <w:rFonts w:cs="Times New Roman"/>
                    </w:rPr>
                    <w:t>电网供电。</w:t>
                  </w:r>
                </w:p>
              </w:tc>
              <w:tc>
                <w:tcPr>
                  <w:tcW w:w="490" w:type="pct"/>
                  <w:vMerge w:val="continue"/>
                  <w:vAlign w:val="center"/>
                </w:tcPr>
                <w:p w14:paraId="0A832B1B">
                  <w:pPr>
                    <w:pStyle w:val="12"/>
                    <w:spacing w:line="240" w:lineRule="auto"/>
                    <w:rPr>
                      <w:rFonts w:cs="Times New Roman"/>
                    </w:rPr>
                  </w:pPr>
                </w:p>
              </w:tc>
              <w:tc>
                <w:tcPr>
                  <w:tcW w:w="498" w:type="pct"/>
                  <w:vAlign w:val="center"/>
                </w:tcPr>
                <w:p w14:paraId="65197450">
                  <w:pPr>
                    <w:pStyle w:val="12"/>
                    <w:spacing w:line="240" w:lineRule="auto"/>
                    <w:rPr>
                      <w:rFonts w:cs="Times New Roman"/>
                    </w:rPr>
                  </w:pPr>
                  <w:r>
                    <w:rPr>
                      <w:rFonts w:cs="Times New Roman"/>
                    </w:rPr>
                    <w:t>/</w:t>
                  </w:r>
                </w:p>
              </w:tc>
              <w:tc>
                <w:tcPr>
                  <w:tcW w:w="354" w:type="pct"/>
                  <w:vAlign w:val="center"/>
                </w:tcPr>
                <w:p w14:paraId="469638E6">
                  <w:pPr>
                    <w:pStyle w:val="12"/>
                    <w:spacing w:line="240" w:lineRule="auto"/>
                    <w:rPr>
                      <w:rFonts w:hint="eastAsia" w:eastAsia="宋体" w:cs="Times New Roman"/>
                      <w:lang w:val="en-US" w:eastAsia="zh-CN"/>
                    </w:rPr>
                  </w:pPr>
                  <w:r>
                    <w:rPr>
                      <w:rFonts w:hint="eastAsia" w:cs="Times New Roman"/>
                      <w:lang w:val="en-US" w:eastAsia="zh-CN"/>
                    </w:rPr>
                    <w:t>依托</w:t>
                  </w:r>
                </w:p>
              </w:tc>
            </w:tr>
            <w:tr w14:paraId="61A36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jc w:val="center"/>
              </w:trPr>
              <w:tc>
                <w:tcPr>
                  <w:tcW w:w="382" w:type="pct"/>
                  <w:vMerge w:val="continue"/>
                  <w:vAlign w:val="center"/>
                </w:tcPr>
                <w:p w14:paraId="1ADCD08A">
                  <w:pPr>
                    <w:pStyle w:val="12"/>
                    <w:spacing w:line="240" w:lineRule="auto"/>
                    <w:rPr>
                      <w:rFonts w:cs="Times New Roman"/>
                    </w:rPr>
                  </w:pPr>
                </w:p>
              </w:tc>
              <w:tc>
                <w:tcPr>
                  <w:tcW w:w="383" w:type="pct"/>
                  <w:vAlign w:val="center"/>
                </w:tcPr>
                <w:p w14:paraId="243903F8">
                  <w:pPr>
                    <w:pStyle w:val="12"/>
                    <w:spacing w:line="240" w:lineRule="auto"/>
                    <w:rPr>
                      <w:rFonts w:cs="Times New Roman"/>
                    </w:rPr>
                  </w:pPr>
                  <w:r>
                    <w:rPr>
                      <w:rFonts w:cs="Times New Roman"/>
                    </w:rPr>
                    <w:t>供水</w:t>
                  </w:r>
                </w:p>
              </w:tc>
              <w:tc>
                <w:tcPr>
                  <w:tcW w:w="2891" w:type="pct"/>
                  <w:gridSpan w:val="2"/>
                  <w:vAlign w:val="center"/>
                </w:tcPr>
                <w:p w14:paraId="3A5A16AA">
                  <w:pPr>
                    <w:pStyle w:val="12"/>
                    <w:spacing w:line="240" w:lineRule="auto"/>
                    <w:jc w:val="left"/>
                    <w:rPr>
                      <w:rFonts w:cs="Times New Roman"/>
                    </w:rPr>
                  </w:pPr>
                  <w:r>
                    <w:rPr>
                      <w:rFonts w:hint="eastAsia" w:cs="Times New Roman"/>
                      <w:lang w:val="en-US" w:eastAsia="zh-CN"/>
                    </w:rPr>
                    <w:t>园区</w:t>
                  </w:r>
                  <w:r>
                    <w:rPr>
                      <w:rFonts w:cs="Times New Roman"/>
                    </w:rPr>
                    <w:t>自来水管网供水。</w:t>
                  </w:r>
                </w:p>
              </w:tc>
              <w:tc>
                <w:tcPr>
                  <w:tcW w:w="490" w:type="pct"/>
                  <w:vMerge w:val="continue"/>
                  <w:vAlign w:val="center"/>
                </w:tcPr>
                <w:p w14:paraId="2D243BDE">
                  <w:pPr>
                    <w:pStyle w:val="12"/>
                    <w:spacing w:line="240" w:lineRule="auto"/>
                    <w:rPr>
                      <w:rFonts w:cs="Times New Roman"/>
                    </w:rPr>
                  </w:pPr>
                </w:p>
              </w:tc>
              <w:tc>
                <w:tcPr>
                  <w:tcW w:w="498" w:type="pct"/>
                  <w:vAlign w:val="center"/>
                </w:tcPr>
                <w:p w14:paraId="621991C2">
                  <w:pPr>
                    <w:pStyle w:val="12"/>
                    <w:spacing w:line="240" w:lineRule="auto"/>
                    <w:rPr>
                      <w:rFonts w:cs="Times New Roman"/>
                    </w:rPr>
                  </w:pPr>
                  <w:r>
                    <w:rPr>
                      <w:rFonts w:cs="Times New Roman"/>
                    </w:rPr>
                    <w:t>/</w:t>
                  </w:r>
                </w:p>
              </w:tc>
              <w:tc>
                <w:tcPr>
                  <w:tcW w:w="354" w:type="pct"/>
                  <w:vAlign w:val="center"/>
                </w:tcPr>
                <w:p w14:paraId="40790962">
                  <w:pPr>
                    <w:pStyle w:val="12"/>
                    <w:spacing w:line="240" w:lineRule="auto"/>
                    <w:rPr>
                      <w:rFonts w:hint="eastAsia" w:eastAsia="宋体" w:cs="Times New Roman"/>
                      <w:lang w:val="en-US" w:eastAsia="zh-CN"/>
                    </w:rPr>
                  </w:pPr>
                  <w:r>
                    <w:rPr>
                      <w:rFonts w:hint="eastAsia" w:cs="Times New Roman"/>
                      <w:lang w:val="en-US" w:eastAsia="zh-CN"/>
                    </w:rPr>
                    <w:t>依托</w:t>
                  </w:r>
                </w:p>
              </w:tc>
            </w:tr>
            <w:bookmarkEnd w:id="36"/>
            <w:tr w14:paraId="1EB68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jc w:val="center"/>
              </w:trPr>
              <w:tc>
                <w:tcPr>
                  <w:tcW w:w="382" w:type="pct"/>
                  <w:vMerge w:val="continue"/>
                  <w:vAlign w:val="center"/>
                </w:tcPr>
                <w:p w14:paraId="42AFDC6D">
                  <w:pPr>
                    <w:pStyle w:val="12"/>
                    <w:spacing w:line="240" w:lineRule="auto"/>
                    <w:rPr>
                      <w:rFonts w:cs="Times New Roman"/>
                    </w:rPr>
                  </w:pPr>
                </w:p>
              </w:tc>
              <w:tc>
                <w:tcPr>
                  <w:tcW w:w="383" w:type="pct"/>
                  <w:vAlign w:val="center"/>
                </w:tcPr>
                <w:p w14:paraId="6FA82241">
                  <w:pPr>
                    <w:pStyle w:val="12"/>
                    <w:spacing w:line="240" w:lineRule="auto"/>
                    <w:rPr>
                      <w:rFonts w:cs="Times New Roman"/>
                    </w:rPr>
                  </w:pPr>
                  <w:r>
                    <w:rPr>
                      <w:rFonts w:cs="Times New Roman"/>
                    </w:rPr>
                    <w:t>排水</w:t>
                  </w:r>
                </w:p>
              </w:tc>
              <w:tc>
                <w:tcPr>
                  <w:tcW w:w="2891" w:type="pct"/>
                  <w:gridSpan w:val="2"/>
                  <w:vAlign w:val="center"/>
                </w:tcPr>
                <w:p w14:paraId="2036FD98">
                  <w:pPr>
                    <w:pStyle w:val="12"/>
                    <w:spacing w:line="240" w:lineRule="auto"/>
                    <w:jc w:val="left"/>
                    <w:rPr>
                      <w:rFonts w:cs="Times New Roman"/>
                    </w:rPr>
                  </w:pPr>
                  <w:r>
                    <w:rPr>
                      <w:rFonts w:cs="Times New Roman"/>
                    </w:rPr>
                    <w:t>园区配套雨水、污水管网，雨污分流。</w:t>
                  </w:r>
                </w:p>
              </w:tc>
              <w:tc>
                <w:tcPr>
                  <w:tcW w:w="490" w:type="pct"/>
                  <w:vMerge w:val="continue"/>
                  <w:vAlign w:val="center"/>
                </w:tcPr>
                <w:p w14:paraId="78AB6BEF">
                  <w:pPr>
                    <w:pStyle w:val="12"/>
                    <w:spacing w:line="240" w:lineRule="auto"/>
                    <w:rPr>
                      <w:rFonts w:cs="Times New Roman"/>
                    </w:rPr>
                  </w:pPr>
                </w:p>
              </w:tc>
              <w:tc>
                <w:tcPr>
                  <w:tcW w:w="498" w:type="pct"/>
                  <w:vAlign w:val="center"/>
                </w:tcPr>
                <w:p w14:paraId="6358A71C">
                  <w:pPr>
                    <w:pStyle w:val="12"/>
                    <w:spacing w:line="240" w:lineRule="auto"/>
                    <w:rPr>
                      <w:rFonts w:cs="Times New Roman"/>
                    </w:rPr>
                  </w:pPr>
                  <w:r>
                    <w:rPr>
                      <w:rFonts w:cs="Times New Roman"/>
                    </w:rPr>
                    <w:t>废水</w:t>
                  </w:r>
                </w:p>
              </w:tc>
              <w:tc>
                <w:tcPr>
                  <w:tcW w:w="354" w:type="pct"/>
                  <w:vAlign w:val="center"/>
                </w:tcPr>
                <w:p w14:paraId="3241F4CA">
                  <w:pPr>
                    <w:pStyle w:val="12"/>
                    <w:spacing w:line="240" w:lineRule="auto"/>
                    <w:rPr>
                      <w:rFonts w:hint="eastAsia" w:eastAsia="宋体" w:cs="Times New Roman"/>
                      <w:lang w:val="en-US" w:eastAsia="zh-CN"/>
                    </w:rPr>
                  </w:pPr>
                  <w:r>
                    <w:rPr>
                      <w:rFonts w:hint="eastAsia" w:cs="Times New Roman"/>
                      <w:lang w:val="en-US" w:eastAsia="zh-CN"/>
                    </w:rPr>
                    <w:t>依托</w:t>
                  </w:r>
                </w:p>
              </w:tc>
            </w:tr>
            <w:tr w14:paraId="22B7D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jc w:val="center"/>
              </w:trPr>
              <w:tc>
                <w:tcPr>
                  <w:tcW w:w="382" w:type="pct"/>
                  <w:vMerge w:val="restart"/>
                  <w:vAlign w:val="center"/>
                </w:tcPr>
                <w:p w14:paraId="05E9B463">
                  <w:pPr>
                    <w:pStyle w:val="12"/>
                    <w:spacing w:line="240" w:lineRule="auto"/>
                    <w:rPr>
                      <w:rFonts w:hint="default" w:eastAsia="宋体" w:cs="Times New Roman"/>
                      <w:lang w:val="en-US" w:eastAsia="zh-CN"/>
                    </w:rPr>
                  </w:pPr>
                  <w:r>
                    <w:rPr>
                      <w:rFonts w:hint="eastAsia" w:cs="Times New Roman"/>
                      <w:lang w:val="en-US" w:eastAsia="zh-CN"/>
                    </w:rPr>
                    <w:t>生活办公设施</w:t>
                  </w:r>
                </w:p>
              </w:tc>
              <w:tc>
                <w:tcPr>
                  <w:tcW w:w="383" w:type="pct"/>
                  <w:vAlign w:val="center"/>
                </w:tcPr>
                <w:p w14:paraId="71B9DB9B">
                  <w:pPr>
                    <w:pStyle w:val="12"/>
                    <w:spacing w:line="240" w:lineRule="auto"/>
                    <w:rPr>
                      <w:rFonts w:hint="eastAsia" w:eastAsia="宋体" w:cs="Times New Roman"/>
                      <w:lang w:eastAsia="zh-CN"/>
                    </w:rPr>
                  </w:pPr>
                  <w:r>
                    <w:rPr>
                      <w:rFonts w:cs="Times New Roman"/>
                    </w:rPr>
                    <w:t>办公</w:t>
                  </w:r>
                  <w:r>
                    <w:rPr>
                      <w:rFonts w:hint="eastAsia" w:cs="Times New Roman"/>
                      <w:lang w:val="en-US" w:eastAsia="zh-CN"/>
                    </w:rPr>
                    <w:t>楼</w:t>
                  </w:r>
                </w:p>
              </w:tc>
              <w:tc>
                <w:tcPr>
                  <w:tcW w:w="2891" w:type="pct"/>
                  <w:gridSpan w:val="2"/>
                  <w:vAlign w:val="center"/>
                </w:tcPr>
                <w:p w14:paraId="022AB882">
                  <w:pPr>
                    <w:pStyle w:val="12"/>
                    <w:spacing w:line="240" w:lineRule="auto"/>
                    <w:jc w:val="left"/>
                    <w:rPr>
                      <w:rFonts w:hint="eastAsia" w:cs="Times New Roman"/>
                      <w:lang w:val="en-US" w:eastAsia="zh-CN"/>
                    </w:rPr>
                  </w:pPr>
                  <w:r>
                    <w:rPr>
                      <w:rFonts w:hint="eastAsia" w:cs="Times New Roman"/>
                      <w:lang w:val="en-US" w:eastAsia="zh-CN"/>
                    </w:rPr>
                    <w:t>租用已建成办公楼部分区域进行适应性改造后，用于人员办公。办公楼构筑物3F，位于1号厂房外南侧，本项目租用已建办公楼1F南侧区域，设置办公区、食堂，用于人员办公及用餐。</w:t>
                  </w:r>
                </w:p>
                <w:p w14:paraId="575F2DBF">
                  <w:pPr>
                    <w:pStyle w:val="12"/>
                    <w:spacing w:line="240" w:lineRule="auto"/>
                    <w:jc w:val="left"/>
                    <w:rPr>
                      <w:rFonts w:hint="default" w:cs="Times New Roman"/>
                      <w:lang w:val="en-US" w:eastAsia="zh-CN"/>
                    </w:rPr>
                  </w:pPr>
                  <w:r>
                    <w:rPr>
                      <w:rFonts w:hint="eastAsia" w:cs="Times New Roman"/>
                      <w:lang w:val="en-US" w:eastAsia="zh-CN"/>
                    </w:rPr>
                    <w:t>食堂内设置隔油池（3m</w:t>
                  </w:r>
                  <w:r>
                    <w:rPr>
                      <w:rFonts w:hint="eastAsia" w:cs="Times New Roman"/>
                      <w:vertAlign w:val="superscript"/>
                      <w:lang w:val="en-US" w:eastAsia="zh-CN"/>
                    </w:rPr>
                    <w:t>3</w:t>
                  </w:r>
                  <w:r>
                    <w:rPr>
                      <w:rFonts w:hint="eastAsia" w:cs="Times New Roman"/>
                      <w:lang w:val="en-US" w:eastAsia="zh-CN"/>
                    </w:rPr>
                    <w:t>）1座、油烟净化器1台及配套风管。</w:t>
                  </w:r>
                </w:p>
              </w:tc>
              <w:tc>
                <w:tcPr>
                  <w:tcW w:w="490" w:type="pct"/>
                  <w:vMerge w:val="continue"/>
                  <w:vAlign w:val="center"/>
                </w:tcPr>
                <w:p w14:paraId="3BF4F59F">
                  <w:pPr>
                    <w:pStyle w:val="12"/>
                    <w:spacing w:line="240" w:lineRule="auto"/>
                    <w:rPr>
                      <w:rFonts w:cs="Times New Roman"/>
                    </w:rPr>
                  </w:pPr>
                </w:p>
              </w:tc>
              <w:tc>
                <w:tcPr>
                  <w:tcW w:w="498" w:type="pct"/>
                  <w:vMerge w:val="restart"/>
                  <w:vAlign w:val="center"/>
                </w:tcPr>
                <w:p w14:paraId="3F7F968D">
                  <w:pPr>
                    <w:pStyle w:val="12"/>
                    <w:spacing w:line="240" w:lineRule="auto"/>
                    <w:rPr>
                      <w:rFonts w:cs="Times New Roman"/>
                    </w:rPr>
                  </w:pPr>
                  <w:r>
                    <w:rPr>
                      <w:rFonts w:cs="Times New Roman"/>
                    </w:rPr>
                    <w:t>生活污水、生活垃圾</w:t>
                  </w:r>
                </w:p>
              </w:tc>
              <w:tc>
                <w:tcPr>
                  <w:tcW w:w="354" w:type="pct"/>
                  <w:vAlign w:val="center"/>
                </w:tcPr>
                <w:p w14:paraId="73EFE55E">
                  <w:pPr>
                    <w:pStyle w:val="12"/>
                    <w:spacing w:line="240" w:lineRule="auto"/>
                    <w:rPr>
                      <w:rFonts w:hint="eastAsia" w:eastAsia="宋体" w:cs="Times New Roman"/>
                      <w:lang w:val="en-US" w:eastAsia="zh-CN"/>
                    </w:rPr>
                  </w:pPr>
                  <w:r>
                    <w:rPr>
                      <w:rFonts w:hint="eastAsia" w:cs="Times New Roman"/>
                      <w:lang w:val="en-US" w:eastAsia="zh-CN"/>
                    </w:rPr>
                    <w:t>依托</w:t>
                  </w:r>
                </w:p>
              </w:tc>
            </w:tr>
            <w:tr w14:paraId="4E220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jc w:val="center"/>
              </w:trPr>
              <w:tc>
                <w:tcPr>
                  <w:tcW w:w="382" w:type="pct"/>
                  <w:vMerge w:val="continue"/>
                  <w:vAlign w:val="center"/>
                </w:tcPr>
                <w:p w14:paraId="4FE832C1">
                  <w:pPr>
                    <w:pStyle w:val="12"/>
                    <w:spacing w:line="240" w:lineRule="auto"/>
                    <w:rPr>
                      <w:rFonts w:hint="eastAsia" w:cs="Times New Roman"/>
                      <w:lang w:val="en-US" w:eastAsia="zh-CN"/>
                    </w:rPr>
                  </w:pPr>
                </w:p>
              </w:tc>
              <w:tc>
                <w:tcPr>
                  <w:tcW w:w="383" w:type="pct"/>
                  <w:vAlign w:val="center"/>
                </w:tcPr>
                <w:p w14:paraId="5FE77BE0">
                  <w:pPr>
                    <w:pStyle w:val="12"/>
                    <w:spacing w:line="240" w:lineRule="auto"/>
                    <w:rPr>
                      <w:rFonts w:hint="default" w:eastAsia="宋体" w:cs="Times New Roman"/>
                      <w:lang w:val="en-US" w:eastAsia="zh-CN"/>
                    </w:rPr>
                  </w:pPr>
                  <w:r>
                    <w:rPr>
                      <w:rFonts w:hint="eastAsia" w:cs="Times New Roman"/>
                      <w:lang w:val="en-US" w:eastAsia="zh-CN"/>
                    </w:rPr>
                    <w:t>宿舍楼</w:t>
                  </w:r>
                </w:p>
              </w:tc>
              <w:tc>
                <w:tcPr>
                  <w:tcW w:w="2891" w:type="pct"/>
                  <w:gridSpan w:val="2"/>
                  <w:vAlign w:val="center"/>
                </w:tcPr>
                <w:p w14:paraId="388B4364">
                  <w:pPr>
                    <w:pStyle w:val="12"/>
                    <w:spacing w:line="240" w:lineRule="auto"/>
                    <w:jc w:val="left"/>
                    <w:rPr>
                      <w:rFonts w:hint="default" w:cs="Times New Roman"/>
                      <w:lang w:val="en-US" w:eastAsia="zh-CN"/>
                    </w:rPr>
                  </w:pPr>
                  <w:r>
                    <w:rPr>
                      <w:rFonts w:hint="eastAsia" w:cs="Times New Roman"/>
                      <w:lang w:val="en-US" w:eastAsia="zh-CN"/>
                    </w:rPr>
                    <w:t>租用已建成宿舍部分区域，作为工作人员住宿场地。宿舍楼共5F，位于3号厂房东北侧，本项目租用其中部分房间，用于人员住宿。</w:t>
                  </w:r>
                </w:p>
              </w:tc>
              <w:tc>
                <w:tcPr>
                  <w:tcW w:w="490" w:type="pct"/>
                  <w:vMerge w:val="continue"/>
                  <w:vAlign w:val="center"/>
                </w:tcPr>
                <w:p w14:paraId="31824615">
                  <w:pPr>
                    <w:pStyle w:val="12"/>
                    <w:spacing w:line="240" w:lineRule="auto"/>
                    <w:rPr>
                      <w:rFonts w:cs="Times New Roman"/>
                    </w:rPr>
                  </w:pPr>
                </w:p>
              </w:tc>
              <w:tc>
                <w:tcPr>
                  <w:tcW w:w="498" w:type="pct"/>
                  <w:vMerge w:val="continue"/>
                  <w:vAlign w:val="center"/>
                </w:tcPr>
                <w:p w14:paraId="2D8D63C2">
                  <w:pPr>
                    <w:pStyle w:val="12"/>
                    <w:spacing w:line="240" w:lineRule="auto"/>
                    <w:rPr>
                      <w:rFonts w:cs="Times New Roman"/>
                    </w:rPr>
                  </w:pPr>
                </w:p>
              </w:tc>
              <w:tc>
                <w:tcPr>
                  <w:tcW w:w="354" w:type="pct"/>
                  <w:vAlign w:val="center"/>
                </w:tcPr>
                <w:p w14:paraId="09C44005">
                  <w:pPr>
                    <w:pStyle w:val="12"/>
                    <w:spacing w:line="240" w:lineRule="auto"/>
                    <w:rPr>
                      <w:rFonts w:hint="eastAsia" w:eastAsia="宋体" w:cs="Times New Roman"/>
                      <w:lang w:val="en-US" w:eastAsia="zh-CN"/>
                    </w:rPr>
                  </w:pPr>
                  <w:r>
                    <w:rPr>
                      <w:rFonts w:hint="eastAsia" w:cs="Times New Roman"/>
                      <w:lang w:val="en-US" w:eastAsia="zh-CN"/>
                    </w:rPr>
                    <w:t>依托</w:t>
                  </w:r>
                </w:p>
              </w:tc>
            </w:tr>
            <w:tr w14:paraId="2E49C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jc w:val="center"/>
              </w:trPr>
              <w:tc>
                <w:tcPr>
                  <w:tcW w:w="382" w:type="pct"/>
                  <w:vMerge w:val="restart"/>
                  <w:vAlign w:val="center"/>
                </w:tcPr>
                <w:p w14:paraId="0BE34FE5">
                  <w:pPr>
                    <w:pStyle w:val="12"/>
                    <w:spacing w:line="240" w:lineRule="auto"/>
                    <w:rPr>
                      <w:rFonts w:cs="Times New Roman"/>
                    </w:rPr>
                  </w:pPr>
                  <w:r>
                    <w:rPr>
                      <w:rFonts w:cs="Times New Roman"/>
                    </w:rPr>
                    <w:t>环保工程</w:t>
                  </w:r>
                </w:p>
              </w:tc>
              <w:tc>
                <w:tcPr>
                  <w:tcW w:w="383" w:type="pct"/>
                  <w:vMerge w:val="restart"/>
                  <w:vAlign w:val="center"/>
                </w:tcPr>
                <w:p w14:paraId="301739B3">
                  <w:pPr>
                    <w:pStyle w:val="12"/>
                    <w:spacing w:line="240" w:lineRule="auto"/>
                    <w:rPr>
                      <w:rFonts w:hint="default" w:eastAsia="宋体" w:cs="Times New Roman"/>
                      <w:lang w:val="en-US" w:eastAsia="zh-CN"/>
                    </w:rPr>
                  </w:pPr>
                  <w:r>
                    <w:rPr>
                      <w:rFonts w:cs="Times New Roman"/>
                    </w:rPr>
                    <w:t>废气治理</w:t>
                  </w:r>
                </w:p>
              </w:tc>
              <w:tc>
                <w:tcPr>
                  <w:tcW w:w="547" w:type="pct"/>
                  <w:vAlign w:val="center"/>
                </w:tcPr>
                <w:p w14:paraId="0DC16B3F">
                  <w:pPr>
                    <w:pStyle w:val="12"/>
                    <w:spacing w:line="240" w:lineRule="auto"/>
                    <w:rPr>
                      <w:rFonts w:hint="default" w:eastAsia="宋体" w:cs="Times New Roman"/>
                      <w:lang w:val="en-US" w:eastAsia="zh-CN"/>
                    </w:rPr>
                  </w:pPr>
                  <w:r>
                    <w:rPr>
                      <w:rFonts w:hint="eastAsia" w:cs="Times New Roman"/>
                      <w:lang w:val="en-US" w:eastAsia="zh-CN"/>
                    </w:rPr>
                    <w:t>G1煅烧废气</w:t>
                  </w:r>
                </w:p>
              </w:tc>
              <w:tc>
                <w:tcPr>
                  <w:tcW w:w="2343" w:type="pct"/>
                  <w:vAlign w:val="center"/>
                </w:tcPr>
                <w:p w14:paraId="126EEB36">
                  <w:pPr>
                    <w:pStyle w:val="12"/>
                    <w:spacing w:line="240" w:lineRule="auto"/>
                    <w:jc w:val="left"/>
                    <w:rPr>
                      <w:rFonts w:hint="eastAsia" w:cs="Times New Roman"/>
                      <w:lang w:val="en-US" w:eastAsia="zh-CN"/>
                    </w:rPr>
                  </w:pPr>
                  <w:r>
                    <w:rPr>
                      <w:rFonts w:hint="eastAsia" w:cs="Times New Roman"/>
                      <w:lang w:val="en-US" w:eastAsia="zh-CN"/>
                    </w:rPr>
                    <w:t>于窑尾处收集后经旋风除尘器+布袋除尘器1#+活性炭喷射+布袋除尘器2#+3座脱酸塔处理后，经1根25m高排气筒排放（DA001）</w:t>
                  </w:r>
                </w:p>
              </w:tc>
              <w:tc>
                <w:tcPr>
                  <w:tcW w:w="490" w:type="pct"/>
                  <w:vMerge w:val="continue"/>
                  <w:vAlign w:val="center"/>
                </w:tcPr>
                <w:p w14:paraId="0FBD2113">
                  <w:pPr>
                    <w:pStyle w:val="12"/>
                    <w:spacing w:line="240" w:lineRule="auto"/>
                    <w:rPr>
                      <w:rFonts w:cs="Times New Roman"/>
                    </w:rPr>
                  </w:pPr>
                </w:p>
              </w:tc>
              <w:tc>
                <w:tcPr>
                  <w:tcW w:w="498" w:type="pct"/>
                  <w:vMerge w:val="restart"/>
                  <w:vAlign w:val="center"/>
                </w:tcPr>
                <w:p w14:paraId="279F2C60">
                  <w:pPr>
                    <w:pStyle w:val="12"/>
                    <w:spacing w:line="240" w:lineRule="auto"/>
                    <w:rPr>
                      <w:rFonts w:cs="Times New Roman"/>
                    </w:rPr>
                  </w:pPr>
                  <w:r>
                    <w:rPr>
                      <w:rFonts w:cs="Times New Roman"/>
                    </w:rPr>
                    <w:t>废气、噪声、固废</w:t>
                  </w:r>
                </w:p>
              </w:tc>
              <w:tc>
                <w:tcPr>
                  <w:tcW w:w="354" w:type="pct"/>
                  <w:vAlign w:val="center"/>
                </w:tcPr>
                <w:p w14:paraId="3A4ABAC2">
                  <w:pPr>
                    <w:pStyle w:val="12"/>
                    <w:spacing w:line="240" w:lineRule="auto"/>
                    <w:ind w:firstLine="0" w:firstLineChars="0"/>
                    <w:rPr>
                      <w:rFonts w:cs="Times New Roman"/>
                    </w:rPr>
                  </w:pPr>
                  <w:r>
                    <w:rPr>
                      <w:rFonts w:hint="eastAsia" w:cs="Times New Roman"/>
                      <w:lang w:val="en-US" w:eastAsia="zh-CN"/>
                    </w:rPr>
                    <w:t>新建</w:t>
                  </w:r>
                </w:p>
              </w:tc>
            </w:tr>
            <w:tr w14:paraId="39C71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jc w:val="center"/>
              </w:trPr>
              <w:tc>
                <w:tcPr>
                  <w:tcW w:w="382" w:type="pct"/>
                  <w:vMerge w:val="continue"/>
                  <w:vAlign w:val="center"/>
                </w:tcPr>
                <w:p w14:paraId="74BDFFA5">
                  <w:pPr>
                    <w:pStyle w:val="12"/>
                    <w:spacing w:line="240" w:lineRule="auto"/>
                    <w:rPr>
                      <w:rFonts w:cs="Times New Roman"/>
                    </w:rPr>
                  </w:pPr>
                </w:p>
              </w:tc>
              <w:tc>
                <w:tcPr>
                  <w:tcW w:w="383" w:type="pct"/>
                  <w:vMerge w:val="continue"/>
                  <w:vAlign w:val="center"/>
                </w:tcPr>
                <w:p w14:paraId="3003AE32">
                  <w:pPr>
                    <w:pStyle w:val="12"/>
                    <w:spacing w:line="240" w:lineRule="auto"/>
                    <w:rPr>
                      <w:rFonts w:cs="Times New Roman"/>
                    </w:rPr>
                  </w:pPr>
                </w:p>
              </w:tc>
              <w:tc>
                <w:tcPr>
                  <w:tcW w:w="547" w:type="pct"/>
                  <w:vAlign w:val="center"/>
                </w:tcPr>
                <w:p w14:paraId="7A0FA652">
                  <w:pPr>
                    <w:pStyle w:val="12"/>
                    <w:spacing w:line="240" w:lineRule="auto"/>
                    <w:ind w:firstLine="0" w:firstLineChars="0"/>
                    <w:rPr>
                      <w:rFonts w:hint="default" w:cs="Times New Roman"/>
                      <w:lang w:val="en-US" w:eastAsia="zh-CN"/>
                    </w:rPr>
                  </w:pPr>
                  <w:r>
                    <w:rPr>
                      <w:rFonts w:hint="eastAsia" w:cs="Times New Roman"/>
                      <w:lang w:val="en-US" w:eastAsia="zh-CN"/>
                    </w:rPr>
                    <w:t>G2 2号厂房异味</w:t>
                  </w:r>
                </w:p>
              </w:tc>
              <w:tc>
                <w:tcPr>
                  <w:tcW w:w="2343" w:type="pct"/>
                  <w:vAlign w:val="center"/>
                </w:tcPr>
                <w:p w14:paraId="4001498C">
                  <w:pPr>
                    <w:pStyle w:val="12"/>
                    <w:spacing w:line="240" w:lineRule="auto"/>
                    <w:ind w:firstLine="0" w:firstLineChars="0"/>
                    <w:jc w:val="left"/>
                    <w:rPr>
                      <w:rFonts w:hint="default" w:cs="Times New Roman"/>
                      <w:lang w:val="en-US" w:eastAsia="zh-CN"/>
                    </w:rPr>
                  </w:pPr>
                  <w:r>
                    <w:rPr>
                      <w:rFonts w:hint="eastAsia" w:cs="Times New Roman"/>
                      <w:lang w:val="en-US" w:eastAsia="zh-CN"/>
                    </w:rPr>
                    <w:t>车间密闭+喷洒除臭剂</w:t>
                  </w:r>
                </w:p>
              </w:tc>
              <w:tc>
                <w:tcPr>
                  <w:tcW w:w="490" w:type="pct"/>
                  <w:vMerge w:val="continue"/>
                  <w:vAlign w:val="center"/>
                </w:tcPr>
                <w:p w14:paraId="4F141546">
                  <w:pPr>
                    <w:pStyle w:val="12"/>
                    <w:spacing w:line="240" w:lineRule="auto"/>
                    <w:rPr>
                      <w:rFonts w:cs="Times New Roman"/>
                    </w:rPr>
                  </w:pPr>
                </w:p>
              </w:tc>
              <w:tc>
                <w:tcPr>
                  <w:tcW w:w="498" w:type="pct"/>
                  <w:vMerge w:val="continue"/>
                  <w:vAlign w:val="center"/>
                </w:tcPr>
                <w:p w14:paraId="59BB3ABF">
                  <w:pPr>
                    <w:pStyle w:val="12"/>
                    <w:spacing w:line="240" w:lineRule="auto"/>
                    <w:rPr>
                      <w:rFonts w:cs="Times New Roman"/>
                    </w:rPr>
                  </w:pPr>
                </w:p>
              </w:tc>
              <w:tc>
                <w:tcPr>
                  <w:tcW w:w="354" w:type="pct"/>
                  <w:vAlign w:val="center"/>
                </w:tcPr>
                <w:p w14:paraId="5B39FBAF">
                  <w:pPr>
                    <w:pStyle w:val="12"/>
                    <w:spacing w:line="240" w:lineRule="auto"/>
                    <w:ind w:firstLine="0" w:firstLineChars="0"/>
                    <w:rPr>
                      <w:rFonts w:cs="Times New Roman"/>
                    </w:rPr>
                  </w:pPr>
                  <w:r>
                    <w:rPr>
                      <w:rFonts w:hint="eastAsia" w:cs="Times New Roman"/>
                      <w:lang w:val="en-US" w:eastAsia="zh-CN"/>
                    </w:rPr>
                    <w:t>新建</w:t>
                  </w:r>
                </w:p>
              </w:tc>
            </w:tr>
            <w:tr w14:paraId="2DF87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jc w:val="center"/>
              </w:trPr>
              <w:tc>
                <w:tcPr>
                  <w:tcW w:w="382" w:type="pct"/>
                  <w:vMerge w:val="continue"/>
                  <w:vAlign w:val="center"/>
                </w:tcPr>
                <w:p w14:paraId="09A14895">
                  <w:pPr>
                    <w:pStyle w:val="12"/>
                    <w:spacing w:line="240" w:lineRule="auto"/>
                    <w:rPr>
                      <w:rFonts w:cs="Times New Roman"/>
                    </w:rPr>
                  </w:pPr>
                </w:p>
              </w:tc>
              <w:tc>
                <w:tcPr>
                  <w:tcW w:w="383" w:type="pct"/>
                  <w:vMerge w:val="continue"/>
                  <w:vAlign w:val="center"/>
                </w:tcPr>
                <w:p w14:paraId="03EBE4F9">
                  <w:pPr>
                    <w:pStyle w:val="12"/>
                    <w:spacing w:line="240" w:lineRule="auto"/>
                    <w:rPr>
                      <w:rFonts w:cs="Times New Roman"/>
                    </w:rPr>
                  </w:pPr>
                </w:p>
              </w:tc>
              <w:tc>
                <w:tcPr>
                  <w:tcW w:w="547" w:type="pct"/>
                  <w:vAlign w:val="center"/>
                </w:tcPr>
                <w:p w14:paraId="289F5803">
                  <w:pPr>
                    <w:pStyle w:val="12"/>
                    <w:spacing w:line="240" w:lineRule="auto"/>
                    <w:ind w:firstLine="0" w:firstLineChars="0"/>
                    <w:rPr>
                      <w:rFonts w:hint="default" w:cs="Times New Roman"/>
                      <w:lang w:val="en-US" w:eastAsia="zh-CN"/>
                    </w:rPr>
                  </w:pPr>
                  <w:r>
                    <w:rPr>
                      <w:rFonts w:hint="eastAsia" w:cs="Times New Roman"/>
                      <w:lang w:val="en-US" w:eastAsia="zh-CN"/>
                    </w:rPr>
                    <w:t>G3 1号厂房异味</w:t>
                  </w:r>
                </w:p>
              </w:tc>
              <w:tc>
                <w:tcPr>
                  <w:tcW w:w="2343" w:type="pct"/>
                  <w:vAlign w:val="center"/>
                </w:tcPr>
                <w:p w14:paraId="2532F224">
                  <w:pPr>
                    <w:pStyle w:val="12"/>
                    <w:spacing w:line="240" w:lineRule="auto"/>
                    <w:ind w:firstLine="0" w:firstLineChars="0"/>
                    <w:jc w:val="left"/>
                    <w:rPr>
                      <w:rFonts w:hint="eastAsia" w:cs="Times New Roman"/>
                      <w:lang w:val="en-US" w:eastAsia="zh-CN"/>
                    </w:rPr>
                  </w:pPr>
                  <w:r>
                    <w:rPr>
                      <w:rFonts w:hint="eastAsia" w:cs="Times New Roman"/>
                      <w:lang w:val="en-US" w:eastAsia="zh-CN"/>
                    </w:rPr>
                    <w:t>车间密闭+喷洒除臭剂</w:t>
                  </w:r>
                </w:p>
              </w:tc>
              <w:tc>
                <w:tcPr>
                  <w:tcW w:w="490" w:type="pct"/>
                  <w:vMerge w:val="continue"/>
                  <w:vAlign w:val="center"/>
                </w:tcPr>
                <w:p w14:paraId="50B7CCCD">
                  <w:pPr>
                    <w:pStyle w:val="12"/>
                    <w:spacing w:line="240" w:lineRule="auto"/>
                    <w:rPr>
                      <w:rFonts w:cs="Times New Roman"/>
                    </w:rPr>
                  </w:pPr>
                </w:p>
              </w:tc>
              <w:tc>
                <w:tcPr>
                  <w:tcW w:w="498" w:type="pct"/>
                  <w:vMerge w:val="continue"/>
                  <w:vAlign w:val="center"/>
                </w:tcPr>
                <w:p w14:paraId="0BEDF7B8">
                  <w:pPr>
                    <w:pStyle w:val="12"/>
                    <w:spacing w:line="240" w:lineRule="auto"/>
                    <w:rPr>
                      <w:rFonts w:cs="Times New Roman"/>
                    </w:rPr>
                  </w:pPr>
                </w:p>
              </w:tc>
              <w:tc>
                <w:tcPr>
                  <w:tcW w:w="354" w:type="pct"/>
                  <w:vAlign w:val="center"/>
                </w:tcPr>
                <w:p w14:paraId="1217B93A">
                  <w:pPr>
                    <w:pStyle w:val="12"/>
                    <w:spacing w:line="240" w:lineRule="auto"/>
                    <w:ind w:firstLine="0" w:firstLineChars="0"/>
                    <w:rPr>
                      <w:rFonts w:cs="Times New Roman"/>
                    </w:rPr>
                  </w:pPr>
                  <w:r>
                    <w:rPr>
                      <w:rFonts w:hint="eastAsia" w:cs="Times New Roman"/>
                      <w:lang w:val="en-US" w:eastAsia="zh-CN"/>
                    </w:rPr>
                    <w:t>新建</w:t>
                  </w:r>
                </w:p>
              </w:tc>
            </w:tr>
            <w:tr w14:paraId="5513A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jc w:val="center"/>
              </w:trPr>
              <w:tc>
                <w:tcPr>
                  <w:tcW w:w="382" w:type="pct"/>
                  <w:vMerge w:val="continue"/>
                  <w:vAlign w:val="center"/>
                </w:tcPr>
                <w:p w14:paraId="075198DB">
                  <w:pPr>
                    <w:pStyle w:val="12"/>
                    <w:spacing w:line="240" w:lineRule="auto"/>
                    <w:rPr>
                      <w:rFonts w:cs="Times New Roman"/>
                    </w:rPr>
                  </w:pPr>
                </w:p>
              </w:tc>
              <w:tc>
                <w:tcPr>
                  <w:tcW w:w="383" w:type="pct"/>
                  <w:vMerge w:val="continue"/>
                  <w:vAlign w:val="center"/>
                </w:tcPr>
                <w:p w14:paraId="0C1B7321">
                  <w:pPr>
                    <w:pStyle w:val="12"/>
                    <w:spacing w:line="240" w:lineRule="auto"/>
                    <w:rPr>
                      <w:rFonts w:cs="Times New Roman"/>
                    </w:rPr>
                  </w:pPr>
                </w:p>
              </w:tc>
              <w:tc>
                <w:tcPr>
                  <w:tcW w:w="547" w:type="pct"/>
                  <w:shd w:val="clear" w:color="auto" w:fill="auto"/>
                  <w:vAlign w:val="center"/>
                </w:tcPr>
                <w:p w14:paraId="6438FE83">
                  <w:pPr>
                    <w:pStyle w:val="12"/>
                    <w:spacing w:line="240" w:lineRule="auto"/>
                    <w:ind w:firstLine="0" w:firstLineChars="0"/>
                    <w:rPr>
                      <w:rFonts w:hint="eastAsia" w:ascii="Times New Roman" w:hAnsi="Times New Roman" w:eastAsia="宋体" w:cs="Times New Roman"/>
                      <w:b w:val="0"/>
                      <w:bCs/>
                      <w:kern w:val="0"/>
                      <w:sz w:val="21"/>
                      <w:szCs w:val="24"/>
                      <w:lang w:val="en-US" w:eastAsia="zh-CN" w:bidi="ar-SA"/>
                    </w:rPr>
                  </w:pPr>
                  <w:r>
                    <w:rPr>
                      <w:rFonts w:hint="eastAsia" w:cs="Times New Roman"/>
                      <w:lang w:val="en-US" w:eastAsia="zh-CN"/>
                    </w:rPr>
                    <w:t>G4预处理药剂投加粉尘</w:t>
                  </w:r>
                </w:p>
              </w:tc>
              <w:tc>
                <w:tcPr>
                  <w:tcW w:w="2343" w:type="pct"/>
                  <w:shd w:val="clear" w:color="auto" w:fill="auto"/>
                  <w:vAlign w:val="center"/>
                </w:tcPr>
                <w:p w14:paraId="4CE74F75">
                  <w:pPr>
                    <w:pStyle w:val="12"/>
                    <w:spacing w:line="240" w:lineRule="auto"/>
                    <w:ind w:firstLine="0" w:firstLineChars="0"/>
                    <w:jc w:val="left"/>
                    <w:rPr>
                      <w:rFonts w:hint="eastAsia" w:ascii="Times New Roman" w:hAnsi="Times New Roman" w:eastAsia="宋体" w:cs="Times New Roman"/>
                      <w:b w:val="0"/>
                      <w:bCs/>
                      <w:kern w:val="0"/>
                      <w:sz w:val="21"/>
                      <w:szCs w:val="24"/>
                      <w:lang w:val="en-US" w:eastAsia="zh-CN" w:bidi="ar-SA"/>
                    </w:rPr>
                  </w:pPr>
                  <w:r>
                    <w:rPr>
                      <w:rFonts w:hint="eastAsia" w:cs="Times New Roman"/>
                      <w:lang w:val="en-US" w:eastAsia="zh-CN"/>
                    </w:rPr>
                    <w:t>投料口围挡+喷雾抑尘+厂房沉降</w:t>
                  </w:r>
                </w:p>
              </w:tc>
              <w:tc>
                <w:tcPr>
                  <w:tcW w:w="490" w:type="pct"/>
                  <w:vMerge w:val="continue"/>
                  <w:vAlign w:val="center"/>
                </w:tcPr>
                <w:p w14:paraId="113715F1">
                  <w:pPr>
                    <w:pStyle w:val="12"/>
                    <w:spacing w:line="240" w:lineRule="auto"/>
                    <w:rPr>
                      <w:rFonts w:cs="Times New Roman"/>
                    </w:rPr>
                  </w:pPr>
                </w:p>
              </w:tc>
              <w:tc>
                <w:tcPr>
                  <w:tcW w:w="498" w:type="pct"/>
                  <w:vMerge w:val="continue"/>
                  <w:vAlign w:val="center"/>
                </w:tcPr>
                <w:p w14:paraId="43300E76">
                  <w:pPr>
                    <w:pStyle w:val="12"/>
                    <w:spacing w:line="240" w:lineRule="auto"/>
                    <w:rPr>
                      <w:rFonts w:cs="Times New Roman"/>
                    </w:rPr>
                  </w:pPr>
                </w:p>
              </w:tc>
              <w:tc>
                <w:tcPr>
                  <w:tcW w:w="354" w:type="pct"/>
                  <w:vAlign w:val="center"/>
                </w:tcPr>
                <w:p w14:paraId="6585FB2C">
                  <w:pPr>
                    <w:pStyle w:val="12"/>
                    <w:spacing w:line="240" w:lineRule="auto"/>
                    <w:ind w:firstLine="0" w:firstLineChars="0"/>
                    <w:rPr>
                      <w:rFonts w:hint="default" w:cs="Times New Roman"/>
                      <w:lang w:val="en-US" w:eastAsia="zh-CN"/>
                    </w:rPr>
                  </w:pPr>
                  <w:r>
                    <w:rPr>
                      <w:rFonts w:hint="eastAsia" w:cs="Times New Roman"/>
                      <w:lang w:val="en-US" w:eastAsia="zh-CN"/>
                    </w:rPr>
                    <w:t>新建</w:t>
                  </w:r>
                </w:p>
              </w:tc>
            </w:tr>
            <w:tr w14:paraId="6844E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jc w:val="center"/>
              </w:trPr>
              <w:tc>
                <w:tcPr>
                  <w:tcW w:w="382" w:type="pct"/>
                  <w:vMerge w:val="continue"/>
                  <w:vAlign w:val="center"/>
                </w:tcPr>
                <w:p w14:paraId="55223E76">
                  <w:pPr>
                    <w:pStyle w:val="12"/>
                    <w:spacing w:line="240" w:lineRule="auto"/>
                    <w:rPr>
                      <w:rFonts w:cs="Times New Roman"/>
                    </w:rPr>
                  </w:pPr>
                </w:p>
              </w:tc>
              <w:tc>
                <w:tcPr>
                  <w:tcW w:w="383" w:type="pct"/>
                  <w:vMerge w:val="continue"/>
                  <w:vAlign w:val="center"/>
                </w:tcPr>
                <w:p w14:paraId="328F77E8">
                  <w:pPr>
                    <w:pStyle w:val="12"/>
                    <w:spacing w:line="240" w:lineRule="auto"/>
                    <w:rPr>
                      <w:rFonts w:cs="Times New Roman"/>
                    </w:rPr>
                  </w:pPr>
                </w:p>
              </w:tc>
              <w:tc>
                <w:tcPr>
                  <w:tcW w:w="547" w:type="pct"/>
                  <w:vAlign w:val="center"/>
                </w:tcPr>
                <w:p w14:paraId="04CB5CB2">
                  <w:pPr>
                    <w:pStyle w:val="12"/>
                    <w:spacing w:line="240" w:lineRule="auto"/>
                    <w:ind w:firstLine="0" w:firstLineChars="0"/>
                    <w:rPr>
                      <w:rFonts w:hint="eastAsia" w:cs="Times New Roman"/>
                      <w:lang w:val="en-US" w:eastAsia="zh-CN"/>
                    </w:rPr>
                  </w:pPr>
                  <w:r>
                    <w:rPr>
                      <w:rFonts w:hint="eastAsia" w:cs="Times New Roman"/>
                      <w:lang w:val="en-US" w:eastAsia="zh-CN"/>
                    </w:rPr>
                    <w:t>G5水泥筒仓粉尘</w:t>
                  </w:r>
                </w:p>
              </w:tc>
              <w:tc>
                <w:tcPr>
                  <w:tcW w:w="2343" w:type="pct"/>
                  <w:vAlign w:val="center"/>
                </w:tcPr>
                <w:p w14:paraId="1C0697DF">
                  <w:pPr>
                    <w:pStyle w:val="12"/>
                    <w:spacing w:line="240" w:lineRule="auto"/>
                    <w:jc w:val="left"/>
                    <w:rPr>
                      <w:rFonts w:hint="default" w:cs="Times New Roman"/>
                      <w:lang w:val="en-US" w:eastAsia="zh-CN"/>
                    </w:rPr>
                  </w:pPr>
                  <w:r>
                    <w:rPr>
                      <w:rFonts w:hint="eastAsia" w:cs="Times New Roman"/>
                      <w:lang w:val="en-US" w:eastAsia="zh-CN"/>
                    </w:rPr>
                    <w:t>经筒仓顶部自带的布袋除尘处理设施处理后于厂房内部排放</w:t>
                  </w:r>
                </w:p>
              </w:tc>
              <w:tc>
                <w:tcPr>
                  <w:tcW w:w="490" w:type="pct"/>
                  <w:vMerge w:val="continue"/>
                  <w:vAlign w:val="center"/>
                </w:tcPr>
                <w:p w14:paraId="4B823090">
                  <w:pPr>
                    <w:pStyle w:val="12"/>
                    <w:spacing w:line="240" w:lineRule="auto"/>
                    <w:rPr>
                      <w:rFonts w:cs="Times New Roman"/>
                    </w:rPr>
                  </w:pPr>
                </w:p>
              </w:tc>
              <w:tc>
                <w:tcPr>
                  <w:tcW w:w="498" w:type="pct"/>
                  <w:vMerge w:val="continue"/>
                  <w:vAlign w:val="center"/>
                </w:tcPr>
                <w:p w14:paraId="64A90695">
                  <w:pPr>
                    <w:pStyle w:val="12"/>
                    <w:spacing w:line="240" w:lineRule="auto"/>
                    <w:rPr>
                      <w:rFonts w:cs="Times New Roman"/>
                    </w:rPr>
                  </w:pPr>
                </w:p>
              </w:tc>
              <w:tc>
                <w:tcPr>
                  <w:tcW w:w="354" w:type="pct"/>
                  <w:vAlign w:val="center"/>
                </w:tcPr>
                <w:p w14:paraId="0FC14BD0">
                  <w:pPr>
                    <w:pStyle w:val="12"/>
                    <w:spacing w:line="240" w:lineRule="auto"/>
                    <w:ind w:firstLine="0" w:firstLineChars="0"/>
                    <w:rPr>
                      <w:rFonts w:cs="Times New Roman"/>
                    </w:rPr>
                  </w:pPr>
                  <w:r>
                    <w:rPr>
                      <w:rFonts w:hint="eastAsia" w:cs="Times New Roman"/>
                      <w:lang w:val="en-US" w:eastAsia="zh-CN"/>
                    </w:rPr>
                    <w:t>新建</w:t>
                  </w:r>
                </w:p>
              </w:tc>
            </w:tr>
            <w:tr w14:paraId="104AA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jc w:val="center"/>
              </w:trPr>
              <w:tc>
                <w:tcPr>
                  <w:tcW w:w="382" w:type="pct"/>
                  <w:vMerge w:val="continue"/>
                  <w:vAlign w:val="center"/>
                </w:tcPr>
                <w:p w14:paraId="339D750F">
                  <w:pPr>
                    <w:pStyle w:val="12"/>
                    <w:spacing w:line="240" w:lineRule="auto"/>
                    <w:rPr>
                      <w:rFonts w:cs="Times New Roman"/>
                    </w:rPr>
                  </w:pPr>
                </w:p>
              </w:tc>
              <w:tc>
                <w:tcPr>
                  <w:tcW w:w="383" w:type="pct"/>
                  <w:vMerge w:val="continue"/>
                  <w:vAlign w:val="center"/>
                </w:tcPr>
                <w:p w14:paraId="7E02C5B1">
                  <w:pPr>
                    <w:pStyle w:val="12"/>
                    <w:spacing w:line="240" w:lineRule="auto"/>
                    <w:rPr>
                      <w:rFonts w:cs="Times New Roman"/>
                    </w:rPr>
                  </w:pPr>
                </w:p>
              </w:tc>
              <w:tc>
                <w:tcPr>
                  <w:tcW w:w="547" w:type="pct"/>
                  <w:vAlign w:val="center"/>
                </w:tcPr>
                <w:p w14:paraId="0945C05F">
                  <w:pPr>
                    <w:pStyle w:val="12"/>
                    <w:spacing w:line="240" w:lineRule="auto"/>
                    <w:ind w:firstLine="0" w:firstLineChars="0"/>
                    <w:rPr>
                      <w:rFonts w:hint="default" w:cs="Times New Roman"/>
                      <w:lang w:val="en-US" w:eastAsia="zh-CN"/>
                    </w:rPr>
                  </w:pPr>
                  <w:r>
                    <w:rPr>
                      <w:rFonts w:hint="eastAsia" w:cs="Times New Roman"/>
                      <w:lang w:val="en-US" w:eastAsia="zh-CN"/>
                    </w:rPr>
                    <w:t>G6水稳层骨料仓粉尘</w:t>
                  </w:r>
                </w:p>
              </w:tc>
              <w:tc>
                <w:tcPr>
                  <w:tcW w:w="2343" w:type="pct"/>
                  <w:vAlign w:val="center"/>
                </w:tcPr>
                <w:p w14:paraId="531BAF0D">
                  <w:pPr>
                    <w:pStyle w:val="12"/>
                    <w:spacing w:line="240" w:lineRule="auto"/>
                    <w:ind w:firstLine="0" w:firstLineChars="0"/>
                    <w:jc w:val="left"/>
                    <w:rPr>
                      <w:rFonts w:hint="eastAsia" w:cs="Times New Roman"/>
                      <w:lang w:val="en-US" w:eastAsia="zh-CN"/>
                    </w:rPr>
                  </w:pPr>
                  <w:r>
                    <w:rPr>
                      <w:rFonts w:hint="eastAsia" w:cs="Times New Roman"/>
                      <w:lang w:val="en-US" w:eastAsia="zh-CN"/>
                    </w:rPr>
                    <w:t>经料仓顶部自带的布袋除尘处理设施处理后于厂房内部排放</w:t>
                  </w:r>
                </w:p>
              </w:tc>
              <w:tc>
                <w:tcPr>
                  <w:tcW w:w="490" w:type="pct"/>
                  <w:vMerge w:val="continue"/>
                  <w:vAlign w:val="center"/>
                </w:tcPr>
                <w:p w14:paraId="41AAEE6F">
                  <w:pPr>
                    <w:pStyle w:val="12"/>
                    <w:spacing w:line="240" w:lineRule="auto"/>
                    <w:rPr>
                      <w:rFonts w:cs="Times New Roman"/>
                    </w:rPr>
                  </w:pPr>
                </w:p>
              </w:tc>
              <w:tc>
                <w:tcPr>
                  <w:tcW w:w="498" w:type="pct"/>
                  <w:vMerge w:val="continue"/>
                  <w:vAlign w:val="center"/>
                </w:tcPr>
                <w:p w14:paraId="17B938CC">
                  <w:pPr>
                    <w:pStyle w:val="12"/>
                    <w:spacing w:line="240" w:lineRule="auto"/>
                    <w:rPr>
                      <w:rFonts w:cs="Times New Roman"/>
                    </w:rPr>
                  </w:pPr>
                </w:p>
              </w:tc>
              <w:tc>
                <w:tcPr>
                  <w:tcW w:w="354" w:type="pct"/>
                  <w:vAlign w:val="center"/>
                </w:tcPr>
                <w:p w14:paraId="484EB78D">
                  <w:pPr>
                    <w:pStyle w:val="12"/>
                    <w:spacing w:line="240" w:lineRule="auto"/>
                    <w:ind w:firstLine="0" w:firstLineChars="0"/>
                    <w:rPr>
                      <w:rFonts w:cs="Times New Roman"/>
                    </w:rPr>
                  </w:pPr>
                  <w:r>
                    <w:rPr>
                      <w:rFonts w:hint="eastAsia" w:cs="Times New Roman"/>
                      <w:lang w:val="en-US" w:eastAsia="zh-CN"/>
                    </w:rPr>
                    <w:t>新建</w:t>
                  </w:r>
                </w:p>
              </w:tc>
            </w:tr>
            <w:tr w14:paraId="36E42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jc w:val="center"/>
              </w:trPr>
              <w:tc>
                <w:tcPr>
                  <w:tcW w:w="382" w:type="pct"/>
                  <w:vMerge w:val="continue"/>
                  <w:vAlign w:val="center"/>
                </w:tcPr>
                <w:p w14:paraId="5D18CBBB">
                  <w:pPr>
                    <w:pStyle w:val="12"/>
                    <w:spacing w:line="240" w:lineRule="auto"/>
                    <w:rPr>
                      <w:rFonts w:cs="Times New Roman"/>
                    </w:rPr>
                  </w:pPr>
                </w:p>
              </w:tc>
              <w:tc>
                <w:tcPr>
                  <w:tcW w:w="383" w:type="pct"/>
                  <w:vMerge w:val="continue"/>
                  <w:vAlign w:val="center"/>
                </w:tcPr>
                <w:p w14:paraId="39DD8CFD">
                  <w:pPr>
                    <w:pStyle w:val="12"/>
                    <w:spacing w:line="240" w:lineRule="auto"/>
                    <w:rPr>
                      <w:rFonts w:cs="Times New Roman"/>
                    </w:rPr>
                  </w:pPr>
                </w:p>
              </w:tc>
              <w:tc>
                <w:tcPr>
                  <w:tcW w:w="547" w:type="pct"/>
                  <w:vAlign w:val="center"/>
                </w:tcPr>
                <w:p w14:paraId="41980CE7">
                  <w:pPr>
                    <w:pStyle w:val="12"/>
                    <w:spacing w:line="240" w:lineRule="auto"/>
                    <w:ind w:firstLine="0" w:firstLineChars="0"/>
                    <w:rPr>
                      <w:rFonts w:hint="default" w:cs="Times New Roman"/>
                      <w:lang w:val="en-US" w:eastAsia="zh-CN"/>
                    </w:rPr>
                  </w:pPr>
                  <w:r>
                    <w:rPr>
                      <w:rFonts w:hint="eastAsia" w:cs="Times New Roman"/>
                      <w:lang w:val="en-US" w:eastAsia="zh-CN"/>
                    </w:rPr>
                    <w:t>G7砂石堆存区粉尘</w:t>
                  </w:r>
                </w:p>
              </w:tc>
              <w:tc>
                <w:tcPr>
                  <w:tcW w:w="2343" w:type="pct"/>
                  <w:vAlign w:val="center"/>
                </w:tcPr>
                <w:p w14:paraId="6B1C8447">
                  <w:pPr>
                    <w:pStyle w:val="12"/>
                    <w:spacing w:line="240" w:lineRule="auto"/>
                    <w:ind w:firstLine="0" w:firstLineChars="0"/>
                    <w:jc w:val="left"/>
                    <w:rPr>
                      <w:rFonts w:hint="default" w:cs="Times New Roman"/>
                      <w:lang w:val="en-US" w:eastAsia="zh-CN"/>
                    </w:rPr>
                  </w:pPr>
                  <w:r>
                    <w:rPr>
                      <w:rFonts w:hint="eastAsia" w:cs="Times New Roman"/>
                      <w:lang w:val="en-US" w:eastAsia="zh-CN"/>
                    </w:rPr>
                    <w:t>车间密闭+区域定期喷雾降尘+厂房沉降</w:t>
                  </w:r>
                </w:p>
              </w:tc>
              <w:tc>
                <w:tcPr>
                  <w:tcW w:w="490" w:type="pct"/>
                  <w:vMerge w:val="continue"/>
                  <w:vAlign w:val="center"/>
                </w:tcPr>
                <w:p w14:paraId="4551C2CE">
                  <w:pPr>
                    <w:pStyle w:val="12"/>
                    <w:spacing w:line="240" w:lineRule="auto"/>
                    <w:rPr>
                      <w:rFonts w:cs="Times New Roman"/>
                    </w:rPr>
                  </w:pPr>
                </w:p>
              </w:tc>
              <w:tc>
                <w:tcPr>
                  <w:tcW w:w="498" w:type="pct"/>
                  <w:vMerge w:val="continue"/>
                  <w:vAlign w:val="center"/>
                </w:tcPr>
                <w:p w14:paraId="1DE77EEF">
                  <w:pPr>
                    <w:pStyle w:val="12"/>
                    <w:spacing w:line="240" w:lineRule="auto"/>
                    <w:rPr>
                      <w:rFonts w:cs="Times New Roman"/>
                    </w:rPr>
                  </w:pPr>
                </w:p>
              </w:tc>
              <w:tc>
                <w:tcPr>
                  <w:tcW w:w="354" w:type="pct"/>
                  <w:vAlign w:val="center"/>
                </w:tcPr>
                <w:p w14:paraId="4C16F51B">
                  <w:pPr>
                    <w:pStyle w:val="12"/>
                    <w:spacing w:line="240" w:lineRule="auto"/>
                    <w:ind w:firstLine="0" w:firstLineChars="0"/>
                    <w:rPr>
                      <w:rFonts w:cs="Times New Roman"/>
                    </w:rPr>
                  </w:pPr>
                  <w:r>
                    <w:rPr>
                      <w:rFonts w:hint="eastAsia" w:cs="Times New Roman"/>
                      <w:lang w:val="en-US" w:eastAsia="zh-CN"/>
                    </w:rPr>
                    <w:t>新建</w:t>
                  </w:r>
                </w:p>
              </w:tc>
            </w:tr>
            <w:tr w14:paraId="2A991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jc w:val="center"/>
              </w:trPr>
              <w:tc>
                <w:tcPr>
                  <w:tcW w:w="382" w:type="pct"/>
                  <w:vMerge w:val="continue"/>
                  <w:vAlign w:val="center"/>
                </w:tcPr>
                <w:p w14:paraId="06411540">
                  <w:pPr>
                    <w:pStyle w:val="12"/>
                    <w:spacing w:line="240" w:lineRule="auto"/>
                    <w:rPr>
                      <w:rFonts w:cs="Times New Roman"/>
                    </w:rPr>
                  </w:pPr>
                </w:p>
              </w:tc>
              <w:tc>
                <w:tcPr>
                  <w:tcW w:w="383" w:type="pct"/>
                  <w:vMerge w:val="continue"/>
                  <w:vAlign w:val="center"/>
                </w:tcPr>
                <w:p w14:paraId="0D10D334">
                  <w:pPr>
                    <w:pStyle w:val="12"/>
                    <w:spacing w:line="240" w:lineRule="auto"/>
                    <w:rPr>
                      <w:rFonts w:cs="Times New Roman"/>
                    </w:rPr>
                  </w:pPr>
                </w:p>
              </w:tc>
              <w:tc>
                <w:tcPr>
                  <w:tcW w:w="547" w:type="pct"/>
                  <w:vAlign w:val="center"/>
                </w:tcPr>
                <w:p w14:paraId="0F9AD86C">
                  <w:pPr>
                    <w:pStyle w:val="12"/>
                    <w:spacing w:line="240" w:lineRule="auto"/>
                    <w:ind w:firstLine="0" w:firstLineChars="0"/>
                    <w:rPr>
                      <w:rFonts w:hint="default" w:cs="Times New Roman"/>
                      <w:lang w:val="en-US" w:eastAsia="zh-CN"/>
                    </w:rPr>
                  </w:pPr>
                  <w:r>
                    <w:rPr>
                      <w:rFonts w:hint="eastAsia" w:cs="Times New Roman"/>
                      <w:lang w:val="en-US" w:eastAsia="zh-CN"/>
                    </w:rPr>
                    <w:t>G8有机废气（含烃类物质）</w:t>
                  </w:r>
                </w:p>
              </w:tc>
              <w:tc>
                <w:tcPr>
                  <w:tcW w:w="2343" w:type="pct"/>
                  <w:vAlign w:val="center"/>
                </w:tcPr>
                <w:p w14:paraId="17BBFA62">
                  <w:pPr>
                    <w:pStyle w:val="12"/>
                    <w:spacing w:line="240" w:lineRule="auto"/>
                    <w:ind w:firstLine="0" w:firstLineChars="0"/>
                    <w:jc w:val="left"/>
                    <w:rPr>
                      <w:rFonts w:hint="eastAsia" w:cs="Times New Roman"/>
                      <w:lang w:val="en-US" w:eastAsia="zh-CN"/>
                    </w:rPr>
                  </w:pPr>
                  <w:r>
                    <w:rPr>
                      <w:rFonts w:hint="eastAsia" w:cs="Times New Roman"/>
                      <w:color w:val="000000" w:themeColor="text1"/>
                      <w:sz w:val="21"/>
                      <w:szCs w:val="21"/>
                      <w:highlight w:val="none"/>
                      <w:lang w:val="en-US" w:eastAsia="zh-CN"/>
                      <w14:textFill>
                        <w14:solidFill>
                          <w14:schemeClr w14:val="tx1"/>
                        </w14:solidFill>
                      </w14:textFill>
                    </w:rPr>
                    <w:t>随水基岩屑和热脱附干渣煅烧而直接焚烧处理后，经1根25m高排气筒（DA001）排放</w:t>
                  </w:r>
                </w:p>
              </w:tc>
              <w:tc>
                <w:tcPr>
                  <w:tcW w:w="490" w:type="pct"/>
                  <w:vMerge w:val="continue"/>
                  <w:vAlign w:val="center"/>
                </w:tcPr>
                <w:p w14:paraId="5D42F461">
                  <w:pPr>
                    <w:pStyle w:val="12"/>
                    <w:spacing w:line="240" w:lineRule="auto"/>
                    <w:rPr>
                      <w:rFonts w:cs="Times New Roman"/>
                    </w:rPr>
                  </w:pPr>
                </w:p>
              </w:tc>
              <w:tc>
                <w:tcPr>
                  <w:tcW w:w="498" w:type="pct"/>
                  <w:vMerge w:val="continue"/>
                  <w:vAlign w:val="center"/>
                </w:tcPr>
                <w:p w14:paraId="3ADDF0D8">
                  <w:pPr>
                    <w:pStyle w:val="12"/>
                    <w:spacing w:line="240" w:lineRule="auto"/>
                    <w:rPr>
                      <w:rFonts w:cs="Times New Roman"/>
                    </w:rPr>
                  </w:pPr>
                </w:p>
              </w:tc>
              <w:tc>
                <w:tcPr>
                  <w:tcW w:w="354" w:type="pct"/>
                  <w:vAlign w:val="center"/>
                </w:tcPr>
                <w:p w14:paraId="61B2D4C5">
                  <w:pPr>
                    <w:pStyle w:val="12"/>
                    <w:spacing w:line="240" w:lineRule="auto"/>
                    <w:ind w:firstLine="0" w:firstLineChars="0"/>
                    <w:rPr>
                      <w:rFonts w:hint="default" w:cs="Times New Roman"/>
                      <w:lang w:val="en-US" w:eastAsia="zh-CN"/>
                    </w:rPr>
                  </w:pPr>
                  <w:r>
                    <w:rPr>
                      <w:rFonts w:hint="eastAsia" w:cs="Times New Roman"/>
                      <w:lang w:val="en-US" w:eastAsia="zh-CN"/>
                    </w:rPr>
                    <w:t>新建</w:t>
                  </w:r>
                </w:p>
              </w:tc>
            </w:tr>
            <w:tr w14:paraId="487D7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382" w:type="pct"/>
                  <w:vMerge w:val="continue"/>
                  <w:vAlign w:val="center"/>
                </w:tcPr>
                <w:p w14:paraId="10F6586D">
                  <w:pPr>
                    <w:pStyle w:val="12"/>
                    <w:spacing w:line="240" w:lineRule="auto"/>
                    <w:rPr>
                      <w:rFonts w:cs="Times New Roman"/>
                    </w:rPr>
                  </w:pPr>
                </w:p>
              </w:tc>
              <w:tc>
                <w:tcPr>
                  <w:tcW w:w="383" w:type="pct"/>
                  <w:vMerge w:val="continue"/>
                  <w:vAlign w:val="center"/>
                </w:tcPr>
                <w:p w14:paraId="78F293D7">
                  <w:pPr>
                    <w:pStyle w:val="12"/>
                    <w:spacing w:line="240" w:lineRule="auto"/>
                    <w:rPr>
                      <w:rFonts w:cs="Times New Roman"/>
                    </w:rPr>
                  </w:pPr>
                </w:p>
              </w:tc>
              <w:tc>
                <w:tcPr>
                  <w:tcW w:w="547" w:type="pct"/>
                  <w:vAlign w:val="center"/>
                </w:tcPr>
                <w:p w14:paraId="26D55C0B">
                  <w:pPr>
                    <w:pStyle w:val="12"/>
                    <w:spacing w:line="240" w:lineRule="auto"/>
                    <w:ind w:firstLine="0" w:firstLineChars="0"/>
                    <w:rPr>
                      <w:rFonts w:hint="default" w:cs="Times New Roman"/>
                      <w:lang w:val="en-US" w:eastAsia="zh-CN"/>
                    </w:rPr>
                  </w:pPr>
                  <w:r>
                    <w:rPr>
                      <w:rFonts w:hint="eastAsia" w:cs="Times New Roman"/>
                      <w:lang w:val="en-US" w:eastAsia="zh-CN"/>
                    </w:rPr>
                    <w:t>食堂油烟</w:t>
                  </w:r>
                </w:p>
              </w:tc>
              <w:tc>
                <w:tcPr>
                  <w:tcW w:w="2343" w:type="pct"/>
                  <w:vAlign w:val="center"/>
                </w:tcPr>
                <w:p w14:paraId="5446B96E">
                  <w:pPr>
                    <w:pStyle w:val="12"/>
                    <w:spacing w:line="240" w:lineRule="auto"/>
                    <w:ind w:firstLine="0" w:firstLineChars="0"/>
                    <w:jc w:val="left"/>
                    <w:rPr>
                      <w:rFonts w:hint="default" w:cs="Times New Roman"/>
                      <w:lang w:val="en-US" w:eastAsia="zh-CN"/>
                    </w:rPr>
                  </w:pPr>
                  <w:r>
                    <w:rPr>
                      <w:rFonts w:hint="eastAsia" w:cs="Times New Roman"/>
                      <w:lang w:val="en-US" w:eastAsia="zh-CN"/>
                    </w:rPr>
                    <w:t>油烟净化器处理后引至办公楼楼顶排放</w:t>
                  </w:r>
                </w:p>
              </w:tc>
              <w:tc>
                <w:tcPr>
                  <w:tcW w:w="490" w:type="pct"/>
                  <w:vMerge w:val="continue"/>
                  <w:vAlign w:val="center"/>
                </w:tcPr>
                <w:p w14:paraId="347FF442">
                  <w:pPr>
                    <w:pStyle w:val="12"/>
                    <w:spacing w:line="240" w:lineRule="auto"/>
                    <w:rPr>
                      <w:rFonts w:cs="Times New Roman"/>
                    </w:rPr>
                  </w:pPr>
                </w:p>
              </w:tc>
              <w:tc>
                <w:tcPr>
                  <w:tcW w:w="498" w:type="pct"/>
                  <w:vMerge w:val="continue"/>
                  <w:vAlign w:val="center"/>
                </w:tcPr>
                <w:p w14:paraId="11A413C8">
                  <w:pPr>
                    <w:pStyle w:val="12"/>
                    <w:spacing w:line="240" w:lineRule="auto"/>
                    <w:rPr>
                      <w:rFonts w:cs="Times New Roman"/>
                    </w:rPr>
                  </w:pPr>
                </w:p>
              </w:tc>
              <w:tc>
                <w:tcPr>
                  <w:tcW w:w="354" w:type="pct"/>
                  <w:vAlign w:val="center"/>
                </w:tcPr>
                <w:p w14:paraId="7363C735">
                  <w:pPr>
                    <w:pStyle w:val="12"/>
                    <w:spacing w:line="240" w:lineRule="auto"/>
                    <w:ind w:firstLine="0" w:firstLineChars="0"/>
                    <w:rPr>
                      <w:rFonts w:cs="Times New Roman"/>
                    </w:rPr>
                  </w:pPr>
                  <w:r>
                    <w:rPr>
                      <w:rFonts w:hint="eastAsia" w:cs="Times New Roman"/>
                      <w:lang w:val="en-US" w:eastAsia="zh-CN"/>
                    </w:rPr>
                    <w:t>新建</w:t>
                  </w:r>
                </w:p>
              </w:tc>
            </w:tr>
            <w:tr w14:paraId="77E54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jc w:val="center"/>
              </w:trPr>
              <w:tc>
                <w:tcPr>
                  <w:tcW w:w="382" w:type="pct"/>
                  <w:vMerge w:val="continue"/>
                  <w:vAlign w:val="center"/>
                </w:tcPr>
                <w:p w14:paraId="76F52079">
                  <w:pPr>
                    <w:pStyle w:val="12"/>
                    <w:spacing w:line="240" w:lineRule="auto"/>
                    <w:rPr>
                      <w:rFonts w:cs="Times New Roman"/>
                    </w:rPr>
                  </w:pPr>
                </w:p>
              </w:tc>
              <w:tc>
                <w:tcPr>
                  <w:tcW w:w="383" w:type="pct"/>
                  <w:vMerge w:val="restart"/>
                  <w:vAlign w:val="center"/>
                </w:tcPr>
                <w:p w14:paraId="76F9484B">
                  <w:pPr>
                    <w:pStyle w:val="12"/>
                    <w:spacing w:line="240" w:lineRule="auto"/>
                    <w:rPr>
                      <w:rFonts w:cs="Times New Roman"/>
                    </w:rPr>
                  </w:pPr>
                  <w:r>
                    <w:rPr>
                      <w:rFonts w:cs="Times New Roman"/>
                    </w:rPr>
                    <w:t>废水治理</w:t>
                  </w:r>
                </w:p>
              </w:tc>
              <w:tc>
                <w:tcPr>
                  <w:tcW w:w="547" w:type="pct"/>
                  <w:vAlign w:val="center"/>
                </w:tcPr>
                <w:p w14:paraId="17A85224">
                  <w:pPr>
                    <w:pStyle w:val="12"/>
                    <w:spacing w:line="240" w:lineRule="auto"/>
                    <w:rPr>
                      <w:rFonts w:hint="default" w:cs="Times New Roman"/>
                      <w:lang w:val="en-US" w:eastAsia="zh-CN"/>
                    </w:rPr>
                  </w:pPr>
                  <w:r>
                    <w:rPr>
                      <w:rFonts w:hint="eastAsia" w:cs="Times New Roman"/>
                      <w:lang w:val="en-US" w:eastAsia="zh-CN"/>
                    </w:rPr>
                    <w:t>废水</w:t>
                  </w:r>
                </w:p>
              </w:tc>
              <w:tc>
                <w:tcPr>
                  <w:tcW w:w="2343" w:type="pct"/>
                  <w:vAlign w:val="center"/>
                </w:tcPr>
                <w:p w14:paraId="7621703F">
                  <w:pPr>
                    <w:pStyle w:val="12"/>
                    <w:spacing w:line="240" w:lineRule="auto"/>
                    <w:jc w:val="left"/>
                    <w:rPr>
                      <w:rFonts w:hint="default" w:cs="Times New Roman"/>
                      <w:lang w:val="en-US" w:eastAsia="zh-CN"/>
                    </w:rPr>
                  </w:pPr>
                  <w:r>
                    <w:rPr>
                      <w:rFonts w:hint="eastAsia" w:cs="Times New Roman"/>
                      <w:lang w:val="en-US" w:eastAsia="zh-CN"/>
                    </w:rPr>
                    <w:t>全厂实行雨污分流，设置1座150m</w:t>
                  </w:r>
                  <w:r>
                    <w:rPr>
                      <w:rFonts w:hint="eastAsia" w:cs="Times New Roman"/>
                      <w:vertAlign w:val="superscript"/>
                      <w:lang w:val="en-US" w:eastAsia="zh-CN"/>
                    </w:rPr>
                    <w:t>3</w:t>
                  </w:r>
                  <w:r>
                    <w:rPr>
                      <w:rFonts w:hint="eastAsia" w:cs="Times New Roman"/>
                      <w:lang w:val="en-US" w:eastAsia="zh-CN"/>
                    </w:rPr>
                    <w:t>初期雨水池对初期雨水进行收集，位于2号厂房西北侧。</w:t>
                  </w:r>
                </w:p>
              </w:tc>
              <w:tc>
                <w:tcPr>
                  <w:tcW w:w="490" w:type="pct"/>
                  <w:vMerge w:val="continue"/>
                  <w:vAlign w:val="center"/>
                </w:tcPr>
                <w:p w14:paraId="609888DB">
                  <w:pPr>
                    <w:pStyle w:val="12"/>
                    <w:spacing w:line="240" w:lineRule="auto"/>
                    <w:rPr>
                      <w:rFonts w:cs="Times New Roman"/>
                    </w:rPr>
                  </w:pPr>
                </w:p>
              </w:tc>
              <w:tc>
                <w:tcPr>
                  <w:tcW w:w="498" w:type="pct"/>
                  <w:vMerge w:val="restart"/>
                  <w:vAlign w:val="center"/>
                </w:tcPr>
                <w:p w14:paraId="77662B74">
                  <w:pPr>
                    <w:pStyle w:val="12"/>
                    <w:spacing w:line="240" w:lineRule="auto"/>
                    <w:rPr>
                      <w:rFonts w:hint="default" w:eastAsia="宋体" w:cs="Times New Roman"/>
                      <w:lang w:val="en-US" w:eastAsia="zh-CN"/>
                    </w:rPr>
                  </w:pPr>
                  <w:r>
                    <w:rPr>
                      <w:rFonts w:hint="eastAsia" w:cs="Times New Roman"/>
                      <w:lang w:val="en-US" w:eastAsia="zh-CN"/>
                    </w:rPr>
                    <w:t>废水、噪声、固废</w:t>
                  </w:r>
                </w:p>
              </w:tc>
              <w:tc>
                <w:tcPr>
                  <w:tcW w:w="354" w:type="pct"/>
                  <w:vAlign w:val="center"/>
                </w:tcPr>
                <w:p w14:paraId="341E132A">
                  <w:pPr>
                    <w:pStyle w:val="12"/>
                    <w:spacing w:line="240" w:lineRule="auto"/>
                    <w:ind w:firstLine="0" w:firstLineChars="0"/>
                    <w:rPr>
                      <w:rFonts w:hint="default" w:cs="Times New Roman"/>
                      <w:lang w:val="en-US" w:eastAsia="zh-CN"/>
                    </w:rPr>
                  </w:pPr>
                  <w:r>
                    <w:rPr>
                      <w:rFonts w:hint="eastAsia" w:cs="Times New Roman"/>
                      <w:lang w:val="en-US" w:eastAsia="zh-CN"/>
                    </w:rPr>
                    <w:t>新建</w:t>
                  </w:r>
                </w:p>
              </w:tc>
            </w:tr>
            <w:tr w14:paraId="654CB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jc w:val="center"/>
              </w:trPr>
              <w:tc>
                <w:tcPr>
                  <w:tcW w:w="382" w:type="pct"/>
                  <w:vMerge w:val="continue"/>
                  <w:vAlign w:val="center"/>
                </w:tcPr>
                <w:p w14:paraId="5FBC9E1B">
                  <w:pPr>
                    <w:pStyle w:val="12"/>
                    <w:spacing w:line="240" w:lineRule="auto"/>
                    <w:rPr>
                      <w:rFonts w:cs="Times New Roman"/>
                    </w:rPr>
                  </w:pPr>
                </w:p>
              </w:tc>
              <w:tc>
                <w:tcPr>
                  <w:tcW w:w="383" w:type="pct"/>
                  <w:vMerge w:val="continue"/>
                  <w:vAlign w:val="center"/>
                </w:tcPr>
                <w:p w14:paraId="1C0BE9CD">
                  <w:pPr>
                    <w:pStyle w:val="12"/>
                    <w:spacing w:line="240" w:lineRule="auto"/>
                    <w:rPr>
                      <w:rFonts w:cs="Times New Roman"/>
                    </w:rPr>
                  </w:pPr>
                </w:p>
              </w:tc>
              <w:tc>
                <w:tcPr>
                  <w:tcW w:w="547" w:type="pct"/>
                  <w:vAlign w:val="center"/>
                </w:tcPr>
                <w:p w14:paraId="10151E97">
                  <w:pPr>
                    <w:pStyle w:val="12"/>
                    <w:spacing w:line="240" w:lineRule="auto"/>
                    <w:rPr>
                      <w:rFonts w:hint="default" w:eastAsia="宋体" w:cs="Times New Roman"/>
                      <w:lang w:val="en-US" w:eastAsia="zh-CN"/>
                    </w:rPr>
                  </w:pPr>
                  <w:r>
                    <w:rPr>
                      <w:rFonts w:hint="eastAsia" w:cs="Times New Roman"/>
                      <w:lang w:val="en-US" w:eastAsia="zh-CN"/>
                    </w:rPr>
                    <w:t>W1压滤废水</w:t>
                  </w:r>
                </w:p>
              </w:tc>
              <w:tc>
                <w:tcPr>
                  <w:tcW w:w="2343" w:type="pct"/>
                  <w:vAlign w:val="center"/>
                </w:tcPr>
                <w:p w14:paraId="5CB2AD63">
                  <w:pPr>
                    <w:pStyle w:val="12"/>
                    <w:spacing w:line="240" w:lineRule="auto"/>
                    <w:jc w:val="left"/>
                    <w:rPr>
                      <w:rFonts w:hint="default" w:eastAsia="宋体" w:cs="Times New Roman"/>
                      <w:lang w:val="en-US" w:eastAsia="zh-CN"/>
                    </w:rPr>
                  </w:pPr>
                  <w:r>
                    <w:rPr>
                      <w:rFonts w:hint="eastAsia" w:cs="Times New Roman"/>
                      <w:lang w:val="en-US" w:eastAsia="zh-CN"/>
                    </w:rPr>
                    <w:t>压滤废水排入滤液池内，在滤液池内暂存，部分回用于生产、车辆清洗及地面清洗，剩余废水委托资质单位（四川洁安环境科技有限公司）定期用罐车运至该公司的油气田废水处理厂项目处置后达标排放。</w:t>
                  </w:r>
                </w:p>
              </w:tc>
              <w:tc>
                <w:tcPr>
                  <w:tcW w:w="490" w:type="pct"/>
                  <w:vMerge w:val="continue"/>
                  <w:vAlign w:val="center"/>
                </w:tcPr>
                <w:p w14:paraId="54F703C8">
                  <w:pPr>
                    <w:pStyle w:val="12"/>
                    <w:spacing w:line="240" w:lineRule="auto"/>
                    <w:rPr>
                      <w:rFonts w:cs="Times New Roman"/>
                    </w:rPr>
                  </w:pPr>
                </w:p>
              </w:tc>
              <w:tc>
                <w:tcPr>
                  <w:tcW w:w="498" w:type="pct"/>
                  <w:vMerge w:val="continue"/>
                  <w:vAlign w:val="center"/>
                </w:tcPr>
                <w:p w14:paraId="4E3E8AC4">
                  <w:pPr>
                    <w:pStyle w:val="12"/>
                    <w:spacing w:line="240" w:lineRule="auto"/>
                    <w:rPr>
                      <w:rFonts w:hint="default" w:eastAsia="宋体" w:cs="Times New Roman"/>
                      <w:lang w:val="en-US" w:eastAsia="zh-CN"/>
                    </w:rPr>
                  </w:pPr>
                </w:p>
              </w:tc>
              <w:tc>
                <w:tcPr>
                  <w:tcW w:w="354" w:type="pct"/>
                  <w:vAlign w:val="center"/>
                </w:tcPr>
                <w:p w14:paraId="76ECD6EC">
                  <w:pPr>
                    <w:pStyle w:val="12"/>
                    <w:spacing w:line="240" w:lineRule="auto"/>
                    <w:ind w:firstLine="0" w:firstLineChars="0"/>
                    <w:rPr>
                      <w:rFonts w:hint="eastAsia" w:cs="Times New Roman"/>
                      <w:lang w:val="en-US" w:eastAsia="zh-CN"/>
                    </w:rPr>
                  </w:pPr>
                  <w:r>
                    <w:rPr>
                      <w:rFonts w:hint="eastAsia" w:cs="Times New Roman"/>
                      <w:lang w:val="en-US" w:eastAsia="zh-CN"/>
                    </w:rPr>
                    <w:t>新建</w:t>
                  </w:r>
                </w:p>
              </w:tc>
            </w:tr>
            <w:tr w14:paraId="6263B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jc w:val="center"/>
              </w:trPr>
              <w:tc>
                <w:tcPr>
                  <w:tcW w:w="382" w:type="pct"/>
                  <w:vMerge w:val="continue"/>
                  <w:vAlign w:val="center"/>
                </w:tcPr>
                <w:p w14:paraId="050BEE75">
                  <w:pPr>
                    <w:pStyle w:val="12"/>
                    <w:spacing w:line="240" w:lineRule="auto"/>
                    <w:rPr>
                      <w:rFonts w:cs="Times New Roman"/>
                    </w:rPr>
                  </w:pPr>
                </w:p>
              </w:tc>
              <w:tc>
                <w:tcPr>
                  <w:tcW w:w="383" w:type="pct"/>
                  <w:vMerge w:val="continue"/>
                  <w:vAlign w:val="center"/>
                </w:tcPr>
                <w:p w14:paraId="2A665AB3">
                  <w:pPr>
                    <w:pStyle w:val="12"/>
                    <w:spacing w:line="240" w:lineRule="auto"/>
                    <w:rPr>
                      <w:rFonts w:cs="Times New Roman"/>
                    </w:rPr>
                  </w:pPr>
                </w:p>
              </w:tc>
              <w:tc>
                <w:tcPr>
                  <w:tcW w:w="547" w:type="pct"/>
                  <w:vAlign w:val="center"/>
                </w:tcPr>
                <w:p w14:paraId="1894392E">
                  <w:pPr>
                    <w:pStyle w:val="12"/>
                    <w:spacing w:line="240" w:lineRule="auto"/>
                    <w:rPr>
                      <w:rFonts w:hint="default" w:cs="Times New Roman"/>
                      <w:lang w:val="en-US" w:eastAsia="zh-CN"/>
                    </w:rPr>
                  </w:pPr>
                  <w:r>
                    <w:rPr>
                      <w:rFonts w:hint="eastAsia" w:cs="Times New Roman"/>
                      <w:lang w:val="en-US" w:eastAsia="zh-CN"/>
                    </w:rPr>
                    <w:t>W2水基岩屑堆存区渗滤液</w:t>
                  </w:r>
                </w:p>
              </w:tc>
              <w:tc>
                <w:tcPr>
                  <w:tcW w:w="2343" w:type="pct"/>
                  <w:vAlign w:val="center"/>
                </w:tcPr>
                <w:p w14:paraId="16F9034A">
                  <w:pPr>
                    <w:pStyle w:val="12"/>
                    <w:spacing w:line="240" w:lineRule="auto"/>
                    <w:jc w:val="left"/>
                    <w:rPr>
                      <w:rFonts w:hint="default" w:cs="Times New Roman"/>
                      <w:lang w:val="en-US" w:eastAsia="zh-CN"/>
                    </w:rPr>
                  </w:pPr>
                  <w:r>
                    <w:rPr>
                      <w:rFonts w:hint="eastAsia" w:cs="Times New Roman"/>
                      <w:lang w:val="en-US" w:eastAsia="zh-CN"/>
                    </w:rPr>
                    <w:t>不间断产生且产生量较少，产生的少量渗滤液汇同水基岩屑一起进入煅烧生产线。</w:t>
                  </w:r>
                </w:p>
              </w:tc>
              <w:tc>
                <w:tcPr>
                  <w:tcW w:w="490" w:type="pct"/>
                  <w:vMerge w:val="continue"/>
                  <w:vAlign w:val="center"/>
                </w:tcPr>
                <w:p w14:paraId="3D67CE85">
                  <w:pPr>
                    <w:pStyle w:val="12"/>
                    <w:spacing w:line="240" w:lineRule="auto"/>
                    <w:rPr>
                      <w:rFonts w:cs="Times New Roman"/>
                    </w:rPr>
                  </w:pPr>
                </w:p>
              </w:tc>
              <w:tc>
                <w:tcPr>
                  <w:tcW w:w="498" w:type="pct"/>
                  <w:vMerge w:val="continue"/>
                  <w:vAlign w:val="center"/>
                </w:tcPr>
                <w:p w14:paraId="3E3356CE">
                  <w:pPr>
                    <w:pStyle w:val="12"/>
                    <w:spacing w:line="240" w:lineRule="auto"/>
                    <w:rPr>
                      <w:rFonts w:hint="eastAsia" w:cs="Times New Roman"/>
                    </w:rPr>
                  </w:pPr>
                </w:p>
              </w:tc>
              <w:tc>
                <w:tcPr>
                  <w:tcW w:w="354" w:type="pct"/>
                  <w:vAlign w:val="center"/>
                </w:tcPr>
                <w:p w14:paraId="7E00BFAD">
                  <w:pPr>
                    <w:pStyle w:val="12"/>
                    <w:spacing w:line="240" w:lineRule="auto"/>
                    <w:ind w:firstLine="0" w:firstLineChars="0"/>
                    <w:rPr>
                      <w:rFonts w:hint="eastAsia" w:cs="Times New Roman"/>
                    </w:rPr>
                  </w:pPr>
                  <w:r>
                    <w:rPr>
                      <w:rFonts w:hint="eastAsia" w:cs="Times New Roman"/>
                      <w:lang w:val="en-US" w:eastAsia="zh-CN"/>
                    </w:rPr>
                    <w:t>新建</w:t>
                  </w:r>
                </w:p>
              </w:tc>
            </w:tr>
            <w:tr w14:paraId="6EFF5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jc w:val="center"/>
              </w:trPr>
              <w:tc>
                <w:tcPr>
                  <w:tcW w:w="382" w:type="pct"/>
                  <w:vMerge w:val="continue"/>
                  <w:vAlign w:val="center"/>
                </w:tcPr>
                <w:p w14:paraId="7E149B89">
                  <w:pPr>
                    <w:pStyle w:val="12"/>
                    <w:spacing w:line="240" w:lineRule="auto"/>
                    <w:rPr>
                      <w:rFonts w:cs="Times New Roman"/>
                    </w:rPr>
                  </w:pPr>
                </w:p>
              </w:tc>
              <w:tc>
                <w:tcPr>
                  <w:tcW w:w="383" w:type="pct"/>
                  <w:vMerge w:val="continue"/>
                  <w:vAlign w:val="center"/>
                </w:tcPr>
                <w:p w14:paraId="7DD8515E">
                  <w:pPr>
                    <w:pStyle w:val="12"/>
                    <w:spacing w:line="240" w:lineRule="auto"/>
                    <w:rPr>
                      <w:rFonts w:cs="Times New Roman"/>
                    </w:rPr>
                  </w:pPr>
                </w:p>
              </w:tc>
              <w:tc>
                <w:tcPr>
                  <w:tcW w:w="547" w:type="pct"/>
                  <w:vAlign w:val="center"/>
                </w:tcPr>
                <w:p w14:paraId="55EA2589">
                  <w:pPr>
                    <w:pStyle w:val="12"/>
                    <w:spacing w:line="240" w:lineRule="auto"/>
                    <w:rPr>
                      <w:rFonts w:hint="default" w:cs="Times New Roman"/>
                      <w:lang w:val="en-US" w:eastAsia="zh-CN"/>
                    </w:rPr>
                  </w:pPr>
                  <w:r>
                    <w:rPr>
                      <w:rFonts w:hint="eastAsia" w:cs="Times New Roman"/>
                      <w:lang w:val="en-US" w:eastAsia="zh-CN"/>
                    </w:rPr>
                    <w:t>W3地面冲洗废水</w:t>
                  </w:r>
                </w:p>
              </w:tc>
              <w:tc>
                <w:tcPr>
                  <w:tcW w:w="2343" w:type="pct"/>
                  <w:vMerge w:val="restart"/>
                  <w:vAlign w:val="center"/>
                </w:tcPr>
                <w:p w14:paraId="0F576EF3">
                  <w:pPr>
                    <w:pStyle w:val="12"/>
                    <w:spacing w:line="240" w:lineRule="auto"/>
                    <w:jc w:val="left"/>
                    <w:rPr>
                      <w:rFonts w:hint="default" w:cs="Times New Roman"/>
                      <w:lang w:val="en-US" w:eastAsia="zh-CN"/>
                    </w:rPr>
                  </w:pPr>
                  <w:r>
                    <w:rPr>
                      <w:rFonts w:hint="eastAsia" w:cs="Times New Roman"/>
                      <w:lang w:val="en-US" w:eastAsia="zh-CN"/>
                    </w:rPr>
                    <w:t>进入水基岩屑储存池内，随湿水基岩屑一同预处理，计入压滤废水。</w:t>
                  </w:r>
                </w:p>
              </w:tc>
              <w:tc>
                <w:tcPr>
                  <w:tcW w:w="490" w:type="pct"/>
                  <w:vMerge w:val="continue"/>
                  <w:vAlign w:val="center"/>
                </w:tcPr>
                <w:p w14:paraId="095598E6">
                  <w:pPr>
                    <w:pStyle w:val="12"/>
                    <w:spacing w:line="240" w:lineRule="auto"/>
                    <w:rPr>
                      <w:rFonts w:cs="Times New Roman"/>
                    </w:rPr>
                  </w:pPr>
                </w:p>
              </w:tc>
              <w:tc>
                <w:tcPr>
                  <w:tcW w:w="498" w:type="pct"/>
                  <w:vMerge w:val="continue"/>
                  <w:vAlign w:val="center"/>
                </w:tcPr>
                <w:p w14:paraId="6258C81A">
                  <w:pPr>
                    <w:pStyle w:val="12"/>
                    <w:spacing w:line="240" w:lineRule="auto"/>
                    <w:rPr>
                      <w:rFonts w:hint="eastAsia" w:cs="Times New Roman"/>
                    </w:rPr>
                  </w:pPr>
                </w:p>
              </w:tc>
              <w:tc>
                <w:tcPr>
                  <w:tcW w:w="354" w:type="pct"/>
                  <w:vAlign w:val="center"/>
                </w:tcPr>
                <w:p w14:paraId="60022D48">
                  <w:pPr>
                    <w:pStyle w:val="12"/>
                    <w:spacing w:line="240" w:lineRule="auto"/>
                    <w:ind w:firstLine="0" w:firstLineChars="0"/>
                    <w:rPr>
                      <w:rFonts w:hint="eastAsia" w:cs="Times New Roman"/>
                    </w:rPr>
                  </w:pPr>
                  <w:r>
                    <w:rPr>
                      <w:rFonts w:hint="eastAsia" w:cs="Times New Roman"/>
                      <w:lang w:val="en-US" w:eastAsia="zh-CN"/>
                    </w:rPr>
                    <w:t>新建</w:t>
                  </w:r>
                </w:p>
              </w:tc>
            </w:tr>
            <w:tr w14:paraId="74CD9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jc w:val="center"/>
              </w:trPr>
              <w:tc>
                <w:tcPr>
                  <w:tcW w:w="382" w:type="pct"/>
                  <w:vMerge w:val="continue"/>
                  <w:vAlign w:val="center"/>
                </w:tcPr>
                <w:p w14:paraId="2AF61485">
                  <w:pPr>
                    <w:pStyle w:val="12"/>
                    <w:spacing w:line="240" w:lineRule="auto"/>
                    <w:rPr>
                      <w:rFonts w:cs="Times New Roman"/>
                    </w:rPr>
                  </w:pPr>
                </w:p>
              </w:tc>
              <w:tc>
                <w:tcPr>
                  <w:tcW w:w="383" w:type="pct"/>
                  <w:vMerge w:val="continue"/>
                  <w:vAlign w:val="center"/>
                </w:tcPr>
                <w:p w14:paraId="7A939FDB">
                  <w:pPr>
                    <w:pStyle w:val="12"/>
                    <w:spacing w:line="240" w:lineRule="auto"/>
                    <w:rPr>
                      <w:rFonts w:cs="Times New Roman"/>
                    </w:rPr>
                  </w:pPr>
                </w:p>
              </w:tc>
              <w:tc>
                <w:tcPr>
                  <w:tcW w:w="547" w:type="pct"/>
                  <w:vAlign w:val="center"/>
                </w:tcPr>
                <w:p w14:paraId="05439D81">
                  <w:pPr>
                    <w:pStyle w:val="12"/>
                    <w:spacing w:line="240" w:lineRule="auto"/>
                    <w:rPr>
                      <w:rFonts w:hint="default" w:cs="Times New Roman"/>
                      <w:lang w:val="en-US" w:eastAsia="zh-CN"/>
                    </w:rPr>
                  </w:pPr>
                  <w:r>
                    <w:rPr>
                      <w:rFonts w:hint="eastAsia" w:cs="Times New Roman"/>
                      <w:lang w:val="en-US" w:eastAsia="zh-CN"/>
                    </w:rPr>
                    <w:t>W4车辆冲洗废水</w:t>
                  </w:r>
                </w:p>
              </w:tc>
              <w:tc>
                <w:tcPr>
                  <w:tcW w:w="2343" w:type="pct"/>
                  <w:vMerge w:val="continue"/>
                  <w:vAlign w:val="center"/>
                </w:tcPr>
                <w:p w14:paraId="5DAB4586">
                  <w:pPr>
                    <w:pStyle w:val="12"/>
                    <w:spacing w:line="240" w:lineRule="auto"/>
                    <w:jc w:val="left"/>
                    <w:rPr>
                      <w:rFonts w:hint="eastAsia" w:cs="Times New Roman"/>
                      <w:lang w:val="en-US" w:eastAsia="zh-CN"/>
                    </w:rPr>
                  </w:pPr>
                </w:p>
              </w:tc>
              <w:tc>
                <w:tcPr>
                  <w:tcW w:w="490" w:type="pct"/>
                  <w:vMerge w:val="continue"/>
                  <w:vAlign w:val="center"/>
                </w:tcPr>
                <w:p w14:paraId="338D02AD">
                  <w:pPr>
                    <w:pStyle w:val="12"/>
                    <w:spacing w:line="240" w:lineRule="auto"/>
                    <w:rPr>
                      <w:rFonts w:cs="Times New Roman"/>
                    </w:rPr>
                  </w:pPr>
                </w:p>
              </w:tc>
              <w:tc>
                <w:tcPr>
                  <w:tcW w:w="498" w:type="pct"/>
                  <w:vMerge w:val="continue"/>
                  <w:vAlign w:val="center"/>
                </w:tcPr>
                <w:p w14:paraId="65916516">
                  <w:pPr>
                    <w:pStyle w:val="12"/>
                    <w:spacing w:line="240" w:lineRule="auto"/>
                    <w:rPr>
                      <w:rFonts w:hint="eastAsia" w:cs="Times New Roman"/>
                    </w:rPr>
                  </w:pPr>
                </w:p>
              </w:tc>
              <w:tc>
                <w:tcPr>
                  <w:tcW w:w="354" w:type="pct"/>
                  <w:vAlign w:val="center"/>
                </w:tcPr>
                <w:p w14:paraId="35C8A793">
                  <w:pPr>
                    <w:pStyle w:val="12"/>
                    <w:spacing w:line="240" w:lineRule="auto"/>
                    <w:ind w:firstLine="0" w:firstLineChars="0"/>
                    <w:rPr>
                      <w:rFonts w:hint="eastAsia" w:cs="Times New Roman"/>
                    </w:rPr>
                  </w:pPr>
                  <w:r>
                    <w:rPr>
                      <w:rFonts w:hint="eastAsia" w:cs="Times New Roman"/>
                      <w:lang w:val="en-US" w:eastAsia="zh-CN"/>
                    </w:rPr>
                    <w:t>新建</w:t>
                  </w:r>
                </w:p>
              </w:tc>
            </w:tr>
            <w:tr w14:paraId="69B52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jc w:val="center"/>
              </w:trPr>
              <w:tc>
                <w:tcPr>
                  <w:tcW w:w="382" w:type="pct"/>
                  <w:vMerge w:val="continue"/>
                  <w:vAlign w:val="center"/>
                </w:tcPr>
                <w:p w14:paraId="7C71C0BD">
                  <w:pPr>
                    <w:pStyle w:val="12"/>
                    <w:spacing w:line="240" w:lineRule="auto"/>
                    <w:rPr>
                      <w:rFonts w:cs="Times New Roman"/>
                    </w:rPr>
                  </w:pPr>
                </w:p>
              </w:tc>
              <w:tc>
                <w:tcPr>
                  <w:tcW w:w="383" w:type="pct"/>
                  <w:vMerge w:val="continue"/>
                  <w:vAlign w:val="center"/>
                </w:tcPr>
                <w:p w14:paraId="272AB2CC">
                  <w:pPr>
                    <w:pStyle w:val="12"/>
                    <w:spacing w:line="240" w:lineRule="auto"/>
                    <w:rPr>
                      <w:rFonts w:cs="Times New Roman"/>
                    </w:rPr>
                  </w:pPr>
                </w:p>
              </w:tc>
              <w:tc>
                <w:tcPr>
                  <w:tcW w:w="547" w:type="pct"/>
                  <w:vAlign w:val="center"/>
                </w:tcPr>
                <w:p w14:paraId="715C7310">
                  <w:pPr>
                    <w:pStyle w:val="12"/>
                    <w:spacing w:line="240" w:lineRule="auto"/>
                    <w:rPr>
                      <w:rFonts w:hint="default" w:cs="Times New Roman"/>
                      <w:lang w:val="en-US" w:eastAsia="zh-CN"/>
                    </w:rPr>
                  </w:pPr>
                  <w:r>
                    <w:rPr>
                      <w:rFonts w:hint="eastAsia" w:cs="Times New Roman"/>
                      <w:lang w:val="en-US" w:eastAsia="zh-CN"/>
                    </w:rPr>
                    <w:t>W5喷淋废水</w:t>
                  </w:r>
                </w:p>
              </w:tc>
              <w:tc>
                <w:tcPr>
                  <w:tcW w:w="2343" w:type="pct"/>
                  <w:vAlign w:val="center"/>
                </w:tcPr>
                <w:p w14:paraId="67C679E9">
                  <w:pPr>
                    <w:pStyle w:val="12"/>
                    <w:spacing w:line="240" w:lineRule="auto"/>
                    <w:jc w:val="left"/>
                    <w:rPr>
                      <w:rFonts w:hint="default" w:eastAsia="宋体" w:cs="Times New Roman"/>
                      <w:lang w:val="en-US" w:eastAsia="zh-CN"/>
                    </w:rPr>
                  </w:pPr>
                  <w:r>
                    <w:rPr>
                      <w:rFonts w:hint="eastAsia" w:cs="Times New Roman"/>
                      <w:lang w:val="en-US" w:eastAsia="zh-CN"/>
                    </w:rPr>
                    <w:t>定期更换，送至渗滤液池和压滤废水一并处理。</w:t>
                  </w:r>
                </w:p>
              </w:tc>
              <w:tc>
                <w:tcPr>
                  <w:tcW w:w="490" w:type="pct"/>
                  <w:vMerge w:val="continue"/>
                  <w:vAlign w:val="center"/>
                </w:tcPr>
                <w:p w14:paraId="4E38F5B0">
                  <w:pPr>
                    <w:pStyle w:val="12"/>
                    <w:spacing w:line="240" w:lineRule="auto"/>
                    <w:rPr>
                      <w:rFonts w:cs="Times New Roman"/>
                    </w:rPr>
                  </w:pPr>
                </w:p>
              </w:tc>
              <w:tc>
                <w:tcPr>
                  <w:tcW w:w="498" w:type="pct"/>
                  <w:vMerge w:val="continue"/>
                  <w:vAlign w:val="center"/>
                </w:tcPr>
                <w:p w14:paraId="4985EE30">
                  <w:pPr>
                    <w:pStyle w:val="12"/>
                    <w:spacing w:line="240" w:lineRule="auto"/>
                    <w:rPr>
                      <w:rFonts w:hint="eastAsia" w:cs="Times New Roman"/>
                    </w:rPr>
                  </w:pPr>
                </w:p>
              </w:tc>
              <w:tc>
                <w:tcPr>
                  <w:tcW w:w="354" w:type="pct"/>
                  <w:vAlign w:val="center"/>
                </w:tcPr>
                <w:p w14:paraId="7CF2C6C1">
                  <w:pPr>
                    <w:pStyle w:val="12"/>
                    <w:spacing w:line="240" w:lineRule="auto"/>
                    <w:ind w:firstLine="0" w:firstLineChars="0"/>
                    <w:rPr>
                      <w:rFonts w:hint="eastAsia" w:cs="Times New Roman"/>
                    </w:rPr>
                  </w:pPr>
                  <w:r>
                    <w:rPr>
                      <w:rFonts w:hint="eastAsia" w:cs="Times New Roman"/>
                      <w:lang w:val="en-US" w:eastAsia="zh-CN"/>
                    </w:rPr>
                    <w:t>新建</w:t>
                  </w:r>
                </w:p>
              </w:tc>
            </w:tr>
            <w:tr w14:paraId="21C56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jc w:val="center"/>
              </w:trPr>
              <w:tc>
                <w:tcPr>
                  <w:tcW w:w="382" w:type="pct"/>
                  <w:vMerge w:val="continue"/>
                  <w:vAlign w:val="center"/>
                </w:tcPr>
                <w:p w14:paraId="0CC73862">
                  <w:pPr>
                    <w:pStyle w:val="12"/>
                    <w:spacing w:line="240" w:lineRule="auto"/>
                    <w:rPr>
                      <w:rFonts w:cs="Times New Roman"/>
                    </w:rPr>
                  </w:pPr>
                </w:p>
              </w:tc>
              <w:tc>
                <w:tcPr>
                  <w:tcW w:w="383" w:type="pct"/>
                  <w:vMerge w:val="continue"/>
                  <w:vAlign w:val="center"/>
                </w:tcPr>
                <w:p w14:paraId="2E115A9F">
                  <w:pPr>
                    <w:pStyle w:val="12"/>
                    <w:spacing w:line="240" w:lineRule="auto"/>
                    <w:rPr>
                      <w:rFonts w:cs="Times New Roman"/>
                    </w:rPr>
                  </w:pPr>
                </w:p>
              </w:tc>
              <w:tc>
                <w:tcPr>
                  <w:tcW w:w="547" w:type="pct"/>
                  <w:vAlign w:val="center"/>
                </w:tcPr>
                <w:p w14:paraId="5794FB27">
                  <w:pPr>
                    <w:pStyle w:val="12"/>
                    <w:spacing w:line="240" w:lineRule="auto"/>
                    <w:rPr>
                      <w:rFonts w:hint="default" w:cs="Times New Roman"/>
                      <w:lang w:val="en-US" w:eastAsia="zh-CN"/>
                    </w:rPr>
                  </w:pPr>
                  <w:r>
                    <w:rPr>
                      <w:rFonts w:hint="eastAsia" w:cs="Times New Roman"/>
                      <w:lang w:val="en-US" w:eastAsia="zh-CN"/>
                    </w:rPr>
                    <w:t>W6蒸养冷凝水</w:t>
                  </w:r>
                </w:p>
              </w:tc>
              <w:tc>
                <w:tcPr>
                  <w:tcW w:w="2343" w:type="pct"/>
                  <w:vAlign w:val="center"/>
                </w:tcPr>
                <w:p w14:paraId="4CFC4B7E">
                  <w:pPr>
                    <w:pStyle w:val="12"/>
                    <w:spacing w:line="240" w:lineRule="auto"/>
                    <w:jc w:val="left"/>
                    <w:rPr>
                      <w:rFonts w:hint="default" w:cs="Times New Roman"/>
                      <w:lang w:val="en-US" w:eastAsia="zh-CN"/>
                    </w:rPr>
                  </w:pPr>
                  <w:r>
                    <w:rPr>
                      <w:rFonts w:hint="eastAsia" w:cs="Times New Roman"/>
                      <w:lang w:val="en-US" w:eastAsia="zh-CN"/>
                    </w:rPr>
                    <w:t>全部回用于免烧建筑基材生产。</w:t>
                  </w:r>
                </w:p>
              </w:tc>
              <w:tc>
                <w:tcPr>
                  <w:tcW w:w="490" w:type="pct"/>
                  <w:vMerge w:val="continue"/>
                  <w:vAlign w:val="center"/>
                </w:tcPr>
                <w:p w14:paraId="3DB5AB40">
                  <w:pPr>
                    <w:pStyle w:val="12"/>
                    <w:spacing w:line="240" w:lineRule="auto"/>
                    <w:rPr>
                      <w:rFonts w:cs="Times New Roman"/>
                    </w:rPr>
                  </w:pPr>
                </w:p>
              </w:tc>
              <w:tc>
                <w:tcPr>
                  <w:tcW w:w="498" w:type="pct"/>
                  <w:vMerge w:val="continue"/>
                  <w:vAlign w:val="center"/>
                </w:tcPr>
                <w:p w14:paraId="729F0015">
                  <w:pPr>
                    <w:pStyle w:val="12"/>
                    <w:spacing w:line="240" w:lineRule="auto"/>
                    <w:rPr>
                      <w:rFonts w:hint="eastAsia" w:cs="Times New Roman"/>
                    </w:rPr>
                  </w:pPr>
                </w:p>
              </w:tc>
              <w:tc>
                <w:tcPr>
                  <w:tcW w:w="354" w:type="pct"/>
                  <w:vAlign w:val="center"/>
                </w:tcPr>
                <w:p w14:paraId="381B7038">
                  <w:pPr>
                    <w:pStyle w:val="12"/>
                    <w:spacing w:line="240" w:lineRule="auto"/>
                    <w:ind w:firstLine="0" w:firstLineChars="0"/>
                    <w:rPr>
                      <w:rFonts w:hint="eastAsia" w:cs="Times New Roman"/>
                    </w:rPr>
                  </w:pPr>
                  <w:r>
                    <w:rPr>
                      <w:rFonts w:hint="eastAsia" w:cs="Times New Roman"/>
                      <w:lang w:val="en-US" w:eastAsia="zh-CN"/>
                    </w:rPr>
                    <w:t>新建</w:t>
                  </w:r>
                </w:p>
              </w:tc>
            </w:tr>
            <w:tr w14:paraId="524CF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jc w:val="center"/>
              </w:trPr>
              <w:tc>
                <w:tcPr>
                  <w:tcW w:w="382" w:type="pct"/>
                  <w:vMerge w:val="continue"/>
                  <w:vAlign w:val="center"/>
                </w:tcPr>
                <w:p w14:paraId="223D2509">
                  <w:pPr>
                    <w:pStyle w:val="12"/>
                    <w:spacing w:line="240" w:lineRule="auto"/>
                    <w:rPr>
                      <w:rFonts w:cs="Times New Roman"/>
                    </w:rPr>
                  </w:pPr>
                </w:p>
              </w:tc>
              <w:tc>
                <w:tcPr>
                  <w:tcW w:w="383" w:type="pct"/>
                  <w:vMerge w:val="continue"/>
                  <w:vAlign w:val="center"/>
                </w:tcPr>
                <w:p w14:paraId="742D72E3">
                  <w:pPr>
                    <w:pStyle w:val="12"/>
                    <w:spacing w:line="240" w:lineRule="auto"/>
                    <w:rPr>
                      <w:rFonts w:cs="Times New Roman"/>
                    </w:rPr>
                  </w:pPr>
                </w:p>
              </w:tc>
              <w:tc>
                <w:tcPr>
                  <w:tcW w:w="547" w:type="pct"/>
                  <w:vAlign w:val="center"/>
                </w:tcPr>
                <w:p w14:paraId="14AE9D85">
                  <w:pPr>
                    <w:pStyle w:val="12"/>
                    <w:spacing w:line="240" w:lineRule="auto"/>
                    <w:rPr>
                      <w:rFonts w:hint="default" w:cs="Times New Roman"/>
                      <w:lang w:val="en-US" w:eastAsia="zh-CN"/>
                    </w:rPr>
                  </w:pPr>
                  <w:r>
                    <w:rPr>
                      <w:rFonts w:hint="eastAsia" w:cs="Times New Roman"/>
                      <w:lang w:val="en-US" w:eastAsia="zh-CN"/>
                    </w:rPr>
                    <w:t>W7生活污水</w:t>
                  </w:r>
                </w:p>
              </w:tc>
              <w:tc>
                <w:tcPr>
                  <w:tcW w:w="2343" w:type="pct"/>
                  <w:vAlign w:val="center"/>
                </w:tcPr>
                <w:p w14:paraId="2CC99838">
                  <w:pPr>
                    <w:pStyle w:val="12"/>
                    <w:spacing w:line="240" w:lineRule="auto"/>
                    <w:jc w:val="left"/>
                    <w:rPr>
                      <w:rFonts w:hint="default" w:eastAsia="宋体" w:cs="Times New Roman"/>
                      <w:lang w:val="en-US" w:eastAsia="zh-CN"/>
                    </w:rPr>
                  </w:pPr>
                  <w:r>
                    <w:rPr>
                      <w:rFonts w:cs="Times New Roman"/>
                    </w:rPr>
                    <w:t>依托租赁</w:t>
                  </w:r>
                  <w:r>
                    <w:rPr>
                      <w:rFonts w:hint="eastAsia" w:cs="Times New Roman"/>
                      <w:lang w:val="en-US" w:eastAsia="zh-CN"/>
                    </w:rPr>
                    <w:t>厂区已建预处理池（1个，10m</w:t>
                  </w:r>
                  <w:r>
                    <w:rPr>
                      <w:rFonts w:hint="eastAsia" w:cs="Times New Roman"/>
                      <w:vertAlign w:val="superscript"/>
                      <w:lang w:val="en-US" w:eastAsia="zh-CN"/>
                    </w:rPr>
                    <w:t>3</w:t>
                  </w:r>
                  <w:r>
                    <w:rPr>
                      <w:rFonts w:hint="eastAsia" w:cs="Times New Roman"/>
                      <w:lang w:val="en-US" w:eastAsia="zh-CN"/>
                    </w:rPr>
                    <w:t>，</w:t>
                  </w:r>
                  <w:r>
                    <w:rPr>
                      <w:rFonts w:hint="eastAsia" w:cs="Times New Roman"/>
                      <w:vertAlign w:val="baseline"/>
                      <w:lang w:val="en-US" w:eastAsia="zh-CN"/>
                    </w:rPr>
                    <w:t>位于宿舍楼旁</w:t>
                  </w:r>
                  <w:r>
                    <w:rPr>
                      <w:rFonts w:hint="eastAsia" w:cs="Times New Roman"/>
                      <w:lang w:val="en-US" w:eastAsia="zh-CN"/>
                    </w:rPr>
                    <w:t>），食堂污水隔油后与其他污水一并排入预处理池处理，处理后排入园区污水管网，送星光工业园区污水处理厂进一步处理。</w:t>
                  </w:r>
                </w:p>
              </w:tc>
              <w:tc>
                <w:tcPr>
                  <w:tcW w:w="490" w:type="pct"/>
                  <w:vMerge w:val="continue"/>
                  <w:vAlign w:val="center"/>
                </w:tcPr>
                <w:p w14:paraId="1B58EF9A">
                  <w:pPr>
                    <w:pStyle w:val="12"/>
                    <w:spacing w:line="240" w:lineRule="auto"/>
                    <w:rPr>
                      <w:rFonts w:cs="Times New Roman"/>
                    </w:rPr>
                  </w:pPr>
                </w:p>
              </w:tc>
              <w:tc>
                <w:tcPr>
                  <w:tcW w:w="498" w:type="pct"/>
                  <w:vMerge w:val="continue"/>
                  <w:vAlign w:val="center"/>
                </w:tcPr>
                <w:p w14:paraId="6E28497A">
                  <w:pPr>
                    <w:pStyle w:val="12"/>
                    <w:spacing w:line="240" w:lineRule="auto"/>
                    <w:rPr>
                      <w:rFonts w:hint="eastAsia" w:cs="Times New Roman"/>
                    </w:rPr>
                  </w:pPr>
                </w:p>
              </w:tc>
              <w:tc>
                <w:tcPr>
                  <w:tcW w:w="354" w:type="pct"/>
                  <w:vAlign w:val="center"/>
                </w:tcPr>
                <w:p w14:paraId="584C0489">
                  <w:pPr>
                    <w:pStyle w:val="12"/>
                    <w:spacing w:line="240" w:lineRule="auto"/>
                    <w:ind w:firstLine="0" w:firstLineChars="0"/>
                    <w:rPr>
                      <w:rFonts w:hint="eastAsia" w:cs="Times New Roman"/>
                    </w:rPr>
                  </w:pPr>
                  <w:r>
                    <w:rPr>
                      <w:rFonts w:hint="eastAsia" w:cs="Times New Roman"/>
                      <w:lang w:val="en-US" w:eastAsia="zh-CN"/>
                    </w:rPr>
                    <w:t>新建</w:t>
                  </w:r>
                </w:p>
              </w:tc>
            </w:tr>
            <w:tr w14:paraId="13576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jc w:val="center"/>
              </w:trPr>
              <w:tc>
                <w:tcPr>
                  <w:tcW w:w="382" w:type="pct"/>
                  <w:vMerge w:val="continue"/>
                  <w:vAlign w:val="center"/>
                </w:tcPr>
                <w:p w14:paraId="60734F90">
                  <w:pPr>
                    <w:pStyle w:val="12"/>
                    <w:spacing w:line="240" w:lineRule="auto"/>
                    <w:rPr>
                      <w:rFonts w:cs="Times New Roman"/>
                    </w:rPr>
                  </w:pPr>
                </w:p>
              </w:tc>
              <w:tc>
                <w:tcPr>
                  <w:tcW w:w="383" w:type="pct"/>
                  <w:vAlign w:val="center"/>
                </w:tcPr>
                <w:p w14:paraId="42C031F0">
                  <w:pPr>
                    <w:pStyle w:val="12"/>
                    <w:spacing w:line="240" w:lineRule="auto"/>
                    <w:rPr>
                      <w:rFonts w:cs="Times New Roman"/>
                    </w:rPr>
                  </w:pPr>
                  <w:r>
                    <w:rPr>
                      <w:rFonts w:cs="Times New Roman"/>
                    </w:rPr>
                    <w:t>噪声治理</w:t>
                  </w:r>
                </w:p>
              </w:tc>
              <w:tc>
                <w:tcPr>
                  <w:tcW w:w="2891" w:type="pct"/>
                  <w:gridSpan w:val="2"/>
                  <w:vAlign w:val="center"/>
                </w:tcPr>
                <w:p w14:paraId="624889DE">
                  <w:pPr>
                    <w:pStyle w:val="12"/>
                    <w:spacing w:line="240" w:lineRule="auto"/>
                    <w:jc w:val="left"/>
                    <w:rPr>
                      <w:rFonts w:cs="Times New Roman"/>
                    </w:rPr>
                  </w:pPr>
                  <w:r>
                    <w:rPr>
                      <w:rFonts w:hint="eastAsia" w:cs="Times New Roman"/>
                      <w:lang w:val="en-US" w:eastAsia="zh-CN"/>
                    </w:rPr>
                    <w:t>基础减震、距离衰减等，生产厂房封闭，风机位于风机房，免烧生产线设置减振沟，风机进气和排气采用软管连接，并安装消音器。</w:t>
                  </w:r>
                </w:p>
              </w:tc>
              <w:tc>
                <w:tcPr>
                  <w:tcW w:w="490" w:type="pct"/>
                  <w:vMerge w:val="continue"/>
                  <w:vAlign w:val="center"/>
                </w:tcPr>
                <w:p w14:paraId="13DE0702">
                  <w:pPr>
                    <w:pStyle w:val="12"/>
                    <w:spacing w:line="240" w:lineRule="auto"/>
                    <w:rPr>
                      <w:rFonts w:cs="Times New Roman"/>
                    </w:rPr>
                  </w:pPr>
                </w:p>
              </w:tc>
              <w:tc>
                <w:tcPr>
                  <w:tcW w:w="498" w:type="pct"/>
                  <w:vAlign w:val="center"/>
                </w:tcPr>
                <w:p w14:paraId="47BF86C8">
                  <w:pPr>
                    <w:pStyle w:val="12"/>
                    <w:spacing w:line="240" w:lineRule="auto"/>
                    <w:rPr>
                      <w:rFonts w:cs="Times New Roman"/>
                    </w:rPr>
                  </w:pPr>
                  <w:r>
                    <w:rPr>
                      <w:rFonts w:cs="Times New Roman"/>
                    </w:rPr>
                    <w:t>噪声</w:t>
                  </w:r>
                </w:p>
              </w:tc>
              <w:tc>
                <w:tcPr>
                  <w:tcW w:w="354" w:type="pct"/>
                  <w:vAlign w:val="center"/>
                </w:tcPr>
                <w:p w14:paraId="33AAA316">
                  <w:pPr>
                    <w:pStyle w:val="12"/>
                    <w:spacing w:line="240" w:lineRule="auto"/>
                    <w:ind w:firstLine="0" w:firstLineChars="0"/>
                    <w:rPr>
                      <w:rFonts w:cs="Times New Roman"/>
                    </w:rPr>
                  </w:pPr>
                  <w:r>
                    <w:rPr>
                      <w:rFonts w:hint="eastAsia" w:cs="Times New Roman"/>
                      <w:lang w:val="en-US" w:eastAsia="zh-CN"/>
                    </w:rPr>
                    <w:t>新建</w:t>
                  </w:r>
                </w:p>
              </w:tc>
            </w:tr>
            <w:tr w14:paraId="229C4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jc w:val="center"/>
              </w:trPr>
              <w:tc>
                <w:tcPr>
                  <w:tcW w:w="382" w:type="pct"/>
                  <w:vMerge w:val="continue"/>
                  <w:vAlign w:val="center"/>
                </w:tcPr>
                <w:p w14:paraId="79FECA35">
                  <w:pPr>
                    <w:pStyle w:val="12"/>
                    <w:spacing w:line="240" w:lineRule="auto"/>
                    <w:rPr>
                      <w:rFonts w:cs="Times New Roman"/>
                    </w:rPr>
                  </w:pPr>
                </w:p>
              </w:tc>
              <w:tc>
                <w:tcPr>
                  <w:tcW w:w="383" w:type="pct"/>
                  <w:vMerge w:val="restart"/>
                  <w:vAlign w:val="center"/>
                </w:tcPr>
                <w:p w14:paraId="1C38E0AB">
                  <w:pPr>
                    <w:pStyle w:val="12"/>
                    <w:spacing w:line="240" w:lineRule="auto"/>
                    <w:rPr>
                      <w:rFonts w:cs="Times New Roman"/>
                    </w:rPr>
                  </w:pPr>
                  <w:r>
                    <w:rPr>
                      <w:rFonts w:cs="Times New Roman"/>
                    </w:rPr>
                    <w:t>固废处置</w:t>
                  </w:r>
                </w:p>
              </w:tc>
              <w:tc>
                <w:tcPr>
                  <w:tcW w:w="547" w:type="pct"/>
                  <w:vAlign w:val="center"/>
                </w:tcPr>
                <w:p w14:paraId="6B67EEAF">
                  <w:pPr>
                    <w:pStyle w:val="12"/>
                    <w:spacing w:line="240" w:lineRule="auto"/>
                    <w:ind w:firstLine="0" w:firstLineChars="0"/>
                    <w:rPr>
                      <w:rFonts w:hint="eastAsia" w:cs="Times New Roman"/>
                      <w:lang w:val="en-US" w:eastAsia="zh-CN"/>
                    </w:rPr>
                  </w:pPr>
                  <w:r>
                    <w:rPr>
                      <w:rFonts w:hint="eastAsia" w:cs="Times New Roman"/>
                      <w:lang w:val="en-US" w:eastAsia="zh-CN"/>
                    </w:rPr>
                    <w:t>生活</w:t>
                  </w:r>
                </w:p>
                <w:p w14:paraId="565C20BA">
                  <w:pPr>
                    <w:pStyle w:val="12"/>
                    <w:spacing w:line="240" w:lineRule="auto"/>
                    <w:ind w:firstLine="0" w:firstLineChars="0"/>
                    <w:rPr>
                      <w:rFonts w:hint="eastAsia" w:cs="Times New Roman"/>
                      <w:lang w:val="en-US" w:eastAsia="zh-CN"/>
                    </w:rPr>
                  </w:pPr>
                  <w:r>
                    <w:rPr>
                      <w:rFonts w:hint="eastAsia" w:cs="Times New Roman"/>
                      <w:lang w:val="en-US" w:eastAsia="zh-CN"/>
                    </w:rPr>
                    <w:t>垃圾</w:t>
                  </w:r>
                </w:p>
              </w:tc>
              <w:tc>
                <w:tcPr>
                  <w:tcW w:w="2343" w:type="pct"/>
                  <w:vAlign w:val="center"/>
                </w:tcPr>
                <w:p w14:paraId="5E6635BE">
                  <w:pPr>
                    <w:pStyle w:val="12"/>
                    <w:spacing w:line="240" w:lineRule="auto"/>
                    <w:ind w:firstLine="0" w:firstLineChars="0"/>
                    <w:jc w:val="left"/>
                    <w:rPr>
                      <w:rFonts w:hint="eastAsia" w:cs="Times New Roman"/>
                      <w:lang w:val="en-US" w:eastAsia="zh-CN"/>
                    </w:rPr>
                  </w:pPr>
                  <w:r>
                    <w:rPr>
                      <w:rFonts w:hint="eastAsia" w:cs="Times New Roman"/>
                      <w:lang w:val="en-US" w:eastAsia="zh-CN"/>
                    </w:rPr>
                    <w:t>垃圾桶收集，交由环卫定期清运处置。</w:t>
                  </w:r>
                </w:p>
              </w:tc>
              <w:tc>
                <w:tcPr>
                  <w:tcW w:w="490" w:type="pct"/>
                  <w:vMerge w:val="continue"/>
                  <w:vAlign w:val="center"/>
                </w:tcPr>
                <w:p w14:paraId="63E23192">
                  <w:pPr>
                    <w:pStyle w:val="12"/>
                    <w:spacing w:line="240" w:lineRule="auto"/>
                    <w:rPr>
                      <w:rFonts w:cs="Times New Roman"/>
                    </w:rPr>
                  </w:pPr>
                </w:p>
              </w:tc>
              <w:tc>
                <w:tcPr>
                  <w:tcW w:w="498" w:type="pct"/>
                  <w:vMerge w:val="restart"/>
                  <w:vAlign w:val="center"/>
                </w:tcPr>
                <w:p w14:paraId="1DEA72CD">
                  <w:pPr>
                    <w:pStyle w:val="12"/>
                    <w:spacing w:line="240" w:lineRule="auto"/>
                    <w:rPr>
                      <w:rFonts w:cs="Times New Roman"/>
                    </w:rPr>
                  </w:pPr>
                  <w:r>
                    <w:rPr>
                      <w:rFonts w:cs="Times New Roman"/>
                    </w:rPr>
                    <w:t>固废</w:t>
                  </w:r>
                </w:p>
              </w:tc>
              <w:tc>
                <w:tcPr>
                  <w:tcW w:w="354" w:type="pct"/>
                  <w:vAlign w:val="center"/>
                </w:tcPr>
                <w:p w14:paraId="248BB24D">
                  <w:pPr>
                    <w:pStyle w:val="12"/>
                    <w:spacing w:line="240" w:lineRule="auto"/>
                    <w:ind w:firstLine="0" w:firstLineChars="0"/>
                    <w:rPr>
                      <w:rFonts w:cs="Times New Roman"/>
                    </w:rPr>
                  </w:pPr>
                  <w:r>
                    <w:rPr>
                      <w:rFonts w:hint="eastAsia" w:cs="Times New Roman"/>
                      <w:lang w:val="en-US" w:eastAsia="zh-CN"/>
                    </w:rPr>
                    <w:t>新建</w:t>
                  </w:r>
                </w:p>
              </w:tc>
            </w:tr>
            <w:tr w14:paraId="5F1EC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jc w:val="center"/>
              </w:trPr>
              <w:tc>
                <w:tcPr>
                  <w:tcW w:w="382" w:type="pct"/>
                  <w:vMerge w:val="continue"/>
                  <w:vAlign w:val="center"/>
                </w:tcPr>
                <w:p w14:paraId="3468FE5F">
                  <w:pPr>
                    <w:pStyle w:val="12"/>
                    <w:spacing w:line="240" w:lineRule="auto"/>
                    <w:rPr>
                      <w:rFonts w:cs="Times New Roman"/>
                    </w:rPr>
                  </w:pPr>
                </w:p>
              </w:tc>
              <w:tc>
                <w:tcPr>
                  <w:tcW w:w="383" w:type="pct"/>
                  <w:vMerge w:val="continue"/>
                  <w:vAlign w:val="center"/>
                </w:tcPr>
                <w:p w14:paraId="5B563ACC">
                  <w:pPr>
                    <w:pStyle w:val="12"/>
                    <w:spacing w:line="240" w:lineRule="auto"/>
                    <w:rPr>
                      <w:rFonts w:cs="Times New Roman"/>
                    </w:rPr>
                  </w:pPr>
                </w:p>
              </w:tc>
              <w:tc>
                <w:tcPr>
                  <w:tcW w:w="547" w:type="pct"/>
                  <w:vAlign w:val="center"/>
                </w:tcPr>
                <w:p w14:paraId="4E4FDCFC">
                  <w:pPr>
                    <w:pStyle w:val="12"/>
                    <w:spacing w:line="240" w:lineRule="auto"/>
                    <w:ind w:firstLine="0" w:firstLineChars="0"/>
                    <w:jc w:val="center"/>
                    <w:rPr>
                      <w:rFonts w:hint="eastAsia" w:cs="Times New Roman"/>
                      <w:lang w:val="en-US" w:eastAsia="zh-CN"/>
                    </w:rPr>
                  </w:pPr>
                  <w:r>
                    <w:rPr>
                      <w:rFonts w:hint="eastAsia" w:cs="Times New Roman"/>
                      <w:lang w:val="en-US" w:eastAsia="zh-CN"/>
                    </w:rPr>
                    <w:t>一般</w:t>
                  </w:r>
                </w:p>
                <w:p w14:paraId="55070B93">
                  <w:pPr>
                    <w:pStyle w:val="12"/>
                    <w:spacing w:line="240" w:lineRule="auto"/>
                    <w:ind w:firstLine="0" w:firstLineChars="0"/>
                    <w:jc w:val="center"/>
                    <w:rPr>
                      <w:rFonts w:hint="default" w:cs="Times New Roman"/>
                      <w:lang w:val="en-US" w:eastAsia="zh-CN"/>
                    </w:rPr>
                  </w:pPr>
                  <w:r>
                    <w:rPr>
                      <w:rFonts w:hint="eastAsia" w:cs="Times New Roman"/>
                      <w:lang w:val="en-US" w:eastAsia="zh-CN"/>
                    </w:rPr>
                    <w:t>固废</w:t>
                  </w:r>
                </w:p>
              </w:tc>
              <w:tc>
                <w:tcPr>
                  <w:tcW w:w="2343" w:type="pct"/>
                  <w:vAlign w:val="center"/>
                </w:tcPr>
                <w:p w14:paraId="563E333D">
                  <w:pPr>
                    <w:pStyle w:val="12"/>
                    <w:spacing w:line="240" w:lineRule="auto"/>
                    <w:ind w:firstLine="0" w:firstLineChars="0"/>
                    <w:jc w:val="left"/>
                    <w:rPr>
                      <w:rFonts w:hint="eastAsia" w:cs="Times New Roman"/>
                      <w:lang w:val="en-US" w:eastAsia="zh-CN"/>
                    </w:rPr>
                  </w:pPr>
                  <w:r>
                    <w:rPr>
                      <w:rFonts w:hint="eastAsia" w:cs="Times New Roman"/>
                      <w:lang w:val="en-US" w:eastAsia="zh-CN"/>
                    </w:rPr>
                    <w:t>不合格产品返回搅拌阶段重新利用；</w:t>
                  </w:r>
                </w:p>
                <w:p w14:paraId="7DEA03A4">
                  <w:pPr>
                    <w:pStyle w:val="12"/>
                    <w:spacing w:line="240" w:lineRule="auto"/>
                    <w:ind w:firstLine="0" w:firstLineChars="0"/>
                    <w:jc w:val="left"/>
                    <w:rPr>
                      <w:rFonts w:hint="eastAsia" w:cs="Times New Roman"/>
                      <w:lang w:val="en-US" w:eastAsia="zh-CN"/>
                    </w:rPr>
                  </w:pPr>
                  <w:r>
                    <w:rPr>
                      <w:rFonts w:hint="eastAsia" w:cs="Times New Roman"/>
                      <w:lang w:val="en-US" w:eastAsia="zh-CN"/>
                    </w:rPr>
                    <w:t>布袋除尘器集尘、旋风除尘器集尘作为原料，送至搅拌阶段综合利用；</w:t>
                  </w:r>
                </w:p>
                <w:p w14:paraId="37D59AE1">
                  <w:pPr>
                    <w:pStyle w:val="12"/>
                    <w:spacing w:line="240" w:lineRule="auto"/>
                    <w:ind w:firstLine="0" w:firstLineChars="0"/>
                    <w:jc w:val="left"/>
                    <w:rPr>
                      <w:rFonts w:hint="eastAsia" w:cs="Times New Roman"/>
                      <w:lang w:val="en-US" w:eastAsia="zh-CN"/>
                    </w:rPr>
                  </w:pPr>
                  <w:r>
                    <w:rPr>
                      <w:rFonts w:hint="eastAsia" w:cs="Times New Roman"/>
                      <w:lang w:val="en-US" w:eastAsia="zh-CN"/>
                    </w:rPr>
                    <w:t>废模具暂存于一般固废暂存间内，由厂家回收更换；</w:t>
                  </w:r>
                </w:p>
                <w:p w14:paraId="043312A2">
                  <w:pPr>
                    <w:pStyle w:val="12"/>
                    <w:spacing w:line="240" w:lineRule="auto"/>
                    <w:ind w:firstLine="0" w:firstLineChars="0"/>
                    <w:jc w:val="left"/>
                    <w:rPr>
                      <w:rFonts w:hint="eastAsia" w:cs="Times New Roman"/>
                      <w:lang w:val="en-US" w:eastAsia="zh-CN"/>
                    </w:rPr>
                  </w:pPr>
                  <w:r>
                    <w:rPr>
                      <w:rFonts w:hint="eastAsia" w:cs="Times New Roman"/>
                      <w:lang w:val="en-US" w:eastAsia="zh-CN"/>
                    </w:rPr>
                    <w:t>废布袋由厂家回收；</w:t>
                  </w:r>
                </w:p>
                <w:p w14:paraId="6B227CA9">
                  <w:pPr>
                    <w:pStyle w:val="12"/>
                    <w:spacing w:line="240" w:lineRule="auto"/>
                    <w:ind w:firstLine="0" w:firstLineChars="0"/>
                    <w:jc w:val="left"/>
                    <w:rPr>
                      <w:rFonts w:hint="eastAsia" w:cs="Times New Roman"/>
                      <w:lang w:val="en-US" w:eastAsia="zh-CN"/>
                    </w:rPr>
                  </w:pPr>
                  <w:r>
                    <w:rPr>
                      <w:rFonts w:hint="eastAsia" w:cs="Times New Roman"/>
                      <w:lang w:val="en-US" w:eastAsia="zh-CN"/>
                    </w:rPr>
                    <w:t>废包装袋暂存于一般固废暂存间内，外售综合利用</w:t>
                  </w:r>
                </w:p>
                <w:p w14:paraId="3AD1E01B">
                  <w:pPr>
                    <w:pStyle w:val="12"/>
                    <w:spacing w:line="240" w:lineRule="auto"/>
                    <w:ind w:firstLine="0" w:firstLineChars="0"/>
                    <w:jc w:val="left"/>
                    <w:rPr>
                      <w:rFonts w:hint="default"/>
                      <w:lang w:val="en-US" w:eastAsia="zh-CN"/>
                    </w:rPr>
                  </w:pPr>
                  <w:r>
                    <w:rPr>
                      <w:rFonts w:hint="eastAsia" w:cs="Times New Roman"/>
                      <w:lang w:val="en-US" w:eastAsia="zh-CN"/>
                    </w:rPr>
                    <w:t>氟化钙污泥外售水泥厂制水泥。</w:t>
                  </w:r>
                </w:p>
              </w:tc>
              <w:tc>
                <w:tcPr>
                  <w:tcW w:w="490" w:type="pct"/>
                  <w:vMerge w:val="continue"/>
                  <w:vAlign w:val="center"/>
                </w:tcPr>
                <w:p w14:paraId="3725C525">
                  <w:pPr>
                    <w:pStyle w:val="12"/>
                    <w:spacing w:line="240" w:lineRule="auto"/>
                    <w:rPr>
                      <w:rFonts w:cs="Times New Roman"/>
                    </w:rPr>
                  </w:pPr>
                </w:p>
              </w:tc>
              <w:tc>
                <w:tcPr>
                  <w:tcW w:w="498" w:type="pct"/>
                  <w:vMerge w:val="continue"/>
                  <w:vAlign w:val="center"/>
                </w:tcPr>
                <w:p w14:paraId="309D8834">
                  <w:pPr>
                    <w:pStyle w:val="12"/>
                    <w:spacing w:line="240" w:lineRule="auto"/>
                    <w:rPr>
                      <w:rFonts w:cs="Times New Roman"/>
                    </w:rPr>
                  </w:pPr>
                </w:p>
              </w:tc>
              <w:tc>
                <w:tcPr>
                  <w:tcW w:w="354" w:type="pct"/>
                  <w:vAlign w:val="center"/>
                </w:tcPr>
                <w:p w14:paraId="4DCC2980">
                  <w:pPr>
                    <w:pStyle w:val="12"/>
                    <w:spacing w:line="240" w:lineRule="auto"/>
                    <w:ind w:firstLine="0" w:firstLineChars="0"/>
                    <w:rPr>
                      <w:rFonts w:cs="Times New Roman"/>
                    </w:rPr>
                  </w:pPr>
                  <w:r>
                    <w:rPr>
                      <w:rFonts w:hint="eastAsia" w:cs="Times New Roman"/>
                      <w:lang w:val="en-US" w:eastAsia="zh-CN"/>
                    </w:rPr>
                    <w:t>新建</w:t>
                  </w:r>
                </w:p>
              </w:tc>
            </w:tr>
            <w:tr w14:paraId="34837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jc w:val="center"/>
              </w:trPr>
              <w:tc>
                <w:tcPr>
                  <w:tcW w:w="382" w:type="pct"/>
                  <w:vMerge w:val="continue"/>
                  <w:vAlign w:val="center"/>
                </w:tcPr>
                <w:p w14:paraId="19689225">
                  <w:pPr>
                    <w:pStyle w:val="12"/>
                    <w:spacing w:line="240" w:lineRule="auto"/>
                    <w:rPr>
                      <w:rFonts w:cs="Times New Roman"/>
                    </w:rPr>
                  </w:pPr>
                </w:p>
              </w:tc>
              <w:tc>
                <w:tcPr>
                  <w:tcW w:w="383" w:type="pct"/>
                  <w:vMerge w:val="continue"/>
                  <w:vAlign w:val="center"/>
                </w:tcPr>
                <w:p w14:paraId="3EA03A0E">
                  <w:pPr>
                    <w:pStyle w:val="12"/>
                    <w:spacing w:line="240" w:lineRule="auto"/>
                    <w:rPr>
                      <w:rFonts w:cs="Times New Roman"/>
                    </w:rPr>
                  </w:pPr>
                </w:p>
              </w:tc>
              <w:tc>
                <w:tcPr>
                  <w:tcW w:w="547" w:type="pct"/>
                  <w:vAlign w:val="center"/>
                </w:tcPr>
                <w:p w14:paraId="740D0F72">
                  <w:pPr>
                    <w:pStyle w:val="12"/>
                    <w:spacing w:line="240" w:lineRule="auto"/>
                    <w:jc w:val="center"/>
                    <w:rPr>
                      <w:rFonts w:hint="eastAsia" w:cs="Times New Roman"/>
                      <w:sz w:val="21"/>
                      <w:szCs w:val="21"/>
                      <w:lang w:val="en-US" w:eastAsia="zh-CN"/>
                    </w:rPr>
                  </w:pPr>
                  <w:r>
                    <w:rPr>
                      <w:rFonts w:hint="eastAsia" w:cs="Times New Roman"/>
                      <w:sz w:val="21"/>
                      <w:szCs w:val="21"/>
                      <w:lang w:val="en-US" w:eastAsia="zh-CN"/>
                    </w:rPr>
                    <w:t>危险</w:t>
                  </w:r>
                </w:p>
                <w:p w14:paraId="23E00D05">
                  <w:pPr>
                    <w:pStyle w:val="12"/>
                    <w:spacing w:line="240" w:lineRule="auto"/>
                    <w:jc w:val="center"/>
                    <w:rPr>
                      <w:rFonts w:hint="default" w:eastAsia="宋体" w:cs="Times New Roman"/>
                      <w:sz w:val="21"/>
                      <w:szCs w:val="21"/>
                      <w:lang w:val="en-US" w:eastAsia="zh-CN"/>
                    </w:rPr>
                  </w:pPr>
                  <w:r>
                    <w:rPr>
                      <w:rFonts w:hint="eastAsia" w:cs="Times New Roman"/>
                      <w:sz w:val="21"/>
                      <w:szCs w:val="21"/>
                      <w:lang w:val="en-US" w:eastAsia="zh-CN"/>
                    </w:rPr>
                    <w:t>废物</w:t>
                  </w:r>
                </w:p>
              </w:tc>
              <w:tc>
                <w:tcPr>
                  <w:tcW w:w="2343" w:type="pct"/>
                  <w:vAlign w:val="center"/>
                </w:tcPr>
                <w:p w14:paraId="4B06A45C">
                  <w:pPr>
                    <w:pStyle w:val="12"/>
                    <w:spacing w:line="240" w:lineRule="auto"/>
                    <w:jc w:val="left"/>
                    <w:rPr>
                      <w:rFonts w:hint="eastAsia" w:ascii="Segoe UI" w:hAnsi="Segoe UI" w:eastAsia="宋体" w:cs="Segoe UI"/>
                      <w:i w:val="0"/>
                      <w:iCs w:val="0"/>
                      <w:caps w:val="0"/>
                      <w:color w:val="0F1115"/>
                      <w:spacing w:val="0"/>
                      <w:sz w:val="21"/>
                      <w:szCs w:val="21"/>
                      <w:shd w:val="clear" w:fill="FFFFFF"/>
                      <w:lang w:val="en-US" w:eastAsia="zh-CN"/>
                    </w:rPr>
                  </w:pPr>
                  <w:r>
                    <w:rPr>
                      <w:rFonts w:hint="eastAsia" w:cs="Times New Roman"/>
                      <w:sz w:val="21"/>
                      <w:szCs w:val="21"/>
                      <w:lang w:val="en-US" w:eastAsia="zh-CN"/>
                    </w:rPr>
                    <w:t>废</w:t>
                  </w:r>
                  <w:r>
                    <w:rPr>
                      <w:rFonts w:hint="eastAsia" w:ascii="Segoe UI" w:hAnsi="Segoe UI" w:eastAsia="宋体" w:cs="Segoe UI"/>
                      <w:i w:val="0"/>
                      <w:iCs w:val="0"/>
                      <w:caps w:val="0"/>
                      <w:color w:val="0F1115"/>
                      <w:spacing w:val="0"/>
                      <w:sz w:val="21"/>
                      <w:szCs w:val="21"/>
                      <w:shd w:val="clear" w:fill="FFFFFF"/>
                      <w:lang w:val="en-US" w:eastAsia="zh-CN"/>
                    </w:rPr>
                    <w:t>液压油定期由厂家更换带走</w:t>
                  </w:r>
                  <w:r>
                    <w:rPr>
                      <w:rFonts w:hint="eastAsia" w:ascii="Segoe UI" w:hAnsi="Segoe UI" w:cs="Segoe UI"/>
                      <w:i w:val="0"/>
                      <w:iCs w:val="0"/>
                      <w:caps w:val="0"/>
                      <w:color w:val="0F1115"/>
                      <w:spacing w:val="0"/>
                      <w:sz w:val="21"/>
                      <w:szCs w:val="21"/>
                      <w:shd w:val="clear" w:fill="FFFFFF"/>
                      <w:lang w:val="en-US" w:eastAsia="zh-CN"/>
                    </w:rPr>
                    <w:t>，不在厂内暂存；</w:t>
                  </w:r>
                </w:p>
                <w:p w14:paraId="079DC102">
                  <w:pPr>
                    <w:pStyle w:val="12"/>
                    <w:spacing w:line="240" w:lineRule="auto"/>
                    <w:jc w:val="left"/>
                    <w:rPr>
                      <w:rFonts w:hint="default" w:eastAsia="宋体" w:cs="Times New Roman"/>
                      <w:sz w:val="21"/>
                      <w:szCs w:val="21"/>
                      <w:lang w:val="en-US" w:eastAsia="zh-CN"/>
                    </w:rPr>
                  </w:pPr>
                  <w:r>
                    <w:rPr>
                      <w:rFonts w:hint="eastAsia" w:cs="Times New Roman"/>
                      <w:sz w:val="21"/>
                      <w:szCs w:val="21"/>
                      <w:lang w:val="en-US" w:eastAsia="zh-CN"/>
                    </w:rPr>
                    <w:t>废机油、废油桶、沾油废物、废活性炭均分类收集，分区暂存在危废暂存间内，定期交由资质单位清运处置。</w:t>
                  </w:r>
                </w:p>
              </w:tc>
              <w:tc>
                <w:tcPr>
                  <w:tcW w:w="490" w:type="pct"/>
                  <w:vMerge w:val="continue"/>
                  <w:vAlign w:val="center"/>
                </w:tcPr>
                <w:p w14:paraId="6457DA98">
                  <w:pPr>
                    <w:pStyle w:val="12"/>
                    <w:spacing w:line="240" w:lineRule="auto"/>
                    <w:rPr>
                      <w:rFonts w:cs="Times New Roman"/>
                    </w:rPr>
                  </w:pPr>
                </w:p>
              </w:tc>
              <w:tc>
                <w:tcPr>
                  <w:tcW w:w="498" w:type="pct"/>
                  <w:vMerge w:val="continue"/>
                  <w:vAlign w:val="center"/>
                </w:tcPr>
                <w:p w14:paraId="37E31026">
                  <w:pPr>
                    <w:pStyle w:val="12"/>
                    <w:spacing w:line="240" w:lineRule="auto"/>
                    <w:rPr>
                      <w:rFonts w:cs="Times New Roman"/>
                    </w:rPr>
                  </w:pPr>
                </w:p>
              </w:tc>
              <w:tc>
                <w:tcPr>
                  <w:tcW w:w="354" w:type="pct"/>
                  <w:vAlign w:val="center"/>
                </w:tcPr>
                <w:p w14:paraId="29DB1BE4">
                  <w:pPr>
                    <w:pStyle w:val="12"/>
                    <w:spacing w:line="240" w:lineRule="auto"/>
                    <w:ind w:firstLine="0" w:firstLineChars="0"/>
                    <w:rPr>
                      <w:rFonts w:cs="Times New Roman"/>
                    </w:rPr>
                  </w:pPr>
                  <w:r>
                    <w:rPr>
                      <w:rFonts w:hint="eastAsia" w:cs="Times New Roman"/>
                      <w:lang w:val="en-US" w:eastAsia="zh-CN"/>
                    </w:rPr>
                    <w:t>新建</w:t>
                  </w:r>
                </w:p>
              </w:tc>
            </w:tr>
            <w:tr w14:paraId="2C457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 w:hRule="atLeast"/>
                <w:jc w:val="center"/>
              </w:trPr>
              <w:tc>
                <w:tcPr>
                  <w:tcW w:w="382" w:type="pct"/>
                  <w:vMerge w:val="continue"/>
                  <w:vAlign w:val="center"/>
                </w:tcPr>
                <w:p w14:paraId="205CCC8F">
                  <w:pPr>
                    <w:pStyle w:val="12"/>
                    <w:spacing w:line="240" w:lineRule="auto"/>
                    <w:rPr>
                      <w:rFonts w:hint="default" w:eastAsia="宋体" w:cs="Times New Roman"/>
                      <w:lang w:val="en-US" w:eastAsia="zh-CN"/>
                    </w:rPr>
                  </w:pPr>
                </w:p>
              </w:tc>
              <w:tc>
                <w:tcPr>
                  <w:tcW w:w="383" w:type="pct"/>
                  <w:vMerge w:val="restart"/>
                  <w:vAlign w:val="center"/>
                </w:tcPr>
                <w:p w14:paraId="7F8D5168">
                  <w:pPr>
                    <w:pStyle w:val="12"/>
                    <w:spacing w:line="240" w:lineRule="auto"/>
                    <w:rPr>
                      <w:rFonts w:hint="default" w:eastAsia="宋体" w:cs="Times New Roman"/>
                      <w:lang w:val="en-US" w:eastAsia="zh-CN"/>
                    </w:rPr>
                  </w:pPr>
                  <w:r>
                    <w:rPr>
                      <w:rFonts w:hint="eastAsia" w:cs="Times New Roman"/>
                      <w:lang w:val="en-US" w:eastAsia="zh-CN"/>
                    </w:rPr>
                    <w:t>地下水防渗</w:t>
                  </w:r>
                </w:p>
              </w:tc>
              <w:tc>
                <w:tcPr>
                  <w:tcW w:w="547" w:type="pct"/>
                  <w:vMerge w:val="restart"/>
                  <w:vAlign w:val="center"/>
                </w:tcPr>
                <w:p w14:paraId="71DF7335">
                  <w:pPr>
                    <w:pStyle w:val="12"/>
                    <w:spacing w:line="240" w:lineRule="auto"/>
                    <w:jc w:val="center"/>
                    <w:rPr>
                      <w:rFonts w:hint="default" w:cs="Times New Roman"/>
                      <w:sz w:val="21"/>
                      <w:szCs w:val="21"/>
                      <w:lang w:val="en-US" w:eastAsia="zh-CN"/>
                    </w:rPr>
                  </w:pPr>
                  <w:r>
                    <w:rPr>
                      <w:rFonts w:hint="eastAsia" w:cs="Times New Roman"/>
                      <w:sz w:val="21"/>
                      <w:szCs w:val="21"/>
                      <w:lang w:val="en-US" w:eastAsia="zh-CN"/>
                    </w:rPr>
                    <w:t>重点防渗区</w:t>
                  </w:r>
                </w:p>
              </w:tc>
              <w:tc>
                <w:tcPr>
                  <w:tcW w:w="2343" w:type="pct"/>
                  <w:vAlign w:val="center"/>
                </w:tcPr>
                <w:p w14:paraId="3AA6A01A">
                  <w:pPr>
                    <w:pStyle w:val="12"/>
                    <w:spacing w:line="240" w:lineRule="auto"/>
                    <w:jc w:val="left"/>
                    <w:rPr>
                      <w:rFonts w:hint="default" w:cs="Times New Roman"/>
                      <w:sz w:val="21"/>
                      <w:szCs w:val="21"/>
                      <w:lang w:val="en-US" w:eastAsia="zh-CN"/>
                    </w:rPr>
                  </w:pPr>
                  <w:r>
                    <w:rPr>
                      <w:rFonts w:hint="eastAsia" w:cs="Times New Roman"/>
                      <w:sz w:val="21"/>
                      <w:szCs w:val="21"/>
                      <w:lang w:val="en-US" w:eastAsia="zh-CN"/>
                    </w:rPr>
                    <w:t>危废暂存间：</w:t>
                  </w:r>
                  <w:r>
                    <w:rPr>
                      <w:rFonts w:hint="eastAsia" w:cs="Times New Roman"/>
                      <w:lang w:val="en-US" w:eastAsia="zh-CN" w:bidi="ar"/>
                    </w:rPr>
                    <w:t>防渗混凝土硬化+2mm厚人工防渗材料</w:t>
                  </w:r>
                  <w:r>
                    <w:rPr>
                      <w:rFonts w:hint="eastAsia" w:ascii="Times New Roman" w:hAnsi="Times New Roman" w:eastAsia="宋体" w:cs="Times New Roman"/>
                      <w:lang w:val="en-US" w:eastAsia="zh-CN" w:bidi="ar"/>
                    </w:rPr>
                    <w:t>，危废暂存设置防渗托盘，将液态危险废物容器置于托盘内</w:t>
                  </w:r>
                </w:p>
              </w:tc>
              <w:tc>
                <w:tcPr>
                  <w:tcW w:w="490" w:type="pct"/>
                  <w:vMerge w:val="continue"/>
                  <w:vAlign w:val="center"/>
                </w:tcPr>
                <w:p w14:paraId="3C90900B">
                  <w:pPr>
                    <w:pStyle w:val="12"/>
                    <w:spacing w:line="240" w:lineRule="auto"/>
                    <w:rPr>
                      <w:rFonts w:cs="Times New Roman"/>
                    </w:rPr>
                  </w:pPr>
                </w:p>
              </w:tc>
              <w:tc>
                <w:tcPr>
                  <w:tcW w:w="498" w:type="pct"/>
                  <w:vMerge w:val="restart"/>
                  <w:vAlign w:val="center"/>
                </w:tcPr>
                <w:p w14:paraId="54176D8D">
                  <w:pPr>
                    <w:pStyle w:val="12"/>
                    <w:spacing w:line="240" w:lineRule="auto"/>
                    <w:jc w:val="center"/>
                    <w:rPr>
                      <w:rFonts w:hint="eastAsia" w:eastAsia="宋体" w:cs="Times New Roman"/>
                      <w:lang w:val="en-US" w:eastAsia="zh-CN"/>
                    </w:rPr>
                  </w:pPr>
                  <w:r>
                    <w:rPr>
                      <w:rFonts w:hint="eastAsia" w:cs="Times New Roman"/>
                      <w:lang w:val="en-US" w:eastAsia="zh-CN"/>
                    </w:rPr>
                    <w:t>/</w:t>
                  </w:r>
                </w:p>
              </w:tc>
              <w:tc>
                <w:tcPr>
                  <w:tcW w:w="354" w:type="pct"/>
                  <w:vMerge w:val="restart"/>
                  <w:vAlign w:val="center"/>
                </w:tcPr>
                <w:p w14:paraId="269566A6">
                  <w:pPr>
                    <w:pStyle w:val="12"/>
                    <w:spacing w:line="240" w:lineRule="auto"/>
                    <w:ind w:firstLine="0" w:firstLineChars="0"/>
                    <w:jc w:val="center"/>
                    <w:rPr>
                      <w:rFonts w:hint="default" w:cs="Times New Roman"/>
                      <w:lang w:val="en-US" w:eastAsia="zh-CN"/>
                    </w:rPr>
                  </w:pPr>
                  <w:r>
                    <w:rPr>
                      <w:rFonts w:hint="eastAsia" w:cs="Times New Roman"/>
                      <w:lang w:val="en-US" w:eastAsia="zh-CN"/>
                    </w:rPr>
                    <w:t>新建</w:t>
                  </w:r>
                </w:p>
              </w:tc>
            </w:tr>
            <w:tr w14:paraId="7574E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 w:hRule="atLeast"/>
                <w:jc w:val="center"/>
              </w:trPr>
              <w:tc>
                <w:tcPr>
                  <w:tcW w:w="382" w:type="pct"/>
                  <w:vMerge w:val="continue"/>
                  <w:vAlign w:val="center"/>
                </w:tcPr>
                <w:p w14:paraId="21969720">
                  <w:pPr>
                    <w:pStyle w:val="12"/>
                    <w:spacing w:line="240" w:lineRule="auto"/>
                    <w:jc w:val="left"/>
                    <w:rPr>
                      <w:rFonts w:hint="eastAsia" w:cs="Times New Roman"/>
                      <w:sz w:val="21"/>
                      <w:szCs w:val="21"/>
                      <w:lang w:val="en-US" w:eastAsia="zh-CN"/>
                    </w:rPr>
                  </w:pPr>
                </w:p>
              </w:tc>
              <w:tc>
                <w:tcPr>
                  <w:tcW w:w="383" w:type="pct"/>
                  <w:vMerge w:val="continue"/>
                  <w:vAlign w:val="center"/>
                </w:tcPr>
                <w:p w14:paraId="3A94E969">
                  <w:pPr>
                    <w:pStyle w:val="12"/>
                    <w:spacing w:line="240" w:lineRule="auto"/>
                    <w:jc w:val="left"/>
                    <w:rPr>
                      <w:rFonts w:hint="eastAsia" w:cs="Times New Roman"/>
                      <w:sz w:val="21"/>
                      <w:szCs w:val="21"/>
                      <w:lang w:val="en-US" w:eastAsia="zh-CN"/>
                    </w:rPr>
                  </w:pPr>
                </w:p>
              </w:tc>
              <w:tc>
                <w:tcPr>
                  <w:tcW w:w="547" w:type="pct"/>
                  <w:vMerge w:val="continue"/>
                  <w:vAlign w:val="center"/>
                </w:tcPr>
                <w:p w14:paraId="4FB6A917">
                  <w:pPr>
                    <w:pStyle w:val="12"/>
                    <w:spacing w:line="240" w:lineRule="auto"/>
                    <w:jc w:val="left"/>
                    <w:rPr>
                      <w:rFonts w:hint="eastAsia" w:cs="Times New Roman"/>
                      <w:sz w:val="21"/>
                      <w:szCs w:val="21"/>
                      <w:lang w:val="en-US" w:eastAsia="zh-CN"/>
                    </w:rPr>
                  </w:pPr>
                </w:p>
              </w:tc>
              <w:tc>
                <w:tcPr>
                  <w:tcW w:w="2343" w:type="pct"/>
                  <w:vAlign w:val="center"/>
                </w:tcPr>
                <w:p w14:paraId="1DC3C8F1">
                  <w:pPr>
                    <w:pStyle w:val="12"/>
                    <w:spacing w:line="240" w:lineRule="auto"/>
                    <w:jc w:val="left"/>
                    <w:rPr>
                      <w:rFonts w:hint="default" w:cs="Times New Roman"/>
                      <w:sz w:val="21"/>
                      <w:szCs w:val="21"/>
                      <w:lang w:val="en-US" w:eastAsia="zh-CN"/>
                    </w:rPr>
                  </w:pPr>
                  <w:r>
                    <w:rPr>
                      <w:rFonts w:hint="eastAsia" w:cs="Times New Roman"/>
                      <w:sz w:val="21"/>
                      <w:szCs w:val="21"/>
                      <w:lang w:val="en-US" w:eastAsia="zh-CN"/>
                    </w:rPr>
                    <w:t>水基岩屑储存池、渗滤液池、干水基岩屑堆存区、热脱附干渣堆存区：</w:t>
                  </w:r>
                  <w:r>
                    <w:rPr>
                      <w:rFonts w:hint="eastAsia"/>
                      <w:lang w:val="en-US" w:eastAsia="zh-CN"/>
                    </w:rPr>
                    <w:t>2mm厚HDPE防渗膜+</w:t>
                  </w:r>
                  <w:r>
                    <w:rPr>
                      <w:rFonts w:hint="eastAsia" w:cs="Times New Roman"/>
                      <w:lang w:val="en-US" w:eastAsia="zh-CN" w:bidi="ar"/>
                    </w:rPr>
                    <w:t>抗渗混凝土硬化</w:t>
                  </w:r>
                </w:p>
              </w:tc>
              <w:tc>
                <w:tcPr>
                  <w:tcW w:w="490" w:type="pct"/>
                  <w:vMerge w:val="continue"/>
                  <w:vAlign w:val="center"/>
                </w:tcPr>
                <w:p w14:paraId="178FAF8B">
                  <w:pPr>
                    <w:pStyle w:val="12"/>
                    <w:spacing w:line="240" w:lineRule="auto"/>
                    <w:jc w:val="left"/>
                    <w:rPr>
                      <w:rFonts w:hint="eastAsia" w:cs="Times New Roman"/>
                      <w:sz w:val="21"/>
                      <w:szCs w:val="21"/>
                      <w:lang w:val="en-US" w:eastAsia="zh-CN"/>
                    </w:rPr>
                  </w:pPr>
                </w:p>
              </w:tc>
              <w:tc>
                <w:tcPr>
                  <w:tcW w:w="498" w:type="pct"/>
                  <w:vMerge w:val="continue"/>
                  <w:vAlign w:val="center"/>
                </w:tcPr>
                <w:p w14:paraId="63D01053">
                  <w:pPr>
                    <w:pStyle w:val="12"/>
                    <w:spacing w:line="240" w:lineRule="auto"/>
                    <w:jc w:val="left"/>
                    <w:rPr>
                      <w:rFonts w:hint="eastAsia" w:cs="Times New Roman"/>
                      <w:sz w:val="21"/>
                      <w:szCs w:val="21"/>
                      <w:lang w:val="en-US" w:eastAsia="zh-CN"/>
                    </w:rPr>
                  </w:pPr>
                </w:p>
              </w:tc>
              <w:tc>
                <w:tcPr>
                  <w:tcW w:w="354" w:type="pct"/>
                  <w:vMerge w:val="continue"/>
                  <w:vAlign w:val="center"/>
                </w:tcPr>
                <w:p w14:paraId="32D2EA58">
                  <w:pPr>
                    <w:pStyle w:val="12"/>
                    <w:spacing w:line="240" w:lineRule="auto"/>
                    <w:jc w:val="left"/>
                    <w:rPr>
                      <w:rFonts w:hint="eastAsia" w:cs="Times New Roman"/>
                      <w:sz w:val="21"/>
                      <w:szCs w:val="21"/>
                      <w:lang w:val="en-US" w:eastAsia="zh-CN"/>
                    </w:rPr>
                  </w:pPr>
                </w:p>
              </w:tc>
            </w:tr>
            <w:tr w14:paraId="47508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 w:hRule="atLeast"/>
                <w:jc w:val="center"/>
              </w:trPr>
              <w:tc>
                <w:tcPr>
                  <w:tcW w:w="382" w:type="pct"/>
                  <w:vMerge w:val="continue"/>
                  <w:vAlign w:val="center"/>
                </w:tcPr>
                <w:p w14:paraId="38DD6BD7">
                  <w:pPr>
                    <w:pStyle w:val="12"/>
                    <w:spacing w:line="240" w:lineRule="auto"/>
                    <w:jc w:val="left"/>
                    <w:rPr>
                      <w:rFonts w:hint="eastAsia" w:cs="Times New Roman"/>
                      <w:sz w:val="21"/>
                      <w:szCs w:val="21"/>
                      <w:lang w:val="en-US" w:eastAsia="zh-CN"/>
                    </w:rPr>
                  </w:pPr>
                </w:p>
              </w:tc>
              <w:tc>
                <w:tcPr>
                  <w:tcW w:w="383" w:type="pct"/>
                  <w:vMerge w:val="continue"/>
                  <w:vAlign w:val="center"/>
                </w:tcPr>
                <w:p w14:paraId="0C1A505F">
                  <w:pPr>
                    <w:pStyle w:val="12"/>
                    <w:spacing w:line="240" w:lineRule="auto"/>
                    <w:jc w:val="left"/>
                    <w:rPr>
                      <w:rFonts w:hint="eastAsia" w:cs="Times New Roman"/>
                      <w:sz w:val="21"/>
                      <w:szCs w:val="21"/>
                      <w:lang w:val="en-US" w:eastAsia="zh-CN"/>
                    </w:rPr>
                  </w:pPr>
                </w:p>
              </w:tc>
              <w:tc>
                <w:tcPr>
                  <w:tcW w:w="547" w:type="pct"/>
                  <w:vMerge w:val="continue"/>
                  <w:vAlign w:val="center"/>
                </w:tcPr>
                <w:p w14:paraId="4ECA0298">
                  <w:pPr>
                    <w:pStyle w:val="12"/>
                    <w:spacing w:line="240" w:lineRule="auto"/>
                    <w:jc w:val="left"/>
                    <w:rPr>
                      <w:rFonts w:hint="eastAsia" w:cs="Times New Roman"/>
                      <w:sz w:val="21"/>
                      <w:szCs w:val="21"/>
                      <w:lang w:val="en-US" w:eastAsia="zh-CN"/>
                    </w:rPr>
                  </w:pPr>
                </w:p>
              </w:tc>
              <w:tc>
                <w:tcPr>
                  <w:tcW w:w="2343" w:type="pct"/>
                  <w:vAlign w:val="center"/>
                </w:tcPr>
                <w:p w14:paraId="46F861C2">
                  <w:pPr>
                    <w:pStyle w:val="12"/>
                    <w:spacing w:line="240" w:lineRule="auto"/>
                    <w:jc w:val="left"/>
                    <w:rPr>
                      <w:rFonts w:hint="default" w:cs="Times New Roman"/>
                      <w:sz w:val="21"/>
                      <w:szCs w:val="21"/>
                      <w:lang w:val="en-US" w:eastAsia="zh-CN"/>
                    </w:rPr>
                  </w:pPr>
                  <w:r>
                    <w:rPr>
                      <w:rFonts w:hint="eastAsia" w:cs="Times New Roman"/>
                      <w:sz w:val="21"/>
                      <w:szCs w:val="21"/>
                      <w:lang w:val="en-US" w:eastAsia="zh-CN"/>
                    </w:rPr>
                    <w:t>水基岩屑预处理区域：</w:t>
                  </w:r>
                  <w:r>
                    <w:rPr>
                      <w:rFonts w:hint="eastAsia" w:cs="Times New Roman"/>
                      <w:lang w:val="en-US" w:eastAsia="zh-CN" w:bidi="ar"/>
                    </w:rPr>
                    <w:t>防渗混凝土硬化+2mm厚人工防渗材料</w:t>
                  </w:r>
                </w:p>
              </w:tc>
              <w:tc>
                <w:tcPr>
                  <w:tcW w:w="490" w:type="pct"/>
                  <w:vMerge w:val="continue"/>
                  <w:vAlign w:val="center"/>
                </w:tcPr>
                <w:p w14:paraId="36680F60">
                  <w:pPr>
                    <w:pStyle w:val="12"/>
                    <w:spacing w:line="240" w:lineRule="auto"/>
                    <w:jc w:val="left"/>
                    <w:rPr>
                      <w:rFonts w:hint="eastAsia" w:cs="Times New Roman"/>
                      <w:sz w:val="21"/>
                      <w:szCs w:val="21"/>
                      <w:lang w:val="en-US" w:eastAsia="zh-CN"/>
                    </w:rPr>
                  </w:pPr>
                </w:p>
              </w:tc>
              <w:tc>
                <w:tcPr>
                  <w:tcW w:w="498" w:type="pct"/>
                  <w:vMerge w:val="continue"/>
                  <w:vAlign w:val="center"/>
                </w:tcPr>
                <w:p w14:paraId="71C37CD2">
                  <w:pPr>
                    <w:pStyle w:val="12"/>
                    <w:spacing w:line="240" w:lineRule="auto"/>
                    <w:jc w:val="left"/>
                    <w:rPr>
                      <w:rFonts w:hint="eastAsia" w:cs="Times New Roman"/>
                      <w:sz w:val="21"/>
                      <w:szCs w:val="21"/>
                      <w:lang w:val="en-US" w:eastAsia="zh-CN"/>
                    </w:rPr>
                  </w:pPr>
                </w:p>
              </w:tc>
              <w:tc>
                <w:tcPr>
                  <w:tcW w:w="354" w:type="pct"/>
                  <w:vMerge w:val="continue"/>
                  <w:vAlign w:val="center"/>
                </w:tcPr>
                <w:p w14:paraId="6047AE28">
                  <w:pPr>
                    <w:pStyle w:val="12"/>
                    <w:spacing w:line="240" w:lineRule="auto"/>
                    <w:jc w:val="left"/>
                    <w:rPr>
                      <w:rFonts w:hint="eastAsia" w:cs="Times New Roman"/>
                      <w:sz w:val="21"/>
                      <w:szCs w:val="21"/>
                      <w:lang w:val="en-US" w:eastAsia="zh-CN"/>
                    </w:rPr>
                  </w:pPr>
                </w:p>
              </w:tc>
            </w:tr>
            <w:tr w14:paraId="52828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9" w:hRule="atLeast"/>
                <w:jc w:val="center"/>
              </w:trPr>
              <w:tc>
                <w:tcPr>
                  <w:tcW w:w="382" w:type="pct"/>
                  <w:vMerge w:val="continue"/>
                  <w:vAlign w:val="center"/>
                </w:tcPr>
                <w:p w14:paraId="11671022">
                  <w:pPr>
                    <w:pStyle w:val="12"/>
                    <w:spacing w:line="240" w:lineRule="auto"/>
                    <w:jc w:val="left"/>
                  </w:pPr>
                </w:p>
              </w:tc>
              <w:tc>
                <w:tcPr>
                  <w:tcW w:w="383" w:type="pct"/>
                  <w:vMerge w:val="continue"/>
                  <w:vAlign w:val="center"/>
                </w:tcPr>
                <w:p w14:paraId="04BF5D5D">
                  <w:pPr>
                    <w:pStyle w:val="12"/>
                    <w:spacing w:line="240" w:lineRule="auto"/>
                    <w:jc w:val="left"/>
                  </w:pPr>
                </w:p>
              </w:tc>
              <w:tc>
                <w:tcPr>
                  <w:tcW w:w="547" w:type="pct"/>
                  <w:vAlign w:val="center"/>
                </w:tcPr>
                <w:p w14:paraId="40D5FE97">
                  <w:pPr>
                    <w:pStyle w:val="12"/>
                    <w:spacing w:line="240" w:lineRule="auto"/>
                    <w:jc w:val="center"/>
                    <w:rPr>
                      <w:rFonts w:hint="default" w:cs="Times New Roman"/>
                      <w:sz w:val="21"/>
                      <w:szCs w:val="21"/>
                      <w:lang w:val="en-US" w:eastAsia="zh-CN"/>
                    </w:rPr>
                  </w:pPr>
                  <w:r>
                    <w:rPr>
                      <w:rFonts w:hint="eastAsia" w:cs="Times New Roman"/>
                      <w:sz w:val="21"/>
                      <w:szCs w:val="21"/>
                      <w:lang w:val="en-US" w:eastAsia="zh-CN"/>
                    </w:rPr>
                    <w:t>一般防渗区</w:t>
                  </w:r>
                </w:p>
              </w:tc>
              <w:tc>
                <w:tcPr>
                  <w:tcW w:w="2343" w:type="pct"/>
                  <w:vAlign w:val="center"/>
                </w:tcPr>
                <w:p w14:paraId="1DF37C35">
                  <w:pPr>
                    <w:pStyle w:val="12"/>
                    <w:spacing w:line="240" w:lineRule="auto"/>
                    <w:jc w:val="left"/>
                    <w:rPr>
                      <w:rFonts w:hint="default" w:cs="Times New Roman"/>
                      <w:sz w:val="21"/>
                      <w:szCs w:val="21"/>
                      <w:lang w:val="en-US" w:eastAsia="zh-CN"/>
                    </w:rPr>
                  </w:pPr>
                  <w:r>
                    <w:rPr>
                      <w:rFonts w:hint="eastAsia" w:cs="Times New Roman"/>
                      <w:sz w:val="21"/>
                      <w:szCs w:val="21"/>
                      <w:lang w:val="en-US" w:eastAsia="zh-CN"/>
                    </w:rPr>
                    <w:t>洗车区、生产车间其他区域：防渗混凝土硬化</w:t>
                  </w:r>
                </w:p>
              </w:tc>
              <w:tc>
                <w:tcPr>
                  <w:tcW w:w="490" w:type="pct"/>
                  <w:vMerge w:val="continue"/>
                  <w:vAlign w:val="center"/>
                </w:tcPr>
                <w:p w14:paraId="7E9E8FDD">
                  <w:pPr>
                    <w:pStyle w:val="12"/>
                    <w:spacing w:line="240" w:lineRule="auto"/>
                    <w:jc w:val="left"/>
                    <w:rPr>
                      <w:rFonts w:hint="eastAsia" w:cs="Times New Roman"/>
                      <w:sz w:val="21"/>
                      <w:szCs w:val="21"/>
                      <w:lang w:val="en-US" w:eastAsia="zh-CN"/>
                    </w:rPr>
                  </w:pPr>
                </w:p>
              </w:tc>
              <w:tc>
                <w:tcPr>
                  <w:tcW w:w="498" w:type="pct"/>
                  <w:vAlign w:val="center"/>
                </w:tcPr>
                <w:p w14:paraId="3BEC65F0">
                  <w:pPr>
                    <w:pStyle w:val="12"/>
                    <w:spacing w:line="240" w:lineRule="auto"/>
                    <w:jc w:val="center"/>
                    <w:rPr>
                      <w:rFonts w:hint="default" w:cs="Times New Roman"/>
                      <w:sz w:val="21"/>
                      <w:szCs w:val="21"/>
                      <w:lang w:val="en-US" w:eastAsia="zh-CN"/>
                    </w:rPr>
                  </w:pPr>
                  <w:r>
                    <w:rPr>
                      <w:rFonts w:hint="eastAsia" w:cs="Times New Roman"/>
                      <w:sz w:val="21"/>
                      <w:szCs w:val="21"/>
                      <w:lang w:val="en-US" w:eastAsia="zh-CN"/>
                    </w:rPr>
                    <w:t>/</w:t>
                  </w:r>
                </w:p>
              </w:tc>
              <w:tc>
                <w:tcPr>
                  <w:tcW w:w="354" w:type="pct"/>
                  <w:vAlign w:val="center"/>
                </w:tcPr>
                <w:p w14:paraId="62D20956">
                  <w:pPr>
                    <w:pStyle w:val="12"/>
                    <w:spacing w:line="240" w:lineRule="auto"/>
                    <w:jc w:val="center"/>
                    <w:rPr>
                      <w:rFonts w:hint="default" w:cs="Times New Roman"/>
                      <w:sz w:val="21"/>
                      <w:szCs w:val="21"/>
                      <w:lang w:val="en-US" w:eastAsia="zh-CN"/>
                    </w:rPr>
                  </w:pPr>
                  <w:r>
                    <w:rPr>
                      <w:rFonts w:hint="eastAsia" w:cs="Times New Roman"/>
                      <w:sz w:val="21"/>
                      <w:szCs w:val="21"/>
                      <w:lang w:val="en-US" w:eastAsia="zh-CN"/>
                    </w:rPr>
                    <w:t>新建</w:t>
                  </w:r>
                </w:p>
              </w:tc>
            </w:tr>
            <w:tr w14:paraId="23172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9" w:hRule="atLeast"/>
                <w:jc w:val="center"/>
              </w:trPr>
              <w:tc>
                <w:tcPr>
                  <w:tcW w:w="382" w:type="pct"/>
                  <w:vMerge w:val="continue"/>
                  <w:vAlign w:val="center"/>
                </w:tcPr>
                <w:p w14:paraId="0FE244A1">
                  <w:pPr>
                    <w:pStyle w:val="12"/>
                    <w:spacing w:line="240" w:lineRule="auto"/>
                    <w:jc w:val="left"/>
                    <w:rPr>
                      <w:rFonts w:hint="eastAsia" w:cs="Times New Roman"/>
                      <w:sz w:val="21"/>
                      <w:szCs w:val="21"/>
                      <w:lang w:val="en-US" w:eastAsia="zh-CN"/>
                    </w:rPr>
                  </w:pPr>
                </w:p>
              </w:tc>
              <w:tc>
                <w:tcPr>
                  <w:tcW w:w="383" w:type="pct"/>
                  <w:vMerge w:val="continue"/>
                  <w:vAlign w:val="center"/>
                </w:tcPr>
                <w:p w14:paraId="39E434A1">
                  <w:pPr>
                    <w:pStyle w:val="12"/>
                    <w:spacing w:line="240" w:lineRule="auto"/>
                    <w:jc w:val="left"/>
                    <w:rPr>
                      <w:rFonts w:hint="eastAsia" w:cs="Times New Roman"/>
                      <w:sz w:val="21"/>
                      <w:szCs w:val="21"/>
                      <w:lang w:val="en-US" w:eastAsia="zh-CN"/>
                    </w:rPr>
                  </w:pPr>
                </w:p>
              </w:tc>
              <w:tc>
                <w:tcPr>
                  <w:tcW w:w="547" w:type="pct"/>
                  <w:vAlign w:val="center"/>
                </w:tcPr>
                <w:p w14:paraId="377D68AB">
                  <w:pPr>
                    <w:pStyle w:val="12"/>
                    <w:spacing w:line="240" w:lineRule="auto"/>
                    <w:jc w:val="center"/>
                    <w:rPr>
                      <w:rFonts w:hint="default" w:cs="Times New Roman"/>
                      <w:sz w:val="21"/>
                      <w:szCs w:val="21"/>
                      <w:lang w:val="en-US" w:eastAsia="zh-CN"/>
                    </w:rPr>
                  </w:pPr>
                  <w:r>
                    <w:rPr>
                      <w:rFonts w:hint="eastAsia" w:cs="Times New Roman"/>
                      <w:sz w:val="21"/>
                      <w:szCs w:val="21"/>
                      <w:lang w:val="en-US" w:eastAsia="zh-CN"/>
                    </w:rPr>
                    <w:t>简单防渗区</w:t>
                  </w:r>
                </w:p>
              </w:tc>
              <w:tc>
                <w:tcPr>
                  <w:tcW w:w="2343" w:type="pct"/>
                  <w:shd w:val="clear" w:color="auto" w:fill="auto"/>
                  <w:vAlign w:val="center"/>
                </w:tcPr>
                <w:p w14:paraId="7333EA66">
                  <w:pPr>
                    <w:pStyle w:val="12"/>
                    <w:ind w:firstLine="0" w:firstLineChars="0"/>
                    <w:jc w:val="both"/>
                    <w:rPr>
                      <w:rFonts w:hint="default" w:ascii="Times New Roman" w:hAnsi="Times New Roman" w:eastAsia="宋体" w:cs="Times New Roman"/>
                      <w:b w:val="0"/>
                      <w:bCs/>
                      <w:kern w:val="0"/>
                      <w:sz w:val="21"/>
                      <w:szCs w:val="24"/>
                      <w:lang w:val="en-US" w:eastAsia="zh-CN" w:bidi="ar-SA"/>
                    </w:rPr>
                  </w:pPr>
                  <w:r>
                    <w:rPr>
                      <w:rFonts w:hint="eastAsia" w:cs="Times New Roman"/>
                      <w:lang w:val="en-US" w:eastAsia="zh-CN" w:bidi="ar"/>
                    </w:rPr>
                    <w:t>磅房、办公楼、宿舍楼：一般水泥硬化</w:t>
                  </w:r>
                </w:p>
              </w:tc>
              <w:tc>
                <w:tcPr>
                  <w:tcW w:w="490" w:type="pct"/>
                  <w:vMerge w:val="continue"/>
                  <w:shd w:val="clear" w:color="auto" w:fill="auto"/>
                  <w:vAlign w:val="center"/>
                </w:tcPr>
                <w:p w14:paraId="5CEB39CE">
                  <w:pPr>
                    <w:pStyle w:val="12"/>
                    <w:ind w:firstLine="0" w:firstLineChars="0"/>
                    <w:rPr>
                      <w:rFonts w:hint="eastAsia" w:ascii="Times New Roman" w:hAnsi="Times New Roman" w:eastAsia="宋体" w:cs="Times New Roman"/>
                      <w:b w:val="0"/>
                      <w:bCs/>
                      <w:kern w:val="0"/>
                      <w:sz w:val="21"/>
                      <w:szCs w:val="24"/>
                      <w:lang w:val="en-US" w:eastAsia="zh-CN" w:bidi="ar-SA"/>
                    </w:rPr>
                  </w:pPr>
                </w:p>
              </w:tc>
              <w:tc>
                <w:tcPr>
                  <w:tcW w:w="498" w:type="pct"/>
                  <w:vAlign w:val="center"/>
                </w:tcPr>
                <w:p w14:paraId="1013C4FB">
                  <w:pPr>
                    <w:pStyle w:val="12"/>
                    <w:spacing w:line="240" w:lineRule="auto"/>
                    <w:jc w:val="center"/>
                    <w:rPr>
                      <w:rFonts w:hint="default" w:cs="Times New Roman"/>
                      <w:sz w:val="21"/>
                      <w:szCs w:val="21"/>
                      <w:lang w:val="en-US" w:eastAsia="zh-CN"/>
                    </w:rPr>
                  </w:pPr>
                  <w:r>
                    <w:rPr>
                      <w:rFonts w:hint="eastAsia" w:cs="Times New Roman"/>
                      <w:sz w:val="21"/>
                      <w:szCs w:val="21"/>
                      <w:lang w:val="en-US" w:eastAsia="zh-CN"/>
                    </w:rPr>
                    <w:t>/</w:t>
                  </w:r>
                </w:p>
              </w:tc>
              <w:tc>
                <w:tcPr>
                  <w:tcW w:w="354" w:type="pct"/>
                  <w:vAlign w:val="center"/>
                </w:tcPr>
                <w:p w14:paraId="6AA08145">
                  <w:pPr>
                    <w:pStyle w:val="12"/>
                    <w:spacing w:line="240" w:lineRule="auto"/>
                    <w:jc w:val="center"/>
                    <w:rPr>
                      <w:rFonts w:hint="default" w:cs="Times New Roman"/>
                      <w:sz w:val="21"/>
                      <w:szCs w:val="21"/>
                      <w:lang w:val="en-US" w:eastAsia="zh-CN"/>
                    </w:rPr>
                  </w:pPr>
                  <w:r>
                    <w:rPr>
                      <w:rFonts w:hint="eastAsia" w:cs="Times New Roman"/>
                      <w:sz w:val="21"/>
                      <w:szCs w:val="21"/>
                      <w:lang w:val="en-US" w:eastAsia="zh-CN"/>
                    </w:rPr>
                    <w:t>依托</w:t>
                  </w:r>
                </w:p>
              </w:tc>
            </w:tr>
            <w:tr w14:paraId="34A36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jc w:val="center"/>
              </w:trPr>
              <w:tc>
                <w:tcPr>
                  <w:tcW w:w="382" w:type="pct"/>
                  <w:vMerge w:val="continue"/>
                  <w:vAlign w:val="center"/>
                </w:tcPr>
                <w:p w14:paraId="547E3008">
                  <w:pPr>
                    <w:pStyle w:val="12"/>
                    <w:spacing w:line="240" w:lineRule="auto"/>
                    <w:rPr>
                      <w:rFonts w:hint="eastAsia" w:cs="Times New Roman"/>
                      <w:lang w:val="en-US" w:eastAsia="zh-CN"/>
                    </w:rPr>
                  </w:pPr>
                </w:p>
              </w:tc>
              <w:tc>
                <w:tcPr>
                  <w:tcW w:w="930" w:type="pct"/>
                  <w:gridSpan w:val="2"/>
                  <w:vAlign w:val="center"/>
                </w:tcPr>
                <w:p w14:paraId="1FF539C9">
                  <w:pPr>
                    <w:pStyle w:val="12"/>
                    <w:spacing w:line="240" w:lineRule="auto"/>
                    <w:jc w:val="center"/>
                    <w:rPr>
                      <w:rFonts w:hint="eastAsia" w:cs="Times New Roman"/>
                      <w:sz w:val="21"/>
                      <w:szCs w:val="21"/>
                      <w:lang w:val="en-US" w:eastAsia="zh-CN"/>
                    </w:rPr>
                  </w:pPr>
                  <w:r>
                    <w:rPr>
                      <w:rFonts w:hint="eastAsia" w:cs="Times New Roman"/>
                      <w:lang w:val="en-US" w:eastAsia="zh-CN"/>
                    </w:rPr>
                    <w:t>环境风险防范措施</w:t>
                  </w:r>
                </w:p>
              </w:tc>
              <w:tc>
                <w:tcPr>
                  <w:tcW w:w="2343" w:type="pct"/>
                  <w:vAlign w:val="center"/>
                </w:tcPr>
                <w:p w14:paraId="08922EA2">
                  <w:pPr>
                    <w:pStyle w:val="12"/>
                    <w:spacing w:line="240" w:lineRule="auto"/>
                    <w:jc w:val="left"/>
                    <w:rPr>
                      <w:rFonts w:hint="eastAsia" w:cs="Times New Roman"/>
                      <w:sz w:val="21"/>
                      <w:szCs w:val="21"/>
                      <w:lang w:val="en-US" w:eastAsia="zh-CN"/>
                    </w:rPr>
                  </w:pPr>
                  <w:r>
                    <w:rPr>
                      <w:color w:val="000000" w:themeColor="text1"/>
                      <w:highlight w:val="none"/>
                      <w14:textFill>
                        <w14:solidFill>
                          <w14:schemeClr w14:val="tx1"/>
                        </w14:solidFill>
                      </w14:textFill>
                    </w:rPr>
                    <w:t>设置防火警告标志，配备完善的消防措施，加强火灾风险防范意识；加强环保设备管理维护，建立管理台账。</w:t>
                  </w:r>
                </w:p>
              </w:tc>
              <w:tc>
                <w:tcPr>
                  <w:tcW w:w="490" w:type="pct"/>
                  <w:vMerge w:val="continue"/>
                  <w:vAlign w:val="center"/>
                </w:tcPr>
                <w:p w14:paraId="33C274C4">
                  <w:pPr>
                    <w:pStyle w:val="12"/>
                    <w:spacing w:line="240" w:lineRule="auto"/>
                    <w:rPr>
                      <w:rFonts w:cs="Times New Roman"/>
                    </w:rPr>
                  </w:pPr>
                </w:p>
              </w:tc>
              <w:tc>
                <w:tcPr>
                  <w:tcW w:w="498" w:type="pct"/>
                  <w:vAlign w:val="center"/>
                </w:tcPr>
                <w:p w14:paraId="414249D4">
                  <w:pPr>
                    <w:pStyle w:val="12"/>
                    <w:spacing w:line="240" w:lineRule="auto"/>
                    <w:rPr>
                      <w:rFonts w:hint="eastAsia" w:eastAsia="宋体" w:cs="Times New Roman"/>
                      <w:lang w:val="en-US" w:eastAsia="zh-CN"/>
                    </w:rPr>
                  </w:pPr>
                  <w:r>
                    <w:rPr>
                      <w:rFonts w:hint="eastAsia" w:cs="Times New Roman"/>
                      <w:lang w:val="en-US" w:eastAsia="zh-CN"/>
                    </w:rPr>
                    <w:t>/</w:t>
                  </w:r>
                </w:p>
              </w:tc>
              <w:tc>
                <w:tcPr>
                  <w:tcW w:w="354" w:type="pct"/>
                  <w:vAlign w:val="center"/>
                </w:tcPr>
                <w:p w14:paraId="5E20A244">
                  <w:pPr>
                    <w:pStyle w:val="12"/>
                    <w:spacing w:line="240" w:lineRule="auto"/>
                    <w:ind w:firstLine="0" w:firstLineChars="0"/>
                    <w:rPr>
                      <w:rFonts w:hint="default" w:cs="Times New Roman"/>
                      <w:lang w:val="en-US" w:eastAsia="zh-CN"/>
                    </w:rPr>
                  </w:pPr>
                  <w:r>
                    <w:rPr>
                      <w:rFonts w:hint="eastAsia" w:cs="Times New Roman"/>
                      <w:lang w:val="en-US" w:eastAsia="zh-CN"/>
                    </w:rPr>
                    <w:t>新建</w:t>
                  </w:r>
                </w:p>
              </w:tc>
            </w:tr>
          </w:tbl>
          <w:p w14:paraId="36A73444">
            <w:pPr>
              <w:keepNext w:val="0"/>
              <w:keepLines w:val="0"/>
              <w:widowControl/>
              <w:suppressLineNumbers w:val="0"/>
              <w:jc w:val="left"/>
              <w:rPr>
                <w:rFonts w:hint="default" w:ascii="Times New Roman" w:hAnsi="Times New Roman"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本项目租赁厂房位于四川省巴中市平昌县星光工业园施迈路1号</w:t>
            </w:r>
            <w:r>
              <w:rPr>
                <w:rFonts w:hint="default" w:ascii="Times New Roman" w:hAnsi="Times New Roman" w:cs="Times New Roman"/>
                <w:color w:val="000000"/>
                <w:kern w:val="0"/>
                <w:sz w:val="24"/>
                <w:szCs w:val="24"/>
                <w:lang w:val="en-US" w:eastAsia="zh-CN" w:bidi="ar"/>
              </w:rPr>
              <w:t>已建成厂区内，本项目租用</w:t>
            </w:r>
            <w:r>
              <w:rPr>
                <w:rFonts w:hint="default" w:ascii="Times New Roman" w:hAnsi="Times New Roman" w:eastAsia="宋体" w:cs="Times New Roman"/>
                <w:color w:val="000000"/>
                <w:kern w:val="0"/>
                <w:sz w:val="24"/>
                <w:szCs w:val="24"/>
                <w:lang w:val="en-US" w:eastAsia="zh-CN" w:bidi="ar"/>
              </w:rPr>
              <w:t>1号厂房、2号厂房、3号厂房</w:t>
            </w:r>
            <w:r>
              <w:rPr>
                <w:rFonts w:hint="default" w:ascii="Times New Roman" w:hAnsi="Times New Roman" w:cs="Times New Roman"/>
                <w:color w:val="000000"/>
                <w:kern w:val="0"/>
                <w:sz w:val="24"/>
                <w:szCs w:val="24"/>
                <w:lang w:val="en-US" w:eastAsia="zh-CN" w:bidi="ar"/>
              </w:rPr>
              <w:t>及办公楼（部分区域）、宿舍（部分区域）进行建设。</w:t>
            </w:r>
          </w:p>
          <w:p w14:paraId="00646D71">
            <w:pPr>
              <w:keepNext w:val="0"/>
              <w:keepLines w:val="0"/>
              <w:widowControl/>
              <w:suppressLineNumbers w:val="0"/>
              <w:jc w:val="left"/>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cs="Times New Roman"/>
                <w:color w:val="000000"/>
                <w:kern w:val="0"/>
                <w:sz w:val="24"/>
                <w:szCs w:val="24"/>
                <w:lang w:val="en-US" w:eastAsia="zh-CN" w:bidi="ar"/>
              </w:rPr>
              <w:t>项目位于</w:t>
            </w:r>
            <w:r>
              <w:rPr>
                <w:rFonts w:hint="default" w:ascii="Times New Roman" w:hAnsi="Times New Roman" w:eastAsia="宋体" w:cs="Times New Roman"/>
                <w:color w:val="000000"/>
                <w:kern w:val="0"/>
                <w:sz w:val="24"/>
                <w:szCs w:val="24"/>
                <w:lang w:val="en-US" w:eastAsia="zh-CN" w:bidi="ar"/>
              </w:rPr>
              <w:t>平昌县星光工业园</w:t>
            </w:r>
            <w:r>
              <w:rPr>
                <w:rFonts w:hint="default" w:ascii="Times New Roman" w:hAnsi="Times New Roman" w:cs="Times New Roman"/>
                <w:color w:val="000000"/>
                <w:kern w:val="0"/>
                <w:sz w:val="24"/>
                <w:szCs w:val="24"/>
                <w:lang w:val="en-US" w:eastAsia="zh-CN" w:bidi="ar"/>
              </w:rPr>
              <w:t>内</w:t>
            </w:r>
            <w:r>
              <w:rPr>
                <w:rFonts w:hint="default" w:ascii="Times New Roman" w:hAnsi="Times New Roman" w:eastAsia="宋体" w:cs="Times New Roman"/>
                <w:color w:val="000000"/>
                <w:kern w:val="0"/>
                <w:sz w:val="24"/>
                <w:szCs w:val="24"/>
                <w:lang w:val="en-US" w:eastAsia="zh-CN" w:bidi="ar"/>
              </w:rPr>
              <w:t>，园区内道路完善，交通便利，水、电、气均已接通，能满足本项目的需要。园区雨、污管网已建成，废水通过污水管网可进入星光工业园区污水处理厂处理达标后，排入巴河。</w:t>
            </w:r>
          </w:p>
          <w:p w14:paraId="303E5D24">
            <w:pPr>
              <w:keepNext w:val="0"/>
              <w:keepLines w:val="0"/>
              <w:widowControl/>
              <w:suppressLineNumbers w:val="0"/>
              <w:jc w:val="left"/>
              <w:rPr>
                <w:rFonts w:hint="default" w:ascii="Times New Roman" w:hAnsi="Times New Roman" w:cs="Times New Roman"/>
                <w:lang w:val="en-US"/>
              </w:rPr>
            </w:pPr>
            <w:r>
              <w:rPr>
                <w:rFonts w:hint="default" w:ascii="Times New Roman" w:hAnsi="Times New Roman" w:eastAsia="宋体" w:cs="Times New Roman"/>
                <w:color w:val="000000"/>
                <w:kern w:val="0"/>
                <w:sz w:val="24"/>
                <w:szCs w:val="24"/>
                <w:lang w:val="en-US" w:eastAsia="zh-CN" w:bidi="ar"/>
              </w:rPr>
              <w:t>项目租赁厂房所在厂区已建设完成，厂区内建设有6栋厂房，现状4号厂房为四川三科共兴再生资源有限公司</w:t>
            </w:r>
            <w:r>
              <w:rPr>
                <w:rFonts w:hint="default" w:ascii="Times New Roman" w:hAnsi="Times New Roman" w:cs="Times New Roman"/>
                <w:color w:val="000000"/>
                <w:kern w:val="0"/>
                <w:sz w:val="24"/>
                <w:szCs w:val="24"/>
                <w:lang w:val="en-US" w:eastAsia="zh-CN" w:bidi="ar"/>
              </w:rPr>
              <w:t>、6号厂房为</w:t>
            </w:r>
            <w:r>
              <w:rPr>
                <w:rFonts w:hint="default" w:ascii="Times New Roman" w:hAnsi="Times New Roman" w:eastAsia="宋体" w:cs="Times New Roman"/>
                <w:color w:val="000000"/>
                <w:kern w:val="0"/>
                <w:sz w:val="24"/>
                <w:szCs w:val="24"/>
                <w:lang w:val="en-US" w:eastAsia="zh-CN" w:bidi="ar"/>
              </w:rPr>
              <w:t>海博瑞四川智能包装有限公司，其余厂房均为空置。厂区内已建办公楼1栋，宿舍楼1栋，办公楼现状为空置，宿舍楼内有部分其他公司人员入住。厂区内已建设较为完善的供电线路、供水、排水管线，能够满足项目需求。</w:t>
            </w:r>
          </w:p>
          <w:p w14:paraId="24C55EA0">
            <w:pPr>
              <w:keepNext w:val="0"/>
              <w:keepLines w:val="0"/>
              <w:widowControl/>
              <w:suppressLineNumbers w:val="0"/>
              <w:jc w:val="left"/>
              <w:rPr>
                <w:rFonts w:hint="default" w:ascii="Times New Roman" w:hAnsi="Times New Roman" w:cs="Times New Roman"/>
              </w:rPr>
            </w:pPr>
            <w:r>
              <w:rPr>
                <w:rFonts w:hint="default" w:ascii="Times New Roman" w:hAnsi="Times New Roman" w:eastAsia="宋体" w:cs="Times New Roman"/>
                <w:color w:val="000000"/>
                <w:kern w:val="0"/>
                <w:sz w:val="24"/>
                <w:szCs w:val="24"/>
                <w:lang w:val="en-US" w:eastAsia="zh-CN" w:bidi="ar"/>
              </w:rPr>
              <w:t>项目依托的公辅设施及环保设施可行性分析见下表。</w:t>
            </w:r>
          </w:p>
          <w:p w14:paraId="0D3895D8">
            <w:pPr>
              <w:pStyle w:val="11"/>
              <w:keepNext/>
              <w:rPr>
                <w:rFonts w:cs="Times New Roman"/>
              </w:rPr>
            </w:pPr>
            <w:r>
              <w:rPr>
                <w:rFonts w:cs="Times New Roman"/>
              </w:rPr>
              <w:t>表</w:t>
            </w:r>
            <w:r>
              <w:rPr>
                <w:rFonts w:hint="eastAsia" w:cs="Times New Roman"/>
                <w:lang w:val="en-US" w:eastAsia="zh-CN"/>
              </w:rPr>
              <w:t>2-12</w:t>
            </w:r>
            <w:r>
              <w:rPr>
                <w:rFonts w:cs="Times New Roman"/>
              </w:rPr>
              <w:t xml:space="preserve"> 项目公辅设施依托情况及可行性</w:t>
            </w:r>
            <w:r>
              <w:rPr>
                <w:rFonts w:hint="eastAsia" w:cs="Times New Roman"/>
                <w:lang w:eastAsia="zh-CN"/>
              </w:rPr>
              <w:t>一览表</w:t>
            </w:r>
          </w:p>
          <w:tbl>
            <w:tblPr>
              <w:tblStyle w:val="26"/>
              <w:tblW w:w="4985" w:type="pct"/>
              <w:jc w:val="center"/>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Layout w:type="autofit"/>
              <w:tblCellMar>
                <w:top w:w="0" w:type="dxa"/>
                <w:left w:w="108" w:type="dxa"/>
                <w:bottom w:w="0" w:type="dxa"/>
                <w:right w:w="108" w:type="dxa"/>
              </w:tblCellMar>
            </w:tblPr>
            <w:tblGrid>
              <w:gridCol w:w="679"/>
              <w:gridCol w:w="1051"/>
              <w:gridCol w:w="3148"/>
              <w:gridCol w:w="3528"/>
              <w:gridCol w:w="860"/>
            </w:tblGrid>
            <w:tr w14:paraId="1856610B">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366" w:type="pct"/>
                  <w:tcBorders>
                    <w:tl2br w:val="nil"/>
                    <w:tr2bl w:val="nil"/>
                  </w:tcBorders>
                  <w:vAlign w:val="center"/>
                </w:tcPr>
                <w:p w14:paraId="05BAE4E3">
                  <w:pPr>
                    <w:pStyle w:val="45"/>
                    <w:rPr>
                      <w:rFonts w:cs="Times New Roman"/>
                    </w:rPr>
                  </w:pPr>
                  <w:r>
                    <w:rPr>
                      <w:rFonts w:cs="Times New Roman"/>
                    </w:rPr>
                    <w:t>序号</w:t>
                  </w:r>
                </w:p>
              </w:tc>
              <w:tc>
                <w:tcPr>
                  <w:tcW w:w="567" w:type="pct"/>
                  <w:tcBorders>
                    <w:tl2br w:val="nil"/>
                    <w:tr2bl w:val="nil"/>
                  </w:tcBorders>
                  <w:vAlign w:val="center"/>
                </w:tcPr>
                <w:p w14:paraId="6DEB832C">
                  <w:pPr>
                    <w:pStyle w:val="45"/>
                    <w:rPr>
                      <w:rFonts w:cs="Times New Roman"/>
                    </w:rPr>
                  </w:pPr>
                  <w:r>
                    <w:rPr>
                      <w:rFonts w:cs="Times New Roman"/>
                    </w:rPr>
                    <w:t>公辅设施</w:t>
                  </w:r>
                </w:p>
              </w:tc>
              <w:tc>
                <w:tcPr>
                  <w:tcW w:w="1698" w:type="pct"/>
                  <w:tcBorders>
                    <w:tl2br w:val="nil"/>
                    <w:tr2bl w:val="nil"/>
                  </w:tcBorders>
                  <w:vAlign w:val="center"/>
                </w:tcPr>
                <w:p w14:paraId="7F141D5A">
                  <w:pPr>
                    <w:pStyle w:val="45"/>
                    <w:rPr>
                      <w:rFonts w:cs="Times New Roman"/>
                    </w:rPr>
                  </w:pPr>
                  <w:r>
                    <w:rPr>
                      <w:rFonts w:cs="Times New Roman"/>
                    </w:rPr>
                    <w:t>建设内容</w:t>
                  </w:r>
                </w:p>
              </w:tc>
              <w:tc>
                <w:tcPr>
                  <w:tcW w:w="1903" w:type="pct"/>
                  <w:tcBorders>
                    <w:tl2br w:val="nil"/>
                    <w:tr2bl w:val="nil"/>
                  </w:tcBorders>
                  <w:vAlign w:val="center"/>
                </w:tcPr>
                <w:p w14:paraId="41B6F4F7">
                  <w:pPr>
                    <w:pStyle w:val="45"/>
                    <w:rPr>
                      <w:rFonts w:cs="Times New Roman"/>
                    </w:rPr>
                  </w:pPr>
                  <w:r>
                    <w:rPr>
                      <w:rFonts w:cs="Times New Roman"/>
                    </w:rPr>
                    <w:t>依托情况</w:t>
                  </w:r>
                </w:p>
              </w:tc>
              <w:tc>
                <w:tcPr>
                  <w:tcW w:w="464" w:type="pct"/>
                  <w:tcBorders>
                    <w:tl2br w:val="nil"/>
                    <w:tr2bl w:val="nil"/>
                  </w:tcBorders>
                  <w:vAlign w:val="center"/>
                </w:tcPr>
                <w:p w14:paraId="22E07788">
                  <w:pPr>
                    <w:pStyle w:val="45"/>
                    <w:rPr>
                      <w:rFonts w:cs="Times New Roman"/>
                    </w:rPr>
                  </w:pPr>
                  <w:r>
                    <w:rPr>
                      <w:rFonts w:cs="Times New Roman"/>
                    </w:rPr>
                    <w:t>可行性</w:t>
                  </w:r>
                </w:p>
              </w:tc>
            </w:tr>
            <w:tr w14:paraId="5F2258AF">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366" w:type="pct"/>
                  <w:tcBorders>
                    <w:tl2br w:val="nil"/>
                    <w:tr2bl w:val="nil"/>
                  </w:tcBorders>
                  <w:vAlign w:val="center"/>
                </w:tcPr>
                <w:p w14:paraId="44D5A528">
                  <w:pPr>
                    <w:pStyle w:val="12"/>
                    <w:rPr>
                      <w:rFonts w:cs="Times New Roman"/>
                    </w:rPr>
                  </w:pPr>
                  <w:r>
                    <w:rPr>
                      <w:rFonts w:cs="Times New Roman"/>
                    </w:rPr>
                    <w:t>1</w:t>
                  </w:r>
                </w:p>
              </w:tc>
              <w:tc>
                <w:tcPr>
                  <w:tcW w:w="567" w:type="pct"/>
                  <w:tcBorders>
                    <w:tl2br w:val="nil"/>
                    <w:tr2bl w:val="nil"/>
                  </w:tcBorders>
                  <w:vAlign w:val="center"/>
                </w:tcPr>
                <w:p w14:paraId="532DD848">
                  <w:pPr>
                    <w:pStyle w:val="12"/>
                    <w:rPr>
                      <w:rFonts w:cs="Times New Roman"/>
                    </w:rPr>
                  </w:pPr>
                  <w:r>
                    <w:rPr>
                      <w:rFonts w:cs="Times New Roman"/>
                    </w:rPr>
                    <w:t>厂房</w:t>
                  </w:r>
                </w:p>
              </w:tc>
              <w:tc>
                <w:tcPr>
                  <w:tcW w:w="1698" w:type="pct"/>
                  <w:tcBorders>
                    <w:tl2br w:val="nil"/>
                    <w:tr2bl w:val="nil"/>
                  </w:tcBorders>
                  <w:vAlign w:val="center"/>
                </w:tcPr>
                <w:p w14:paraId="20CF1973">
                  <w:pPr>
                    <w:pStyle w:val="12"/>
                    <w:rPr>
                      <w:rFonts w:cs="Times New Roman"/>
                    </w:rPr>
                  </w:pPr>
                  <w:r>
                    <w:rPr>
                      <w:rFonts w:cs="Times New Roman"/>
                      <w:snapToGrid w:val="0"/>
                    </w:rPr>
                    <w:t>厂区已建设</w:t>
                  </w:r>
                  <w:r>
                    <w:rPr>
                      <w:rFonts w:hint="eastAsia" w:cs="Times New Roman"/>
                      <w:snapToGrid w:val="0"/>
                      <w:lang w:val="en-US" w:eastAsia="zh-CN"/>
                    </w:rPr>
                    <w:t>6</w:t>
                  </w:r>
                  <w:r>
                    <w:rPr>
                      <w:rFonts w:cs="Times New Roman"/>
                      <w:snapToGrid w:val="0"/>
                    </w:rPr>
                    <w:t>栋厂房，本项目</w:t>
                  </w:r>
                  <w:r>
                    <w:rPr>
                      <w:rFonts w:hint="eastAsia" w:cs="Times New Roman"/>
                      <w:snapToGrid w:val="0"/>
                      <w:lang w:val="en-US" w:eastAsia="zh-CN"/>
                    </w:rPr>
                    <w:t>对1号、3号</w:t>
                  </w:r>
                  <w:r>
                    <w:rPr>
                      <w:rFonts w:cs="Times New Roman"/>
                      <w:snapToGrid w:val="0"/>
                    </w:rPr>
                    <w:t>厂房</w:t>
                  </w:r>
                  <w:r>
                    <w:rPr>
                      <w:rFonts w:hint="eastAsia" w:cs="Times New Roman"/>
                      <w:snapToGrid w:val="0"/>
                      <w:lang w:val="en-US" w:eastAsia="zh-CN"/>
                    </w:rPr>
                    <w:t>进行适应性改造，</w:t>
                  </w:r>
                  <w:r>
                    <w:rPr>
                      <w:rFonts w:hint="eastAsia" w:cs="Times New Roman"/>
                      <w:lang w:val="en-US" w:eastAsia="zh-CN"/>
                    </w:rPr>
                    <w:t>在现有2号厂房的基础上进行扩建，</w:t>
                  </w:r>
                  <w:r>
                    <w:rPr>
                      <w:rFonts w:hint="eastAsia" w:cs="Times New Roman"/>
                      <w:snapToGrid w:val="0"/>
                      <w:lang w:val="en-US" w:eastAsia="zh-CN"/>
                    </w:rPr>
                    <w:t>建设本项目</w:t>
                  </w:r>
                  <w:r>
                    <w:rPr>
                      <w:rFonts w:cs="Times New Roman"/>
                      <w:snapToGrid w:val="0"/>
                    </w:rPr>
                    <w:t>。</w:t>
                  </w:r>
                </w:p>
              </w:tc>
              <w:tc>
                <w:tcPr>
                  <w:tcW w:w="1903" w:type="pct"/>
                  <w:tcBorders>
                    <w:tl2br w:val="nil"/>
                    <w:tr2bl w:val="nil"/>
                  </w:tcBorders>
                  <w:vAlign w:val="center"/>
                </w:tcPr>
                <w:p w14:paraId="44101BB5">
                  <w:pPr>
                    <w:pStyle w:val="12"/>
                    <w:rPr>
                      <w:rFonts w:cs="Times New Roman"/>
                    </w:rPr>
                  </w:pPr>
                  <w:r>
                    <w:rPr>
                      <w:rFonts w:hint="eastAsia" w:cs="Times New Roman"/>
                      <w:lang w:val="en-US" w:eastAsia="zh-CN"/>
                    </w:rPr>
                    <w:t>厂房现状均为空置，</w:t>
                  </w:r>
                  <w:r>
                    <w:rPr>
                      <w:rFonts w:cs="Times New Roman"/>
                    </w:rPr>
                    <w:t>根据工艺平面布局分析</w:t>
                  </w:r>
                  <w:r>
                    <w:rPr>
                      <w:rFonts w:hint="eastAsia" w:cs="Times New Roman"/>
                      <w:lang w:eastAsia="zh-CN"/>
                    </w:rPr>
                    <w:t>，</w:t>
                  </w:r>
                  <w:r>
                    <w:rPr>
                      <w:rFonts w:hint="eastAsia" w:cs="Times New Roman"/>
                      <w:lang w:val="en-US" w:eastAsia="zh-CN"/>
                    </w:rPr>
                    <w:t>在对厂房进行适应性改造后，并对2号厂房进行扩建，厂房能够</w:t>
                  </w:r>
                  <w:r>
                    <w:rPr>
                      <w:rFonts w:cs="Times New Roman"/>
                    </w:rPr>
                    <w:t>满足本项目</w:t>
                  </w:r>
                  <w:bookmarkStart w:id="37" w:name="OLE_LINK258"/>
                  <w:bookmarkStart w:id="38" w:name="OLE_LINK259"/>
                  <w:r>
                    <w:rPr>
                      <w:rFonts w:hint="eastAsia" w:cs="Times New Roman"/>
                      <w:lang w:val="en-US" w:eastAsia="zh-CN"/>
                    </w:rPr>
                    <w:t>建设需求</w:t>
                  </w:r>
                  <w:r>
                    <w:rPr>
                      <w:rFonts w:cs="Times New Roman"/>
                    </w:rPr>
                    <w:t>。</w:t>
                  </w:r>
                  <w:bookmarkEnd w:id="37"/>
                  <w:bookmarkEnd w:id="38"/>
                </w:p>
              </w:tc>
              <w:tc>
                <w:tcPr>
                  <w:tcW w:w="464" w:type="pct"/>
                  <w:tcBorders>
                    <w:tl2br w:val="nil"/>
                    <w:tr2bl w:val="nil"/>
                  </w:tcBorders>
                  <w:vAlign w:val="center"/>
                </w:tcPr>
                <w:p w14:paraId="3903BACF">
                  <w:pPr>
                    <w:pStyle w:val="12"/>
                    <w:rPr>
                      <w:rFonts w:cs="Times New Roman"/>
                    </w:rPr>
                  </w:pPr>
                  <w:r>
                    <w:rPr>
                      <w:rFonts w:cs="Times New Roman"/>
                    </w:rPr>
                    <w:t>可行</w:t>
                  </w:r>
                </w:p>
              </w:tc>
            </w:tr>
            <w:tr w14:paraId="5128A9EA">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366" w:type="pct"/>
                  <w:tcBorders>
                    <w:tl2br w:val="nil"/>
                    <w:tr2bl w:val="nil"/>
                  </w:tcBorders>
                  <w:vAlign w:val="center"/>
                </w:tcPr>
                <w:p w14:paraId="43B12856">
                  <w:pPr>
                    <w:pStyle w:val="12"/>
                    <w:rPr>
                      <w:rFonts w:cs="Times New Roman"/>
                    </w:rPr>
                  </w:pPr>
                  <w:r>
                    <w:rPr>
                      <w:rFonts w:cs="Times New Roman"/>
                    </w:rPr>
                    <w:t>2</w:t>
                  </w:r>
                </w:p>
              </w:tc>
              <w:tc>
                <w:tcPr>
                  <w:tcW w:w="567" w:type="pct"/>
                  <w:tcBorders>
                    <w:tl2br w:val="nil"/>
                    <w:tr2bl w:val="nil"/>
                  </w:tcBorders>
                  <w:vAlign w:val="center"/>
                </w:tcPr>
                <w:p w14:paraId="7E654142">
                  <w:pPr>
                    <w:pStyle w:val="12"/>
                    <w:rPr>
                      <w:rFonts w:cs="Times New Roman"/>
                    </w:rPr>
                  </w:pPr>
                  <w:r>
                    <w:rPr>
                      <w:rFonts w:cs="Times New Roman"/>
                    </w:rPr>
                    <w:t>预处理池</w:t>
                  </w:r>
                </w:p>
              </w:tc>
              <w:tc>
                <w:tcPr>
                  <w:tcW w:w="1698" w:type="pct"/>
                  <w:tcBorders>
                    <w:tl2br w:val="nil"/>
                    <w:tr2bl w:val="nil"/>
                  </w:tcBorders>
                  <w:vAlign w:val="center"/>
                </w:tcPr>
                <w:p w14:paraId="6F4F4658">
                  <w:pPr>
                    <w:pStyle w:val="12"/>
                    <w:rPr>
                      <w:rFonts w:cs="Times New Roman"/>
                      <w:snapToGrid w:val="0"/>
                    </w:rPr>
                  </w:pPr>
                  <w:r>
                    <w:rPr>
                      <w:rFonts w:cs="Times New Roman"/>
                    </w:rPr>
                    <w:t>厂区已建</w:t>
                  </w:r>
                  <w:r>
                    <w:rPr>
                      <w:rFonts w:cs="Times New Roman"/>
                      <w:snapToGrid w:val="0"/>
                    </w:rPr>
                    <w:t>预处理池，容积</w:t>
                  </w:r>
                  <w:r>
                    <w:rPr>
                      <w:rFonts w:hint="eastAsia" w:cs="Times New Roman"/>
                      <w:snapToGrid w:val="0"/>
                      <w:lang w:val="en-US" w:eastAsia="zh-CN"/>
                    </w:rPr>
                    <w:t>1</w:t>
                  </w:r>
                  <w:r>
                    <w:rPr>
                      <w:rFonts w:cs="Times New Roman"/>
                      <w:snapToGrid w:val="0"/>
                    </w:rPr>
                    <w:t>0m</w:t>
                  </w:r>
                  <w:r>
                    <w:rPr>
                      <w:rFonts w:cs="Times New Roman"/>
                      <w:snapToGrid w:val="0"/>
                      <w:vertAlign w:val="superscript"/>
                    </w:rPr>
                    <w:t>3</w:t>
                  </w:r>
                  <w:r>
                    <w:rPr>
                      <w:rFonts w:cs="Times New Roman"/>
                      <w:snapToGrid w:val="0"/>
                    </w:rPr>
                    <w:t>。</w:t>
                  </w:r>
                </w:p>
                <w:p w14:paraId="0D856EE6">
                  <w:pPr>
                    <w:pStyle w:val="12"/>
                    <w:rPr>
                      <w:rFonts w:hint="default" w:eastAsia="宋体" w:cs="Times New Roman"/>
                      <w:lang w:val="en-US" w:eastAsia="zh-CN"/>
                    </w:rPr>
                  </w:pPr>
                  <w:r>
                    <w:rPr>
                      <w:rFonts w:hint="eastAsia" w:cs="Times New Roman"/>
                      <w:lang w:val="en-US" w:eastAsia="zh-CN"/>
                    </w:rPr>
                    <w:t>现状厂区内其他企业员工人数约30人，且未设置食堂，排放生活污水量约2.7m</w:t>
                  </w:r>
                  <w:r>
                    <w:rPr>
                      <w:rFonts w:hint="eastAsia" w:cs="Times New Roman"/>
                      <w:vertAlign w:val="superscript"/>
                      <w:lang w:val="en-US" w:eastAsia="zh-CN"/>
                    </w:rPr>
                    <w:t>3</w:t>
                  </w:r>
                  <w:r>
                    <w:rPr>
                      <w:rFonts w:cs="Times New Roman"/>
                      <w:snapToGrid w:val="0"/>
                    </w:rPr>
                    <w:t>，</w:t>
                  </w:r>
                  <w:r>
                    <w:rPr>
                      <w:rFonts w:hint="eastAsia" w:cs="Times New Roman"/>
                      <w:snapToGrid w:val="0"/>
                      <w:lang w:val="en-US" w:eastAsia="zh-CN"/>
                    </w:rPr>
                    <w:t>预处理池冗余量约7.3</w:t>
                  </w:r>
                  <w:r>
                    <w:rPr>
                      <w:rFonts w:hint="eastAsia" w:cs="Times New Roman"/>
                      <w:lang w:val="en-US" w:eastAsia="zh-CN"/>
                    </w:rPr>
                    <w:t>m</w:t>
                  </w:r>
                  <w:r>
                    <w:rPr>
                      <w:rFonts w:hint="eastAsia" w:cs="Times New Roman"/>
                      <w:vertAlign w:val="superscript"/>
                      <w:lang w:val="en-US" w:eastAsia="zh-CN"/>
                    </w:rPr>
                    <w:t>3</w:t>
                  </w:r>
                  <w:r>
                    <w:rPr>
                      <w:rFonts w:cs="Times New Roman"/>
                      <w:snapToGrid w:val="0"/>
                    </w:rPr>
                    <w:t>。</w:t>
                  </w:r>
                </w:p>
              </w:tc>
              <w:tc>
                <w:tcPr>
                  <w:tcW w:w="1903" w:type="pct"/>
                  <w:tcBorders>
                    <w:tl2br w:val="nil"/>
                    <w:tr2bl w:val="nil"/>
                  </w:tcBorders>
                  <w:vAlign w:val="center"/>
                </w:tcPr>
                <w:p w14:paraId="52FC3303">
                  <w:pPr>
                    <w:pStyle w:val="12"/>
                    <w:rPr>
                      <w:rFonts w:cs="Times New Roman"/>
                    </w:rPr>
                  </w:pPr>
                  <w:r>
                    <w:rPr>
                      <w:rFonts w:cs="Times New Roman"/>
                    </w:rPr>
                    <w:t>本项目</w:t>
                  </w:r>
                  <w:r>
                    <w:rPr>
                      <w:rFonts w:hint="eastAsia" w:cs="Times New Roman"/>
                      <w:lang w:val="en-US" w:eastAsia="zh-CN"/>
                    </w:rPr>
                    <w:t>含食堂、宿舍，生活污水</w:t>
                  </w:r>
                  <w:r>
                    <w:rPr>
                      <w:rFonts w:cs="Times New Roman"/>
                    </w:rPr>
                    <w:t>排放量</w:t>
                  </w:r>
                  <w:r>
                    <w:rPr>
                      <w:rFonts w:hint="eastAsia" w:cs="Times New Roman"/>
                      <w:lang w:val="en-US" w:eastAsia="zh-CN"/>
                    </w:rPr>
                    <w:t>约2.34</w:t>
                  </w:r>
                  <w:r>
                    <w:rPr>
                      <w:rFonts w:cs="Times New Roman"/>
                      <w:snapToGrid w:val="0"/>
                    </w:rPr>
                    <w:t>m</w:t>
                  </w:r>
                  <w:r>
                    <w:rPr>
                      <w:rFonts w:cs="Times New Roman"/>
                      <w:snapToGrid w:val="0"/>
                      <w:vertAlign w:val="superscript"/>
                    </w:rPr>
                    <w:t>3</w:t>
                  </w:r>
                  <w:r>
                    <w:rPr>
                      <w:rFonts w:cs="Times New Roman"/>
                      <w:snapToGrid w:val="0"/>
                    </w:rPr>
                    <w:t>/d</w:t>
                  </w:r>
                  <w:r>
                    <w:rPr>
                      <w:rFonts w:cs="Times New Roman"/>
                    </w:rPr>
                    <w:t>。</w:t>
                  </w:r>
                  <w:r>
                    <w:rPr>
                      <w:rFonts w:hint="eastAsia" w:cs="Times New Roman"/>
                      <w:lang w:val="en-US" w:eastAsia="zh-CN"/>
                    </w:rPr>
                    <w:t>预处理池冗余</w:t>
                  </w:r>
                  <w:r>
                    <w:rPr>
                      <w:rFonts w:cs="Times New Roman"/>
                      <w:snapToGrid w:val="0"/>
                    </w:rPr>
                    <w:t>量能满足本项目生活污水处理需求。</w:t>
                  </w:r>
                </w:p>
              </w:tc>
              <w:tc>
                <w:tcPr>
                  <w:tcW w:w="464" w:type="pct"/>
                  <w:tcBorders>
                    <w:tl2br w:val="nil"/>
                    <w:tr2bl w:val="nil"/>
                  </w:tcBorders>
                  <w:vAlign w:val="center"/>
                </w:tcPr>
                <w:p w14:paraId="303DE28B">
                  <w:pPr>
                    <w:pStyle w:val="12"/>
                    <w:rPr>
                      <w:rFonts w:cs="Times New Roman"/>
                    </w:rPr>
                  </w:pPr>
                  <w:r>
                    <w:rPr>
                      <w:rFonts w:cs="Times New Roman"/>
                    </w:rPr>
                    <w:t>可行</w:t>
                  </w:r>
                </w:p>
              </w:tc>
            </w:tr>
            <w:tr w14:paraId="01E68DB8">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366" w:type="pct"/>
                  <w:tcBorders>
                    <w:tl2br w:val="nil"/>
                    <w:tr2bl w:val="nil"/>
                  </w:tcBorders>
                  <w:vAlign w:val="center"/>
                </w:tcPr>
                <w:p w14:paraId="200B516C">
                  <w:pPr>
                    <w:pStyle w:val="12"/>
                    <w:rPr>
                      <w:rFonts w:cs="Times New Roman"/>
                    </w:rPr>
                  </w:pPr>
                  <w:r>
                    <w:rPr>
                      <w:rFonts w:cs="Times New Roman"/>
                    </w:rPr>
                    <w:t>3</w:t>
                  </w:r>
                </w:p>
              </w:tc>
              <w:tc>
                <w:tcPr>
                  <w:tcW w:w="567" w:type="pct"/>
                  <w:tcBorders>
                    <w:tl2br w:val="nil"/>
                    <w:tr2bl w:val="nil"/>
                  </w:tcBorders>
                  <w:vAlign w:val="center"/>
                </w:tcPr>
                <w:p w14:paraId="6D3F66C9">
                  <w:pPr>
                    <w:pStyle w:val="12"/>
                    <w:rPr>
                      <w:rFonts w:cs="Times New Roman"/>
                    </w:rPr>
                  </w:pPr>
                  <w:r>
                    <w:rPr>
                      <w:rFonts w:cs="Times New Roman"/>
                    </w:rPr>
                    <w:t>供</w:t>
                  </w:r>
                  <w:r>
                    <w:rPr>
                      <w:rFonts w:hint="eastAsia" w:cs="Times New Roman"/>
                      <w:lang w:val="en-US" w:eastAsia="zh-CN"/>
                    </w:rPr>
                    <w:t>电</w:t>
                  </w:r>
                  <w:r>
                    <w:rPr>
                      <w:rFonts w:cs="Times New Roman"/>
                    </w:rPr>
                    <w:t>系统</w:t>
                  </w:r>
                </w:p>
              </w:tc>
              <w:tc>
                <w:tcPr>
                  <w:tcW w:w="1698" w:type="pct"/>
                  <w:tcBorders>
                    <w:tl2br w:val="nil"/>
                    <w:tr2bl w:val="nil"/>
                  </w:tcBorders>
                  <w:vAlign w:val="center"/>
                </w:tcPr>
                <w:p w14:paraId="345722F5">
                  <w:pPr>
                    <w:pStyle w:val="12"/>
                    <w:rPr>
                      <w:rFonts w:hint="default" w:eastAsia="宋体" w:cs="Times New Roman"/>
                      <w:lang w:val="en-US" w:eastAsia="zh-CN"/>
                    </w:rPr>
                  </w:pPr>
                  <w:r>
                    <w:rPr>
                      <w:rFonts w:hint="eastAsia" w:cs="Times New Roman"/>
                      <w:lang w:val="en-US" w:eastAsia="zh-CN"/>
                    </w:rPr>
                    <w:t>园区电网建设完善，厂区已配备完善的供配电系统。</w:t>
                  </w:r>
                </w:p>
              </w:tc>
              <w:tc>
                <w:tcPr>
                  <w:tcW w:w="1903" w:type="pct"/>
                  <w:tcBorders>
                    <w:tl2br w:val="nil"/>
                    <w:tr2bl w:val="nil"/>
                  </w:tcBorders>
                  <w:vAlign w:val="center"/>
                </w:tcPr>
                <w:p w14:paraId="0DE4E740">
                  <w:pPr>
                    <w:pStyle w:val="12"/>
                    <w:rPr>
                      <w:rFonts w:cs="Times New Roman"/>
                    </w:rPr>
                  </w:pPr>
                  <w:r>
                    <w:rPr>
                      <w:rFonts w:cs="Times New Roman"/>
                    </w:rPr>
                    <w:t>目前厂区已建供电系统供电正常，能够满足本项目需求。</w:t>
                  </w:r>
                </w:p>
              </w:tc>
              <w:tc>
                <w:tcPr>
                  <w:tcW w:w="464" w:type="pct"/>
                  <w:tcBorders>
                    <w:tl2br w:val="nil"/>
                    <w:tr2bl w:val="nil"/>
                  </w:tcBorders>
                  <w:vAlign w:val="center"/>
                </w:tcPr>
                <w:p w14:paraId="2188385A">
                  <w:pPr>
                    <w:pStyle w:val="12"/>
                    <w:rPr>
                      <w:rFonts w:cs="Times New Roman"/>
                    </w:rPr>
                  </w:pPr>
                  <w:r>
                    <w:rPr>
                      <w:rFonts w:cs="Times New Roman"/>
                    </w:rPr>
                    <w:t>可行</w:t>
                  </w:r>
                </w:p>
              </w:tc>
            </w:tr>
            <w:tr w14:paraId="0795DC7E">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366" w:type="pct"/>
                  <w:tcBorders>
                    <w:tl2br w:val="nil"/>
                    <w:tr2bl w:val="nil"/>
                  </w:tcBorders>
                  <w:vAlign w:val="center"/>
                </w:tcPr>
                <w:p w14:paraId="04D78817">
                  <w:pPr>
                    <w:pStyle w:val="12"/>
                    <w:rPr>
                      <w:rFonts w:cs="Times New Roman"/>
                    </w:rPr>
                  </w:pPr>
                  <w:r>
                    <w:rPr>
                      <w:rFonts w:cs="Times New Roman"/>
                    </w:rPr>
                    <w:t>4</w:t>
                  </w:r>
                </w:p>
              </w:tc>
              <w:tc>
                <w:tcPr>
                  <w:tcW w:w="567" w:type="pct"/>
                  <w:tcBorders>
                    <w:tl2br w:val="nil"/>
                    <w:tr2bl w:val="nil"/>
                  </w:tcBorders>
                  <w:vAlign w:val="center"/>
                </w:tcPr>
                <w:p w14:paraId="5B8C8F55">
                  <w:pPr>
                    <w:pStyle w:val="12"/>
                    <w:rPr>
                      <w:rFonts w:cs="Times New Roman"/>
                    </w:rPr>
                  </w:pPr>
                  <w:r>
                    <w:rPr>
                      <w:rFonts w:cs="Times New Roman"/>
                    </w:rPr>
                    <w:t>供</w:t>
                  </w:r>
                  <w:r>
                    <w:rPr>
                      <w:rFonts w:hint="eastAsia" w:cs="Times New Roman"/>
                      <w:lang w:val="en-US" w:eastAsia="zh-CN"/>
                    </w:rPr>
                    <w:t>水</w:t>
                  </w:r>
                  <w:r>
                    <w:rPr>
                      <w:rFonts w:cs="Times New Roman"/>
                    </w:rPr>
                    <w:t>系统</w:t>
                  </w:r>
                </w:p>
              </w:tc>
              <w:tc>
                <w:tcPr>
                  <w:tcW w:w="1698" w:type="pct"/>
                  <w:tcBorders>
                    <w:tl2br w:val="nil"/>
                    <w:tr2bl w:val="nil"/>
                  </w:tcBorders>
                  <w:vAlign w:val="center"/>
                </w:tcPr>
                <w:p w14:paraId="3A638A75">
                  <w:pPr>
                    <w:pStyle w:val="12"/>
                    <w:rPr>
                      <w:rFonts w:cs="Times New Roman"/>
                    </w:rPr>
                  </w:pPr>
                  <w:r>
                    <w:rPr>
                      <w:rFonts w:hint="eastAsia" w:cs="Times New Roman"/>
                      <w:lang w:val="en-US" w:eastAsia="zh-CN"/>
                    </w:rPr>
                    <w:t>园区供水管网建设完善，厂区已建设完善的供水管网。</w:t>
                  </w:r>
                </w:p>
              </w:tc>
              <w:tc>
                <w:tcPr>
                  <w:tcW w:w="1903" w:type="pct"/>
                  <w:tcBorders>
                    <w:tl2br w:val="nil"/>
                    <w:tr2bl w:val="nil"/>
                  </w:tcBorders>
                  <w:vAlign w:val="center"/>
                </w:tcPr>
                <w:p w14:paraId="17C38C37">
                  <w:pPr>
                    <w:pStyle w:val="12"/>
                    <w:rPr>
                      <w:rFonts w:cs="Times New Roman"/>
                    </w:rPr>
                  </w:pPr>
                  <w:bookmarkStart w:id="39" w:name="OLE_LINK32"/>
                  <w:r>
                    <w:rPr>
                      <w:rFonts w:cs="Times New Roman"/>
                    </w:rPr>
                    <w:t>目前厂区已建供</w:t>
                  </w:r>
                  <w:r>
                    <w:rPr>
                      <w:rFonts w:hint="eastAsia" w:cs="Times New Roman"/>
                      <w:lang w:val="en-US" w:eastAsia="zh-CN"/>
                    </w:rPr>
                    <w:t>水</w:t>
                  </w:r>
                  <w:r>
                    <w:rPr>
                      <w:rFonts w:cs="Times New Roman"/>
                    </w:rPr>
                    <w:t>系统供电正常</w:t>
                  </w:r>
                  <w:bookmarkEnd w:id="39"/>
                  <w:r>
                    <w:rPr>
                      <w:rFonts w:cs="Times New Roman"/>
                    </w:rPr>
                    <w:t>，能够满足本项目需求。</w:t>
                  </w:r>
                </w:p>
              </w:tc>
              <w:tc>
                <w:tcPr>
                  <w:tcW w:w="464" w:type="pct"/>
                  <w:tcBorders>
                    <w:tl2br w:val="nil"/>
                    <w:tr2bl w:val="nil"/>
                  </w:tcBorders>
                  <w:vAlign w:val="center"/>
                </w:tcPr>
                <w:p w14:paraId="43E6C810">
                  <w:pPr>
                    <w:pStyle w:val="12"/>
                    <w:rPr>
                      <w:rFonts w:cs="Times New Roman"/>
                    </w:rPr>
                  </w:pPr>
                  <w:r>
                    <w:rPr>
                      <w:rFonts w:cs="Times New Roman"/>
                    </w:rPr>
                    <w:t>可行</w:t>
                  </w:r>
                </w:p>
              </w:tc>
            </w:tr>
            <w:tr w14:paraId="00634049">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366" w:type="pct"/>
                  <w:tcBorders>
                    <w:tl2br w:val="nil"/>
                    <w:tr2bl w:val="nil"/>
                  </w:tcBorders>
                  <w:vAlign w:val="center"/>
                </w:tcPr>
                <w:p w14:paraId="1B38769D">
                  <w:pPr>
                    <w:pStyle w:val="12"/>
                    <w:rPr>
                      <w:rFonts w:cs="Times New Roman"/>
                    </w:rPr>
                  </w:pPr>
                  <w:r>
                    <w:rPr>
                      <w:rFonts w:cs="Times New Roman"/>
                    </w:rPr>
                    <w:t>5</w:t>
                  </w:r>
                </w:p>
              </w:tc>
              <w:tc>
                <w:tcPr>
                  <w:tcW w:w="567" w:type="pct"/>
                  <w:tcBorders>
                    <w:tl2br w:val="nil"/>
                    <w:tr2bl w:val="nil"/>
                  </w:tcBorders>
                  <w:vAlign w:val="center"/>
                </w:tcPr>
                <w:p w14:paraId="602B1849">
                  <w:pPr>
                    <w:pStyle w:val="12"/>
                    <w:rPr>
                      <w:rFonts w:cs="Times New Roman"/>
                    </w:rPr>
                  </w:pPr>
                  <w:r>
                    <w:rPr>
                      <w:rFonts w:cs="Times New Roman"/>
                    </w:rPr>
                    <w:t>供气系统</w:t>
                  </w:r>
                </w:p>
              </w:tc>
              <w:tc>
                <w:tcPr>
                  <w:tcW w:w="1698" w:type="pct"/>
                  <w:tcBorders>
                    <w:tl2br w:val="nil"/>
                    <w:tr2bl w:val="nil"/>
                  </w:tcBorders>
                  <w:vAlign w:val="center"/>
                </w:tcPr>
                <w:p w14:paraId="704F8BA6">
                  <w:pPr>
                    <w:pStyle w:val="12"/>
                    <w:rPr>
                      <w:rFonts w:hint="default" w:eastAsia="宋体" w:cs="Times New Roman"/>
                      <w:lang w:val="en-US" w:eastAsia="zh-CN"/>
                    </w:rPr>
                  </w:pPr>
                  <w:r>
                    <w:rPr>
                      <w:rFonts w:hint="eastAsia" w:cs="Times New Roman"/>
                      <w:lang w:val="en-US" w:eastAsia="zh-CN"/>
                    </w:rPr>
                    <w:t>园区供气管网建设完善，厂区已建设完善的供气管网。</w:t>
                  </w:r>
                </w:p>
              </w:tc>
              <w:tc>
                <w:tcPr>
                  <w:tcW w:w="1903" w:type="pct"/>
                  <w:tcBorders>
                    <w:tl2br w:val="nil"/>
                    <w:tr2bl w:val="nil"/>
                  </w:tcBorders>
                  <w:vAlign w:val="center"/>
                </w:tcPr>
                <w:p w14:paraId="36AD450F">
                  <w:pPr>
                    <w:pStyle w:val="12"/>
                    <w:rPr>
                      <w:rFonts w:cs="Times New Roman"/>
                    </w:rPr>
                  </w:pPr>
                  <w:r>
                    <w:rPr>
                      <w:rFonts w:cs="Times New Roman"/>
                    </w:rPr>
                    <w:t>目前厂区已建供气管线正常，能够满足本项目需求。</w:t>
                  </w:r>
                </w:p>
              </w:tc>
              <w:tc>
                <w:tcPr>
                  <w:tcW w:w="464" w:type="pct"/>
                  <w:tcBorders>
                    <w:tl2br w:val="nil"/>
                    <w:tr2bl w:val="nil"/>
                  </w:tcBorders>
                  <w:vAlign w:val="center"/>
                </w:tcPr>
                <w:p w14:paraId="303F1DB4">
                  <w:pPr>
                    <w:pStyle w:val="12"/>
                    <w:rPr>
                      <w:rFonts w:cs="Times New Roman"/>
                    </w:rPr>
                  </w:pPr>
                  <w:r>
                    <w:rPr>
                      <w:rFonts w:cs="Times New Roman"/>
                    </w:rPr>
                    <w:t>可行</w:t>
                  </w:r>
                </w:p>
              </w:tc>
            </w:tr>
            <w:tr w14:paraId="4350EB07">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366" w:type="pct"/>
                  <w:tcBorders>
                    <w:tl2br w:val="nil"/>
                    <w:tr2bl w:val="nil"/>
                  </w:tcBorders>
                  <w:vAlign w:val="center"/>
                </w:tcPr>
                <w:p w14:paraId="635EC451">
                  <w:pPr>
                    <w:pStyle w:val="12"/>
                    <w:rPr>
                      <w:rFonts w:hint="eastAsia" w:eastAsia="宋体" w:cs="Times New Roman"/>
                      <w:lang w:val="en-US" w:eastAsia="zh-CN"/>
                    </w:rPr>
                  </w:pPr>
                  <w:r>
                    <w:rPr>
                      <w:rFonts w:hint="eastAsia" w:cs="Times New Roman"/>
                      <w:lang w:val="en-US" w:eastAsia="zh-CN"/>
                    </w:rPr>
                    <w:t>6</w:t>
                  </w:r>
                </w:p>
              </w:tc>
              <w:tc>
                <w:tcPr>
                  <w:tcW w:w="567" w:type="pct"/>
                  <w:tcBorders>
                    <w:tl2br w:val="nil"/>
                    <w:tr2bl w:val="nil"/>
                  </w:tcBorders>
                  <w:vAlign w:val="center"/>
                </w:tcPr>
                <w:p w14:paraId="21611F57">
                  <w:pPr>
                    <w:pStyle w:val="12"/>
                    <w:rPr>
                      <w:rFonts w:hint="default" w:eastAsia="宋体" w:cs="Times New Roman"/>
                      <w:lang w:val="en-US" w:eastAsia="zh-CN"/>
                    </w:rPr>
                  </w:pPr>
                  <w:r>
                    <w:rPr>
                      <w:rFonts w:hint="eastAsia" w:cs="Times New Roman"/>
                      <w:lang w:val="en-US" w:eastAsia="zh-CN"/>
                    </w:rPr>
                    <w:t>排水系统</w:t>
                  </w:r>
                </w:p>
              </w:tc>
              <w:tc>
                <w:tcPr>
                  <w:tcW w:w="1698" w:type="pct"/>
                  <w:tcBorders>
                    <w:tl2br w:val="nil"/>
                    <w:tr2bl w:val="nil"/>
                  </w:tcBorders>
                  <w:vAlign w:val="center"/>
                </w:tcPr>
                <w:p w14:paraId="285DCC03">
                  <w:pPr>
                    <w:pStyle w:val="12"/>
                    <w:rPr>
                      <w:rFonts w:hint="default" w:cs="Times New Roman"/>
                      <w:lang w:val="en-US" w:eastAsia="zh-CN"/>
                    </w:rPr>
                  </w:pPr>
                  <w:r>
                    <w:rPr>
                      <w:rFonts w:hint="eastAsia" w:cs="Times New Roman"/>
                      <w:lang w:val="en-US" w:eastAsia="zh-CN"/>
                    </w:rPr>
                    <w:t>园区雨污水管网建设完善，污水管网连接至星光工业园污水处理厂。厂区内现有雨水、污水管网较完善。</w:t>
                  </w:r>
                </w:p>
              </w:tc>
              <w:tc>
                <w:tcPr>
                  <w:tcW w:w="1903" w:type="pct"/>
                  <w:tcBorders>
                    <w:tl2br w:val="nil"/>
                    <w:tr2bl w:val="nil"/>
                  </w:tcBorders>
                  <w:vAlign w:val="center"/>
                </w:tcPr>
                <w:p w14:paraId="03924802">
                  <w:pPr>
                    <w:pStyle w:val="12"/>
                    <w:rPr>
                      <w:rFonts w:hint="default" w:eastAsia="宋体" w:cs="Times New Roman"/>
                      <w:lang w:val="en-US" w:eastAsia="zh-CN"/>
                    </w:rPr>
                  </w:pPr>
                  <w:r>
                    <w:rPr>
                      <w:rFonts w:hint="eastAsia" w:cs="Times New Roman"/>
                      <w:lang w:val="en-US" w:eastAsia="zh-CN"/>
                    </w:rPr>
                    <w:t>厂区内已建雨水管网、生活污水管网能够满足本项目需求，依托现有；生产废水处理后的排放通过新设管线连接至厂区现有污水管网即可。</w:t>
                  </w:r>
                </w:p>
              </w:tc>
              <w:tc>
                <w:tcPr>
                  <w:tcW w:w="464" w:type="pct"/>
                  <w:tcBorders>
                    <w:tl2br w:val="nil"/>
                    <w:tr2bl w:val="nil"/>
                  </w:tcBorders>
                  <w:vAlign w:val="center"/>
                </w:tcPr>
                <w:p w14:paraId="5C441F87">
                  <w:pPr>
                    <w:pStyle w:val="12"/>
                    <w:rPr>
                      <w:rFonts w:cs="Times New Roman"/>
                    </w:rPr>
                  </w:pPr>
                  <w:r>
                    <w:rPr>
                      <w:rFonts w:cs="Times New Roman"/>
                    </w:rPr>
                    <w:t>可行</w:t>
                  </w:r>
                </w:p>
              </w:tc>
            </w:tr>
            <w:tr w14:paraId="0323E725">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366" w:type="pct"/>
                  <w:tcBorders>
                    <w:tl2br w:val="nil"/>
                    <w:tr2bl w:val="nil"/>
                  </w:tcBorders>
                  <w:vAlign w:val="center"/>
                </w:tcPr>
                <w:p w14:paraId="7AA5E557">
                  <w:pPr>
                    <w:pStyle w:val="12"/>
                    <w:rPr>
                      <w:rFonts w:hint="eastAsia" w:eastAsia="宋体" w:cs="Times New Roman"/>
                      <w:lang w:val="en-US" w:eastAsia="zh-CN"/>
                    </w:rPr>
                  </w:pPr>
                  <w:r>
                    <w:rPr>
                      <w:rFonts w:hint="eastAsia" w:cs="Times New Roman"/>
                      <w:lang w:val="en-US" w:eastAsia="zh-CN"/>
                    </w:rPr>
                    <w:t>7</w:t>
                  </w:r>
                </w:p>
              </w:tc>
              <w:tc>
                <w:tcPr>
                  <w:tcW w:w="567" w:type="pct"/>
                  <w:tcBorders>
                    <w:tl2br w:val="nil"/>
                    <w:tr2bl w:val="nil"/>
                  </w:tcBorders>
                  <w:vAlign w:val="center"/>
                </w:tcPr>
                <w:p w14:paraId="495C3CFB">
                  <w:pPr>
                    <w:pStyle w:val="12"/>
                    <w:rPr>
                      <w:rFonts w:cs="Times New Roman"/>
                    </w:rPr>
                  </w:pPr>
                  <w:r>
                    <w:rPr>
                      <w:rFonts w:cs="Times New Roman"/>
                    </w:rPr>
                    <w:t>道路</w:t>
                  </w:r>
                </w:p>
              </w:tc>
              <w:tc>
                <w:tcPr>
                  <w:tcW w:w="1698" w:type="pct"/>
                  <w:tcBorders>
                    <w:tl2br w:val="nil"/>
                    <w:tr2bl w:val="nil"/>
                  </w:tcBorders>
                  <w:vAlign w:val="center"/>
                </w:tcPr>
                <w:p w14:paraId="729C5381">
                  <w:pPr>
                    <w:pStyle w:val="12"/>
                    <w:rPr>
                      <w:rFonts w:cs="Times New Roman"/>
                    </w:rPr>
                  </w:pPr>
                  <w:r>
                    <w:rPr>
                      <w:rFonts w:cs="Times New Roman"/>
                    </w:rPr>
                    <w:t>厂区已建道路</w:t>
                  </w:r>
                </w:p>
              </w:tc>
              <w:tc>
                <w:tcPr>
                  <w:tcW w:w="1903" w:type="pct"/>
                  <w:tcBorders>
                    <w:tl2br w:val="nil"/>
                    <w:tr2bl w:val="nil"/>
                  </w:tcBorders>
                  <w:vAlign w:val="center"/>
                </w:tcPr>
                <w:p w14:paraId="723C7266">
                  <w:pPr>
                    <w:pStyle w:val="12"/>
                    <w:rPr>
                      <w:rFonts w:cs="Times New Roman"/>
                    </w:rPr>
                  </w:pPr>
                  <w:r>
                    <w:rPr>
                      <w:rFonts w:cs="Times New Roman"/>
                    </w:rPr>
                    <w:t>目前厂区道路满足本项目需求。</w:t>
                  </w:r>
                </w:p>
              </w:tc>
              <w:tc>
                <w:tcPr>
                  <w:tcW w:w="464" w:type="pct"/>
                  <w:tcBorders>
                    <w:tl2br w:val="nil"/>
                    <w:tr2bl w:val="nil"/>
                  </w:tcBorders>
                  <w:vAlign w:val="center"/>
                </w:tcPr>
                <w:p w14:paraId="13FD9AAF">
                  <w:pPr>
                    <w:pStyle w:val="12"/>
                    <w:rPr>
                      <w:rFonts w:cs="Times New Roman"/>
                    </w:rPr>
                  </w:pPr>
                  <w:r>
                    <w:rPr>
                      <w:rFonts w:cs="Times New Roman"/>
                    </w:rPr>
                    <w:t>可行</w:t>
                  </w:r>
                </w:p>
              </w:tc>
            </w:tr>
            <w:tr w14:paraId="7031A152">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366" w:type="pct"/>
                  <w:tcBorders>
                    <w:tl2br w:val="nil"/>
                    <w:tr2bl w:val="nil"/>
                  </w:tcBorders>
                  <w:vAlign w:val="center"/>
                </w:tcPr>
                <w:p w14:paraId="544DD926">
                  <w:pPr>
                    <w:pStyle w:val="12"/>
                    <w:rPr>
                      <w:rFonts w:hint="eastAsia" w:eastAsia="宋体" w:cs="Times New Roman"/>
                      <w:lang w:val="en-US" w:eastAsia="zh-CN"/>
                    </w:rPr>
                  </w:pPr>
                  <w:r>
                    <w:rPr>
                      <w:rFonts w:hint="eastAsia" w:cs="Times New Roman"/>
                      <w:lang w:val="en-US" w:eastAsia="zh-CN"/>
                    </w:rPr>
                    <w:t>8</w:t>
                  </w:r>
                </w:p>
              </w:tc>
              <w:tc>
                <w:tcPr>
                  <w:tcW w:w="567" w:type="pct"/>
                  <w:tcBorders>
                    <w:tl2br w:val="nil"/>
                    <w:tr2bl w:val="nil"/>
                  </w:tcBorders>
                  <w:vAlign w:val="center"/>
                </w:tcPr>
                <w:p w14:paraId="12CB99E8">
                  <w:pPr>
                    <w:pStyle w:val="12"/>
                    <w:rPr>
                      <w:rFonts w:hint="default" w:eastAsia="宋体" w:cs="Times New Roman"/>
                      <w:lang w:val="en-US" w:eastAsia="zh-CN"/>
                    </w:rPr>
                  </w:pPr>
                  <w:r>
                    <w:rPr>
                      <w:rFonts w:hint="eastAsia" w:cs="Times New Roman"/>
                      <w:lang w:val="en-US" w:eastAsia="zh-CN"/>
                    </w:rPr>
                    <w:t>星光工业园区污水处理厂</w:t>
                  </w:r>
                </w:p>
              </w:tc>
              <w:tc>
                <w:tcPr>
                  <w:tcW w:w="1698" w:type="pct"/>
                  <w:tcBorders>
                    <w:tl2br w:val="nil"/>
                    <w:tr2bl w:val="nil"/>
                  </w:tcBorders>
                  <w:vAlign w:val="center"/>
                </w:tcPr>
                <w:p w14:paraId="2E928357">
                  <w:pPr>
                    <w:pStyle w:val="12"/>
                    <w:rPr>
                      <w:rFonts w:hint="default" w:cs="Times New Roman"/>
                      <w:vertAlign w:val="baseline"/>
                      <w:lang w:val="en-US"/>
                    </w:rPr>
                  </w:pPr>
                  <w:r>
                    <w:rPr>
                      <w:rFonts w:hint="eastAsia" w:cs="Times New Roman"/>
                      <w:lang w:val="en-US" w:eastAsia="zh-CN"/>
                    </w:rPr>
                    <w:t>星光工业园区污水处理厂建设项目一期工程位于平昌县星光工业园西南部巴河东岸风滩村偏阳沟，总占地面积</w:t>
                  </w:r>
                  <w:r>
                    <w:rPr>
                      <w:rFonts w:hint="default" w:cs="Times New Roman"/>
                      <w:lang w:val="en-US" w:eastAsia="zh-CN"/>
                    </w:rPr>
                    <w:t>11.3</w:t>
                  </w:r>
                  <w:r>
                    <w:rPr>
                      <w:rFonts w:hint="eastAsia" w:cs="Times New Roman"/>
                      <w:lang w:val="en-US" w:eastAsia="zh-CN"/>
                    </w:rPr>
                    <w:t>亩，设计处理能力</w:t>
                  </w:r>
                  <w:r>
                    <w:rPr>
                      <w:rFonts w:hint="default" w:cs="Times New Roman"/>
                      <w:lang w:val="en-US" w:eastAsia="zh-CN"/>
                    </w:rPr>
                    <w:t>0.3</w:t>
                  </w:r>
                  <w:r>
                    <w:rPr>
                      <w:rFonts w:hint="eastAsia" w:cs="Times New Roman"/>
                      <w:lang w:val="en-US" w:eastAsia="zh-CN"/>
                    </w:rPr>
                    <w:t>万</w:t>
                  </w:r>
                  <w:r>
                    <w:rPr>
                      <w:rFonts w:hint="default" w:cs="Times New Roman"/>
                      <w:lang w:val="en-US" w:eastAsia="zh-CN"/>
                    </w:rPr>
                    <w:t>m</w:t>
                  </w:r>
                  <w:r>
                    <w:rPr>
                      <w:rFonts w:hint="default" w:cs="Times New Roman"/>
                      <w:vertAlign w:val="superscript"/>
                      <w:lang w:val="en-US" w:eastAsia="zh-CN"/>
                    </w:rPr>
                    <w:t>3</w:t>
                  </w:r>
                  <w:r>
                    <w:rPr>
                      <w:rFonts w:hint="default" w:cs="Times New Roman"/>
                      <w:lang w:val="en-US" w:eastAsia="zh-CN"/>
                    </w:rPr>
                    <w:t>/d</w:t>
                  </w:r>
                  <w:r>
                    <w:rPr>
                      <w:rFonts w:hint="eastAsia" w:cs="Times New Roman"/>
                      <w:lang w:val="en-US" w:eastAsia="zh-CN"/>
                    </w:rPr>
                    <w:t>，采用“预处理（隔栅间</w:t>
                  </w:r>
                  <w:r>
                    <w:rPr>
                      <w:rFonts w:hint="default" w:cs="Times New Roman"/>
                      <w:lang w:val="en-US" w:eastAsia="zh-CN"/>
                    </w:rPr>
                    <w:t>-</w:t>
                  </w:r>
                  <w:r>
                    <w:rPr>
                      <w:rFonts w:hint="eastAsia" w:cs="Times New Roman"/>
                      <w:lang w:val="en-US" w:eastAsia="zh-CN"/>
                    </w:rPr>
                    <w:t>调节池</w:t>
                  </w:r>
                  <w:r>
                    <w:rPr>
                      <w:rFonts w:hint="default" w:cs="Times New Roman"/>
                      <w:lang w:val="en-US" w:eastAsia="zh-CN"/>
                    </w:rPr>
                    <w:t>-</w:t>
                  </w:r>
                  <w:r>
                    <w:rPr>
                      <w:rFonts w:hint="eastAsia" w:cs="Times New Roman"/>
                      <w:lang w:val="en-US" w:eastAsia="zh-CN"/>
                    </w:rPr>
                    <w:t>水解酸化池）</w:t>
                  </w:r>
                  <w:r>
                    <w:rPr>
                      <w:rFonts w:hint="default" w:cs="Times New Roman"/>
                      <w:lang w:val="en-US" w:eastAsia="zh-CN"/>
                    </w:rPr>
                    <w:t>+</w:t>
                  </w:r>
                  <w:r>
                    <w:rPr>
                      <w:rFonts w:hint="eastAsia" w:cs="Times New Roman"/>
                      <w:lang w:val="en-US" w:eastAsia="zh-CN"/>
                    </w:rPr>
                    <w:t>生化处理（</w:t>
                  </w:r>
                  <w:r>
                    <w:rPr>
                      <w:rFonts w:hint="default" w:cs="Times New Roman"/>
                      <w:lang w:val="en-US" w:eastAsia="zh-CN"/>
                    </w:rPr>
                    <w:t>A/O</w:t>
                  </w:r>
                  <w:r>
                    <w:rPr>
                      <w:rFonts w:hint="eastAsia" w:cs="Times New Roman"/>
                      <w:lang w:val="en-US" w:eastAsia="zh-CN"/>
                    </w:rPr>
                    <w:t>微曝氧化沟）</w:t>
                  </w:r>
                  <w:r>
                    <w:rPr>
                      <w:rFonts w:hint="default" w:cs="Times New Roman"/>
                      <w:lang w:val="en-US" w:eastAsia="zh-CN"/>
                    </w:rPr>
                    <w:t>+</w:t>
                  </w:r>
                  <w:r>
                    <w:rPr>
                      <w:rFonts w:hint="eastAsia" w:cs="Times New Roman"/>
                      <w:lang w:val="en-US" w:eastAsia="zh-CN"/>
                    </w:rPr>
                    <w:t>深度处理</w:t>
                  </w:r>
                  <w:r>
                    <w:rPr>
                      <w:rFonts w:hint="default" w:cs="Times New Roman"/>
                      <w:lang w:val="en-US" w:eastAsia="zh-CN"/>
                    </w:rPr>
                    <w:t>(</w:t>
                  </w:r>
                  <w:r>
                    <w:rPr>
                      <w:rFonts w:hint="eastAsia" w:cs="Times New Roman"/>
                      <w:lang w:val="en-US" w:eastAsia="zh-CN"/>
                    </w:rPr>
                    <w:t>网格絮凝池</w:t>
                  </w:r>
                  <w:r>
                    <w:rPr>
                      <w:rFonts w:hint="default" w:cs="Times New Roman"/>
                      <w:lang w:val="en-US" w:eastAsia="zh-CN"/>
                    </w:rPr>
                    <w:t>+</w:t>
                  </w:r>
                  <w:r>
                    <w:rPr>
                      <w:rFonts w:hint="eastAsia" w:cs="Times New Roman"/>
                      <w:lang w:val="en-US" w:eastAsia="zh-CN"/>
                    </w:rPr>
                    <w:t>纤维转盘滤池</w:t>
                  </w:r>
                  <w:r>
                    <w:rPr>
                      <w:rFonts w:hint="default" w:cs="Times New Roman"/>
                      <w:lang w:val="en-US" w:eastAsia="zh-CN"/>
                    </w:rPr>
                    <w:t>+</w:t>
                  </w:r>
                  <w:r>
                    <w:rPr>
                      <w:rFonts w:hint="eastAsia" w:cs="Times New Roman"/>
                      <w:lang w:val="en-US" w:eastAsia="zh-CN"/>
                    </w:rPr>
                    <w:t>紫外线消毒</w:t>
                  </w:r>
                  <w:r>
                    <w:rPr>
                      <w:rFonts w:hint="default" w:cs="Times New Roman"/>
                      <w:lang w:val="en-US" w:eastAsia="zh-CN"/>
                    </w:rPr>
                    <w:t>)</w:t>
                  </w:r>
                  <w:r>
                    <w:rPr>
                      <w:rFonts w:hint="eastAsia" w:cs="Times New Roman"/>
                      <w:lang w:val="en-US" w:eastAsia="zh-CN"/>
                    </w:rPr>
                    <w:t>”处理工艺，主要处理工业园区生活污水及工业废水。</w:t>
                  </w:r>
                  <w:r>
                    <w:rPr>
                      <w:rFonts w:hint="eastAsia" w:ascii="Times New Roman" w:hAnsi="Times New Roman" w:eastAsia="宋体" w:cs="Times New Roman"/>
                      <w:lang w:val="en-US" w:eastAsia="zh-CN"/>
                    </w:rPr>
                    <w:t>根据《</w:t>
                  </w:r>
                  <w:r>
                    <w:rPr>
                      <w:rFonts w:hint="default" w:ascii="Times New Roman" w:hAnsi="Times New Roman" w:eastAsia="宋体" w:cs="Times New Roman"/>
                      <w:lang w:val="en-US" w:eastAsia="zh-CN"/>
                    </w:rPr>
                    <w:t>星光工业园区污水处理厂技改扩能建设项目环境影响报告书</w:t>
                  </w:r>
                  <w:r>
                    <w:rPr>
                      <w:rFonts w:hint="eastAsia" w:ascii="Times New Roman" w:hAnsi="Times New Roman" w:eastAsia="宋体" w:cs="Times New Roman"/>
                      <w:lang w:val="en-US" w:eastAsia="zh-CN"/>
                    </w:rPr>
                    <w:t>》（2025年10月），后续</w:t>
                  </w:r>
                  <w:r>
                    <w:rPr>
                      <w:rFonts w:hint="eastAsia" w:cs="Times New Roman"/>
                      <w:lang w:val="en-US" w:eastAsia="zh-CN"/>
                    </w:rPr>
                    <w:t>拟建设扩建工程，扩建规模至0.5万m</w:t>
                  </w:r>
                  <w:r>
                    <w:rPr>
                      <w:rFonts w:hint="eastAsia" w:cs="Times New Roman"/>
                      <w:vertAlign w:val="superscript"/>
                      <w:lang w:val="en-US" w:eastAsia="zh-CN"/>
                    </w:rPr>
                    <w:t>3</w:t>
                  </w:r>
                  <w:r>
                    <w:rPr>
                      <w:rFonts w:hint="eastAsia" w:cs="Times New Roman"/>
                      <w:vertAlign w:val="baseline"/>
                      <w:lang w:val="en-US" w:eastAsia="zh-CN"/>
                    </w:rPr>
                    <w:t>/d。</w:t>
                  </w:r>
                </w:p>
              </w:tc>
              <w:tc>
                <w:tcPr>
                  <w:tcW w:w="1903" w:type="pct"/>
                  <w:tcBorders>
                    <w:tl2br w:val="nil"/>
                    <w:tr2bl w:val="nil"/>
                  </w:tcBorders>
                  <w:vAlign w:val="center"/>
                </w:tcPr>
                <w:p w14:paraId="4C2B3FDB">
                  <w:pPr>
                    <w:pStyle w:val="12"/>
                    <w:rPr>
                      <w:rFonts w:hint="eastAsia" w:cs="Times New Roman"/>
                      <w:lang w:val="en-US" w:eastAsia="zh-CN"/>
                    </w:rPr>
                  </w:pPr>
                  <w:r>
                    <w:rPr>
                      <w:rFonts w:hint="eastAsia" w:cs="Times New Roman"/>
                      <w:lang w:val="en-US" w:eastAsia="zh-CN"/>
                    </w:rPr>
                    <w:t>本项目属于星光污水处理厂纳污范围内，项目区域已接通污水管网。</w:t>
                  </w:r>
                </w:p>
                <w:p w14:paraId="28570748">
                  <w:pPr>
                    <w:pStyle w:val="12"/>
                    <w:rPr>
                      <w:rFonts w:hint="eastAsia" w:cs="Times New Roman"/>
                      <w:lang w:val="en-US" w:eastAsia="zh-CN"/>
                    </w:rPr>
                  </w:pPr>
                  <w:r>
                    <w:rPr>
                      <w:rFonts w:hint="eastAsia" w:cs="Times New Roman"/>
                      <w:lang w:val="en-US" w:eastAsia="zh-CN"/>
                    </w:rPr>
                    <w:t>根据现场调查，该污水处理厂设计处理规模为500m</w:t>
                  </w:r>
                  <w:r>
                    <w:rPr>
                      <w:rFonts w:hint="eastAsia" w:cs="Times New Roman"/>
                      <w:vertAlign w:val="superscript"/>
                      <w:lang w:val="en-US" w:eastAsia="zh-CN"/>
                    </w:rPr>
                    <w:t>3</w:t>
                  </w:r>
                  <w:r>
                    <w:rPr>
                      <w:rFonts w:hint="eastAsia" w:cs="Times New Roman"/>
                      <w:vertAlign w:val="baseline"/>
                      <w:lang w:val="en-US" w:eastAsia="zh-CN"/>
                    </w:rPr>
                    <w:t>/d，剩余处理规模为2500m</w:t>
                  </w:r>
                  <w:r>
                    <w:rPr>
                      <w:rFonts w:hint="eastAsia" w:cs="Times New Roman"/>
                      <w:vertAlign w:val="superscript"/>
                      <w:lang w:val="en-US" w:eastAsia="zh-CN"/>
                    </w:rPr>
                    <w:t>3</w:t>
                  </w:r>
                  <w:r>
                    <w:rPr>
                      <w:rFonts w:hint="eastAsia" w:cs="Times New Roman"/>
                      <w:vertAlign w:val="baseline"/>
                      <w:lang w:val="en-US" w:eastAsia="zh-CN"/>
                    </w:rPr>
                    <w:t>/d，</w:t>
                  </w:r>
                  <w:r>
                    <w:rPr>
                      <w:rFonts w:hint="eastAsia" w:cs="Times New Roman"/>
                      <w:lang w:val="en-US" w:eastAsia="zh-CN"/>
                    </w:rPr>
                    <w:t>余量充足，能够接收本项目排放的废水。</w:t>
                  </w:r>
                </w:p>
                <w:p w14:paraId="0AAF222C">
                  <w:pPr>
                    <w:pStyle w:val="12"/>
                    <w:rPr>
                      <w:rFonts w:hint="eastAsia" w:ascii="Times New Roman" w:hAnsi="Times New Roman" w:eastAsia="宋体" w:cs="Times New Roman"/>
                      <w:lang w:val="en-US" w:eastAsia="zh-CN"/>
                    </w:rPr>
                  </w:pPr>
                  <w:r>
                    <w:rPr>
                      <w:rFonts w:hint="eastAsia" w:cs="Times New Roman"/>
                      <w:lang w:val="en-US" w:eastAsia="zh-CN"/>
                    </w:rPr>
                    <w:t>该污水处理厂的进水水质要求见表3-8</w:t>
                  </w:r>
                  <w:r>
                    <w:rPr>
                      <w:rFonts w:hint="eastAsia" w:ascii="Times New Roman" w:hAnsi="Times New Roman" w:eastAsia="宋体" w:cs="Times New Roman"/>
                      <w:lang w:val="en-US" w:eastAsia="zh-CN"/>
                    </w:rPr>
                    <w:t>，本项目废水排放浓度能够达到该污水处理厂设计进水浓度要求。</w:t>
                  </w:r>
                </w:p>
                <w:p w14:paraId="24FE097A">
                  <w:pPr>
                    <w:pStyle w:val="12"/>
                    <w:rPr>
                      <w:rFonts w:hint="default"/>
                      <w:lang w:val="en-US" w:eastAsia="zh-CN"/>
                    </w:rPr>
                  </w:pPr>
                  <w:r>
                    <w:rPr>
                      <w:rFonts w:hint="eastAsia" w:ascii="Times New Roman" w:hAnsi="Times New Roman" w:eastAsia="宋体" w:cs="Times New Roman"/>
                      <w:lang w:val="en-US" w:eastAsia="zh-CN"/>
                    </w:rPr>
                    <w:t>2026年3月已取得了四川平昌经济开发区安全和环保局出具的</w:t>
                  </w:r>
                  <w:r>
                    <w:rPr>
                      <w:rFonts w:hint="eastAsia" w:cs="Times New Roman"/>
                      <w:lang w:val="en-US" w:eastAsia="zh-CN"/>
                    </w:rPr>
                    <w:t>同意</w:t>
                  </w:r>
                  <w:r>
                    <w:rPr>
                      <w:rFonts w:hint="eastAsia" w:ascii="Times New Roman" w:hAnsi="Times New Roman" w:eastAsia="宋体" w:cs="Times New Roman"/>
                      <w:lang w:val="en-US" w:eastAsia="zh-CN"/>
                    </w:rPr>
                    <w:t>废水纳管排放的意见</w:t>
                  </w:r>
                  <w:r>
                    <w:rPr>
                      <w:rFonts w:hint="eastAsia" w:cs="Times New Roman"/>
                      <w:lang w:val="en-US" w:eastAsia="zh-CN"/>
                    </w:rPr>
                    <w:t>（详见附件）</w:t>
                  </w:r>
                  <w:r>
                    <w:rPr>
                      <w:rFonts w:hint="eastAsia" w:ascii="Times New Roman" w:hAnsi="Times New Roman" w:eastAsia="宋体" w:cs="Times New Roman"/>
                      <w:lang w:val="en-US" w:eastAsia="zh-CN"/>
                    </w:rPr>
                    <w:t>。</w:t>
                  </w:r>
                </w:p>
              </w:tc>
              <w:tc>
                <w:tcPr>
                  <w:tcW w:w="464" w:type="pct"/>
                  <w:tcBorders>
                    <w:tl2br w:val="nil"/>
                    <w:tr2bl w:val="nil"/>
                  </w:tcBorders>
                  <w:vAlign w:val="center"/>
                </w:tcPr>
                <w:p w14:paraId="2E4963D5">
                  <w:pPr>
                    <w:pStyle w:val="12"/>
                    <w:rPr>
                      <w:rFonts w:hint="eastAsia" w:eastAsia="宋体" w:cs="Times New Roman"/>
                      <w:lang w:val="en-US" w:eastAsia="zh-CN"/>
                    </w:rPr>
                  </w:pPr>
                  <w:r>
                    <w:rPr>
                      <w:rFonts w:hint="eastAsia" w:cs="Times New Roman"/>
                      <w:lang w:val="en-US" w:eastAsia="zh-CN"/>
                    </w:rPr>
                    <w:t>可行</w:t>
                  </w:r>
                </w:p>
              </w:tc>
            </w:tr>
          </w:tbl>
          <w:p w14:paraId="591E9721">
            <w:pPr>
              <w:pStyle w:val="3"/>
              <w:numPr>
                <w:ilvl w:val="0"/>
                <w:numId w:val="0"/>
              </w:numPr>
              <w:spacing w:before="163"/>
              <w:ind w:firstLine="0" w:firstLineChars="0"/>
              <w:rPr>
                <w:rFonts w:hint="eastAsia"/>
                <w:lang w:val="en-US" w:eastAsia="zh-CN"/>
              </w:rPr>
            </w:pPr>
            <w:r>
              <w:rPr>
                <w:rFonts w:hint="eastAsia" w:ascii="Times New Roman" w:hAnsi="Times New Roman" w:eastAsia="宋体" w:cs="Times New Roman"/>
                <w:b/>
                <w:kern w:val="2"/>
                <w:sz w:val="24"/>
                <w:szCs w:val="21"/>
                <w:lang w:val="en-US" w:eastAsia="zh-CN" w:bidi="ar-SA"/>
              </w:rPr>
              <w:t>5、</w:t>
            </w:r>
            <w:r>
              <w:rPr>
                <w:rFonts w:hint="eastAsia"/>
                <w:lang w:val="en-US" w:eastAsia="zh-CN"/>
              </w:rPr>
              <w:t>主要原辅材料</w:t>
            </w:r>
          </w:p>
          <w:p w14:paraId="26267180">
            <w:pPr>
              <w:numPr>
                <w:ilvl w:val="0"/>
                <w:numId w:val="0"/>
              </w:numPr>
              <w:ind w:firstLine="482" w:firstLineChars="200"/>
              <w:rPr>
                <w:rFonts w:hint="eastAsia" w:ascii="Times New Roman" w:hAnsi="Times New Roman" w:eastAsia="宋体" w:cs="Times New Roman"/>
                <w:b/>
                <w:bCs/>
              </w:rPr>
            </w:pPr>
            <w:r>
              <w:rPr>
                <w:rFonts w:hint="eastAsia" w:ascii="Times New Roman" w:hAnsi="Times New Roman" w:eastAsia="宋体" w:cs="Times New Roman"/>
                <w:b/>
                <w:bCs/>
                <w:kern w:val="2"/>
                <w:sz w:val="24"/>
                <w:szCs w:val="22"/>
                <w:lang w:val="en-US" w:eastAsia="zh-CN" w:bidi="ar-SA"/>
              </w:rPr>
              <w:t>（1）</w:t>
            </w:r>
            <w:r>
              <w:rPr>
                <w:rFonts w:hint="eastAsia" w:ascii="Times New Roman" w:hAnsi="Times New Roman" w:eastAsia="宋体" w:cs="Times New Roman"/>
                <w:b/>
                <w:bCs/>
                <w:lang w:val="en-US" w:eastAsia="zh-CN"/>
              </w:rPr>
              <w:t>主要原辅料</w:t>
            </w:r>
          </w:p>
          <w:p w14:paraId="6F0CEB9C">
            <w:pPr>
              <w:ind w:left="0" w:leftChars="0" w:firstLine="482" w:firstLineChars="200"/>
              <w:jc w:val="both"/>
              <w:rPr>
                <w:rFonts w:hint="default" w:ascii="Times New Roman" w:hAnsi="Times New Roman" w:cs="Times New Roman"/>
              </w:rPr>
            </w:pPr>
            <w:r>
              <w:rPr>
                <w:rFonts w:hint="eastAsia" w:cs="Times New Roman"/>
                <w:b/>
                <w:bCs/>
                <w:i/>
                <w:iCs/>
                <w:u w:val="single"/>
                <w:lang w:val="en-US" w:eastAsia="zh-CN"/>
              </w:rPr>
              <w:t>该部分内容涉密，不予公开。</w:t>
            </w:r>
          </w:p>
          <w:p w14:paraId="2B4C4617">
            <w:pPr>
              <w:pStyle w:val="3"/>
              <w:keepNext w:val="0"/>
              <w:keepLines w:val="0"/>
              <w:pageBreakBefore w:val="0"/>
              <w:numPr>
                <w:ilvl w:val="0"/>
                <w:numId w:val="0"/>
              </w:numPr>
              <w:kinsoku/>
              <w:wordWrap/>
              <w:overflowPunct/>
              <w:topLinePunct w:val="0"/>
              <w:autoSpaceDE/>
              <w:autoSpaceDN/>
              <w:bidi w:val="0"/>
              <w:adjustRightInd/>
              <w:snapToGrid/>
              <w:spacing w:before="0" w:beforeLines="0"/>
              <w:ind w:leftChars="0" w:firstLine="0" w:firstLineChars="0"/>
              <w:textAlignment w:val="auto"/>
              <w:rPr>
                <w:rFonts w:hint="default" w:ascii="Times New Roman" w:hAnsi="Times New Roman" w:cs="Times New Roman"/>
              </w:rPr>
            </w:pPr>
            <w:r>
              <w:rPr>
                <w:rFonts w:hint="default" w:ascii="Times New Roman" w:hAnsi="Times New Roman" w:eastAsia="宋体" w:cs="Times New Roman"/>
                <w:b/>
                <w:kern w:val="2"/>
                <w:sz w:val="24"/>
                <w:szCs w:val="21"/>
                <w:lang w:val="en-US" w:eastAsia="zh-CN" w:bidi="ar-SA"/>
              </w:rPr>
              <w:t>6、</w:t>
            </w:r>
            <w:r>
              <w:rPr>
                <w:rFonts w:hint="default" w:ascii="Times New Roman" w:hAnsi="Times New Roman" w:cs="Times New Roman"/>
              </w:rPr>
              <w:t>主要设备</w:t>
            </w:r>
          </w:p>
          <w:p w14:paraId="489C851D">
            <w:pPr>
              <w:ind w:left="0" w:leftChars="0" w:firstLine="482" w:firstLineChars="200"/>
              <w:jc w:val="both"/>
              <w:rPr>
                <w:rFonts w:hint="default" w:cs="Times New Roman"/>
                <w:b/>
                <w:bCs/>
                <w:i/>
                <w:iCs/>
                <w:u w:val="single"/>
                <w:lang w:val="en-US" w:eastAsia="zh-CN"/>
              </w:rPr>
            </w:pPr>
            <w:r>
              <w:rPr>
                <w:rFonts w:hint="eastAsia" w:cs="Times New Roman"/>
                <w:b/>
                <w:bCs/>
                <w:i/>
                <w:iCs/>
                <w:u w:val="single"/>
                <w:lang w:val="en-US" w:eastAsia="zh-CN"/>
              </w:rPr>
              <w:t>该部分内容涉密，不予公开。</w:t>
            </w:r>
          </w:p>
          <w:p w14:paraId="037BE8E3">
            <w:pPr>
              <w:pStyle w:val="3"/>
              <w:spacing w:before="163"/>
              <w:rPr>
                <w:rFonts w:hint="default" w:eastAsia="宋体"/>
                <w:lang w:val="en-US" w:eastAsia="zh-CN"/>
              </w:rPr>
            </w:pPr>
            <w:r>
              <w:t>7、公用工程</w:t>
            </w:r>
          </w:p>
          <w:p w14:paraId="7A1D9779">
            <w:pPr>
              <w:ind w:firstLine="482"/>
              <w:rPr>
                <w:rFonts w:cs="Times New Roman"/>
                <w:b/>
              </w:rPr>
            </w:pPr>
            <w:r>
              <w:rPr>
                <w:rFonts w:cs="Times New Roman"/>
                <w:b/>
              </w:rPr>
              <w:t>（1）供电</w:t>
            </w:r>
          </w:p>
          <w:p w14:paraId="6B08529C">
            <w:pPr>
              <w:ind w:firstLine="480"/>
              <w:rPr>
                <w:rFonts w:cs="Times New Roman"/>
              </w:rPr>
            </w:pPr>
            <w:r>
              <w:rPr>
                <w:rFonts w:cs="Times New Roman"/>
              </w:rPr>
              <w:t>本项目由</w:t>
            </w:r>
            <w:r>
              <w:rPr>
                <w:rFonts w:hint="eastAsia" w:cs="Times New Roman"/>
                <w:lang w:val="en-US" w:eastAsia="zh-CN"/>
              </w:rPr>
              <w:t>园区</w:t>
            </w:r>
            <w:r>
              <w:rPr>
                <w:rFonts w:cs="Times New Roman"/>
              </w:rPr>
              <w:t>电网供电，依托租赁厂房所在厂区公用变电站，车间内仅设置配电柜。</w:t>
            </w:r>
          </w:p>
          <w:p w14:paraId="29A46EEE">
            <w:pPr>
              <w:ind w:firstLine="482"/>
              <w:rPr>
                <w:rFonts w:hint="eastAsia" w:eastAsia="宋体" w:cs="Times New Roman"/>
                <w:b/>
                <w:lang w:eastAsia="zh-CN"/>
              </w:rPr>
            </w:pPr>
            <w:r>
              <w:rPr>
                <w:rFonts w:cs="Times New Roman"/>
                <w:b/>
              </w:rPr>
              <w:t>（</w:t>
            </w:r>
            <w:r>
              <w:rPr>
                <w:rFonts w:hint="eastAsia" w:cs="Times New Roman"/>
                <w:b/>
                <w:lang w:val="en-US" w:eastAsia="zh-CN"/>
              </w:rPr>
              <w:t>2</w:t>
            </w:r>
            <w:r>
              <w:rPr>
                <w:rFonts w:cs="Times New Roman"/>
                <w:b/>
              </w:rPr>
              <w:t>）供</w:t>
            </w:r>
            <w:r>
              <w:rPr>
                <w:rFonts w:hint="eastAsia" w:cs="Times New Roman"/>
                <w:b/>
                <w:lang w:val="en-US" w:eastAsia="zh-CN"/>
              </w:rPr>
              <w:t>气</w:t>
            </w:r>
          </w:p>
          <w:p w14:paraId="1CCAA1DE">
            <w:pPr>
              <w:keepNext w:val="0"/>
              <w:keepLines w:val="0"/>
              <w:widowControl/>
              <w:suppressLineNumbers w:val="0"/>
              <w:jc w:val="left"/>
              <w:rPr>
                <w:rFonts w:cs="Times New Roman"/>
              </w:rPr>
            </w:pPr>
            <w:r>
              <w:rPr>
                <w:rFonts w:hint="eastAsia" w:ascii="宋体" w:hAnsi="宋体" w:eastAsia="宋体" w:cs="宋体"/>
                <w:color w:val="000000"/>
                <w:kern w:val="0"/>
                <w:sz w:val="24"/>
                <w:szCs w:val="24"/>
                <w:lang w:val="en-US" w:eastAsia="zh-CN" w:bidi="ar"/>
              </w:rPr>
              <w:t>本项目采用天然气作为能源，由园区天然气系统供给。</w:t>
            </w:r>
          </w:p>
          <w:p w14:paraId="55961877">
            <w:pPr>
              <w:ind w:firstLine="482"/>
              <w:rPr>
                <w:rFonts w:cs="Times New Roman"/>
                <w:b/>
              </w:rPr>
            </w:pPr>
            <w:r>
              <w:rPr>
                <w:rFonts w:cs="Times New Roman"/>
                <w:b/>
              </w:rPr>
              <w:t>（</w:t>
            </w:r>
            <w:r>
              <w:rPr>
                <w:rFonts w:hint="eastAsia" w:cs="Times New Roman"/>
                <w:b/>
                <w:lang w:val="en-US" w:eastAsia="zh-CN"/>
              </w:rPr>
              <w:t>3</w:t>
            </w:r>
            <w:r>
              <w:rPr>
                <w:rFonts w:cs="Times New Roman"/>
                <w:b/>
              </w:rPr>
              <w:t>）供水</w:t>
            </w:r>
          </w:p>
          <w:p w14:paraId="7F595ED6">
            <w:pPr>
              <w:ind w:firstLine="480"/>
              <w:rPr>
                <w:rFonts w:cs="Times New Roman"/>
              </w:rPr>
            </w:pPr>
            <w:r>
              <w:rPr>
                <w:rFonts w:cs="Times New Roman"/>
              </w:rPr>
              <w:t>本项目由市政自来水管网供水，</w:t>
            </w:r>
            <w:r>
              <w:rPr>
                <w:rFonts w:hint="eastAsia" w:cs="Times New Roman"/>
                <w:lang w:val="en-US" w:eastAsia="zh-CN"/>
              </w:rPr>
              <w:t>生产</w:t>
            </w:r>
            <w:r>
              <w:rPr>
                <w:rFonts w:cs="Times New Roman"/>
              </w:rPr>
              <w:t>用水</w:t>
            </w:r>
            <w:r>
              <w:rPr>
                <w:rFonts w:hint="eastAsia" w:cs="Times New Roman"/>
                <w:lang w:val="en-US" w:eastAsia="zh-CN"/>
              </w:rPr>
              <w:t>采用压滤废水、蒸汽养护冷凝水、自来水三类</w:t>
            </w:r>
            <w:r>
              <w:rPr>
                <w:rFonts w:cs="Times New Roman"/>
              </w:rPr>
              <w:t>。项目用水</w:t>
            </w:r>
            <w:r>
              <w:rPr>
                <w:rFonts w:hint="eastAsia" w:cs="Times New Roman"/>
                <w:lang w:val="en-US" w:eastAsia="zh-CN"/>
              </w:rPr>
              <w:t>具体分</w:t>
            </w:r>
            <w:r>
              <w:rPr>
                <w:rFonts w:cs="Times New Roman"/>
              </w:rPr>
              <w:t>为员工生活用水、</w:t>
            </w:r>
            <w:r>
              <w:rPr>
                <w:rFonts w:hint="eastAsia" w:cs="Times New Roman"/>
                <w:lang w:val="en-US" w:eastAsia="zh-CN"/>
              </w:rPr>
              <w:t>制砖用水（分为轮辊工序用水和养护工序用水）、脱酸塔用水、抑尘用水、车辆清洗用水</w:t>
            </w:r>
            <w:r>
              <w:rPr>
                <w:rFonts w:cs="Times New Roman"/>
              </w:rPr>
              <w:t>。</w:t>
            </w:r>
          </w:p>
          <w:p w14:paraId="7A267B99">
            <w:pPr>
              <w:ind w:left="0" w:leftChars="0" w:firstLine="482" w:firstLineChars="200"/>
              <w:jc w:val="both"/>
              <w:rPr>
                <w:rFonts w:cs="Times New Roman"/>
              </w:rPr>
            </w:pPr>
            <w:r>
              <w:rPr>
                <w:rFonts w:hint="eastAsia" w:cs="Times New Roman"/>
                <w:b/>
                <w:bCs/>
                <w:i/>
                <w:iCs/>
                <w:u w:val="single"/>
                <w:lang w:val="en-US" w:eastAsia="zh-CN"/>
              </w:rPr>
              <w:t>该部分内容涉密，不予公开。</w:t>
            </w:r>
          </w:p>
          <w:p w14:paraId="4249B52A">
            <w:pPr>
              <w:pStyle w:val="3"/>
              <w:numPr>
                <w:ilvl w:val="0"/>
                <w:numId w:val="0"/>
              </w:numPr>
              <w:spacing w:before="163"/>
              <w:ind w:left="0" w:leftChars="0" w:firstLine="0" w:firstLineChars="0"/>
              <w:rPr>
                <w:rFonts w:hint="eastAsia"/>
                <w:lang w:val="en-US" w:eastAsia="zh-CN"/>
              </w:rPr>
            </w:pPr>
            <w:r>
              <w:rPr>
                <w:rFonts w:hint="eastAsia" w:cs="Times New Roman"/>
                <w:b/>
                <w:kern w:val="2"/>
                <w:sz w:val="24"/>
                <w:szCs w:val="21"/>
                <w:lang w:val="en-US" w:eastAsia="zh-CN" w:bidi="ar-SA"/>
              </w:rPr>
              <w:t>8</w:t>
            </w:r>
            <w:r>
              <w:rPr>
                <w:rFonts w:hint="eastAsia" w:ascii="Times New Roman" w:hAnsi="Times New Roman" w:eastAsia="宋体" w:cs="Times New Roman"/>
                <w:b/>
                <w:kern w:val="2"/>
                <w:sz w:val="24"/>
                <w:szCs w:val="21"/>
                <w:lang w:val="en-US" w:eastAsia="zh-CN" w:bidi="ar-SA"/>
              </w:rPr>
              <w:t>、</w:t>
            </w:r>
            <w:r>
              <w:rPr>
                <w:rFonts w:hint="eastAsia"/>
                <w:lang w:val="en-US" w:eastAsia="zh-CN"/>
              </w:rPr>
              <w:t>物料平衡</w:t>
            </w:r>
          </w:p>
          <w:p w14:paraId="5F6E5A1E">
            <w:pPr>
              <w:ind w:left="0" w:leftChars="0" w:firstLine="482" w:firstLineChars="200"/>
              <w:jc w:val="both"/>
              <w:rPr>
                <w:rFonts w:hint="default" w:cs="Times New Roman"/>
                <w:b/>
                <w:bCs/>
                <w:i/>
                <w:iCs/>
                <w:u w:val="single"/>
                <w:lang w:val="en-US" w:eastAsia="zh-CN"/>
              </w:rPr>
            </w:pPr>
            <w:r>
              <w:rPr>
                <w:rFonts w:hint="eastAsia" w:cs="Times New Roman"/>
                <w:b/>
                <w:bCs/>
                <w:i/>
                <w:iCs/>
                <w:u w:val="single"/>
                <w:lang w:val="en-US" w:eastAsia="zh-CN"/>
              </w:rPr>
              <w:t>该部分内容涉密，不予公开。</w:t>
            </w:r>
          </w:p>
          <w:p w14:paraId="4FC74CBF">
            <w:pPr>
              <w:pStyle w:val="3"/>
              <w:spacing w:before="163" w:line="336" w:lineRule="auto"/>
            </w:pPr>
            <w:r>
              <w:t>9、厂区平面布置</w:t>
            </w:r>
          </w:p>
          <w:p w14:paraId="21C1ABAF">
            <w:pPr>
              <w:keepNext w:val="0"/>
              <w:keepLines w:val="0"/>
              <w:widowControl/>
              <w:suppressLineNumbers w:val="0"/>
              <w:spacing w:line="336" w:lineRule="auto"/>
              <w:jc w:val="left"/>
              <w:rPr>
                <w:rFonts w:hint="default" w:ascii="Times New Roman" w:hAnsi="Times New Roman" w:cs="Times New Roman"/>
                <w:color w:val="000000"/>
                <w:kern w:val="0"/>
                <w:sz w:val="24"/>
                <w:szCs w:val="24"/>
                <w:lang w:val="en-US" w:eastAsia="zh-CN" w:bidi="ar"/>
              </w:rPr>
            </w:pPr>
            <w:r>
              <w:rPr>
                <w:rFonts w:hint="default" w:ascii="Times New Roman" w:hAnsi="Times New Roman" w:cs="Times New Roman"/>
              </w:rPr>
              <w:t>本项目租赁位</w:t>
            </w:r>
            <w:r>
              <w:rPr>
                <w:rFonts w:hint="default" w:ascii="Times New Roman" w:hAnsi="Times New Roman" w:eastAsia="宋体" w:cs="Times New Roman"/>
                <w:color w:val="000000"/>
                <w:kern w:val="0"/>
                <w:sz w:val="24"/>
                <w:szCs w:val="24"/>
                <w:lang w:val="en-US" w:eastAsia="zh-CN" w:bidi="ar"/>
              </w:rPr>
              <w:t>租赁厂房位于四川省巴中市平昌县星光工业园施迈路1号</w:t>
            </w:r>
            <w:r>
              <w:rPr>
                <w:rFonts w:hint="default" w:ascii="Times New Roman" w:hAnsi="Times New Roman" w:cs="Times New Roman"/>
                <w:color w:val="000000"/>
                <w:kern w:val="0"/>
                <w:sz w:val="24"/>
                <w:szCs w:val="24"/>
                <w:lang w:val="en-US" w:eastAsia="zh-CN" w:bidi="ar"/>
              </w:rPr>
              <w:t>已建成厂区内，本项目租用</w:t>
            </w:r>
            <w:r>
              <w:rPr>
                <w:rFonts w:hint="default" w:ascii="Times New Roman" w:hAnsi="Times New Roman" w:eastAsia="宋体" w:cs="Times New Roman"/>
                <w:color w:val="000000"/>
                <w:kern w:val="0"/>
                <w:sz w:val="24"/>
                <w:szCs w:val="24"/>
                <w:lang w:val="en-US" w:eastAsia="zh-CN" w:bidi="ar"/>
              </w:rPr>
              <w:t>1号厂房、2号厂房、3号厂房</w:t>
            </w:r>
            <w:r>
              <w:rPr>
                <w:rFonts w:hint="default" w:ascii="Times New Roman" w:hAnsi="Times New Roman" w:cs="Times New Roman"/>
                <w:color w:val="000000"/>
                <w:kern w:val="0"/>
                <w:sz w:val="24"/>
                <w:szCs w:val="24"/>
                <w:lang w:val="en-US" w:eastAsia="zh-CN" w:bidi="ar"/>
              </w:rPr>
              <w:t>及办公楼（部分区域）、宿舍（部分区域）进行建设。</w:t>
            </w:r>
          </w:p>
          <w:p w14:paraId="56A0771E">
            <w:pPr>
              <w:spacing w:line="336" w:lineRule="auto"/>
              <w:ind w:firstLine="480"/>
              <w:rPr>
                <w:rFonts w:hint="default" w:ascii="Times New Roman" w:hAnsi="Times New Roman"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租赁厂房所在厂区已建设完成，</w:t>
            </w:r>
            <w:r>
              <w:rPr>
                <w:rFonts w:hint="default" w:ascii="Times New Roman" w:hAnsi="Times New Roman" w:cs="Times New Roman"/>
                <w:color w:val="000000"/>
                <w:kern w:val="0"/>
                <w:sz w:val="24"/>
                <w:szCs w:val="24"/>
                <w:lang w:val="en-US" w:eastAsia="zh-CN" w:bidi="ar"/>
              </w:rPr>
              <w:t>厂区南部区域自西向东依次设置办公楼、1号厂房、2号厂房、3号厂房、4号厂房、宿舍楼；厂区北侧区域自西向东设置5号、6号厂房</w:t>
            </w:r>
            <w:r>
              <w:rPr>
                <w:rFonts w:hint="default" w:ascii="Times New Roman" w:hAnsi="Times New Roman" w:eastAsia="宋体" w:cs="Times New Roman"/>
                <w:color w:val="000000"/>
                <w:kern w:val="0"/>
                <w:sz w:val="24"/>
                <w:szCs w:val="24"/>
                <w:lang w:val="en-US" w:eastAsia="zh-CN" w:bidi="ar"/>
              </w:rPr>
              <w:t>现状4号厂房为四川三科共兴再生资源有限公司</w:t>
            </w:r>
            <w:r>
              <w:rPr>
                <w:rFonts w:hint="default" w:ascii="Times New Roman" w:hAnsi="Times New Roman" w:cs="Times New Roman"/>
                <w:color w:val="000000"/>
                <w:kern w:val="0"/>
                <w:sz w:val="24"/>
                <w:szCs w:val="24"/>
                <w:lang w:val="en-US" w:eastAsia="zh-CN" w:bidi="ar"/>
              </w:rPr>
              <w:t>、6号厂房为</w:t>
            </w:r>
            <w:r>
              <w:rPr>
                <w:rFonts w:hint="default" w:ascii="Times New Roman" w:hAnsi="Times New Roman" w:eastAsia="宋体" w:cs="Times New Roman"/>
                <w:color w:val="000000"/>
                <w:kern w:val="0"/>
                <w:sz w:val="24"/>
                <w:szCs w:val="24"/>
                <w:lang w:val="en-US" w:eastAsia="zh-CN" w:bidi="ar"/>
              </w:rPr>
              <w:t>海博瑞四川智能包装有限公司，其余厂房均为空置。</w:t>
            </w:r>
            <w:r>
              <w:rPr>
                <w:rFonts w:hint="default" w:ascii="Times New Roman" w:hAnsi="Times New Roman" w:cs="Times New Roman"/>
                <w:color w:val="000000"/>
                <w:kern w:val="0"/>
                <w:sz w:val="24"/>
                <w:szCs w:val="24"/>
                <w:lang w:val="en-US" w:eastAsia="zh-CN" w:bidi="ar"/>
              </w:rPr>
              <w:t>4号、5号、6号厂房位于本项目3号厂房侧、北侧，已建办公楼位于1号西侧，宿舍楼位于4号厂房南侧，已建现状办公楼为空置状态，宿舍楼有少量其他公司人员住宿。1号厂房南侧已建成一个临时厂房（经核查原为</w:t>
            </w:r>
            <w:r>
              <w:rPr>
                <w:rFonts w:hint="default" w:ascii="Times New Roman" w:hAnsi="Times New Roman" w:eastAsia="宋体" w:cs="Times New Roman"/>
                <w:sz w:val="24"/>
                <w:szCs w:val="24"/>
              </w:rPr>
              <w:t>平</w:t>
            </w:r>
            <w:r>
              <w:rPr>
                <w:rFonts w:hint="default" w:ascii="Times New Roman" w:hAnsi="Times New Roman" w:eastAsia="宋体" w:cs="Times New Roman"/>
                <w:color w:val="000000"/>
                <w:kern w:val="0"/>
                <w:sz w:val="24"/>
                <w:szCs w:val="24"/>
                <w:lang w:val="en-US" w:eastAsia="zh-CN" w:bidi="ar"/>
              </w:rPr>
              <w:t>昌县Y101线高广路（高坑河桥至高升社区段）大修工程的临时场地，现状已废弃空置</w:t>
            </w:r>
            <w:r>
              <w:rPr>
                <w:rFonts w:hint="default" w:ascii="Times New Roman" w:hAnsi="Times New Roman" w:cs="Times New Roman"/>
                <w:color w:val="000000"/>
                <w:kern w:val="0"/>
                <w:sz w:val="24"/>
                <w:szCs w:val="24"/>
                <w:lang w:val="en-US" w:eastAsia="zh-CN" w:bidi="ar"/>
              </w:rPr>
              <w:t>）。</w:t>
            </w:r>
          </w:p>
          <w:p w14:paraId="72F5EFEC">
            <w:pPr>
              <w:spacing w:line="336" w:lineRule="auto"/>
              <w:ind w:firstLine="480"/>
              <w:rPr>
                <w:rFonts w:hint="default" w:ascii="Times New Roman" w:hAnsi="Times New Roman" w:cs="Times New Roman"/>
                <w:color w:val="000000"/>
                <w:kern w:val="0"/>
                <w:sz w:val="24"/>
                <w:szCs w:val="24"/>
                <w:lang w:val="en-US" w:eastAsia="zh-CN" w:bidi="ar"/>
              </w:rPr>
            </w:pPr>
            <w:r>
              <w:rPr>
                <w:rFonts w:hint="default" w:ascii="Times New Roman" w:hAnsi="Times New Roman" w:cs="Times New Roman"/>
                <w:color w:val="000000"/>
                <w:kern w:val="0"/>
                <w:sz w:val="24"/>
                <w:szCs w:val="24"/>
                <w:lang w:val="en-US" w:eastAsia="zh-CN" w:bidi="ar"/>
              </w:rPr>
              <w:t>本项目1号厂房主要设置</w:t>
            </w:r>
            <w:r>
              <w:rPr>
                <w:rFonts w:hint="eastAsia" w:cs="Times New Roman"/>
                <w:color w:val="000000"/>
                <w:kern w:val="0"/>
                <w:sz w:val="24"/>
                <w:szCs w:val="24"/>
                <w:lang w:val="en-US" w:eastAsia="zh-CN" w:bidi="ar"/>
              </w:rPr>
              <w:t>干水基岩屑堆存区和热脱附干渣堆存区</w:t>
            </w:r>
            <w:r>
              <w:rPr>
                <w:rFonts w:hint="default" w:ascii="Times New Roman" w:hAnsi="Times New Roman" w:cs="Times New Roman"/>
                <w:color w:val="000000"/>
                <w:kern w:val="0"/>
                <w:sz w:val="24"/>
                <w:szCs w:val="24"/>
                <w:lang w:val="en-US" w:eastAsia="zh-CN" w:bidi="ar"/>
              </w:rPr>
              <w:t>；2号厂房主要设置水基岩屑储存池、水基岩屑预处理系统、煅烧回转窑；3号厂房主要为免烧建筑基材生产线、砂石堆存区、成品区、</w:t>
            </w:r>
            <w:r>
              <w:rPr>
                <w:rFonts w:hint="eastAsia" w:cs="Times New Roman"/>
                <w:color w:val="000000"/>
                <w:kern w:val="0"/>
                <w:sz w:val="24"/>
                <w:szCs w:val="24"/>
                <w:lang w:val="en-US" w:eastAsia="zh-CN" w:bidi="ar"/>
              </w:rPr>
              <w:t>水稳层骨料</w:t>
            </w:r>
            <w:r>
              <w:rPr>
                <w:rFonts w:hint="default" w:ascii="Times New Roman" w:hAnsi="Times New Roman" w:cs="Times New Roman"/>
                <w:color w:val="000000"/>
                <w:kern w:val="0"/>
                <w:sz w:val="24"/>
                <w:szCs w:val="24"/>
                <w:lang w:val="en-US" w:eastAsia="zh-CN" w:bidi="ar"/>
              </w:rPr>
              <w:t>仓</w:t>
            </w:r>
            <w:r>
              <w:rPr>
                <w:rFonts w:hint="eastAsia" w:cs="Times New Roman"/>
                <w:color w:val="000000"/>
                <w:kern w:val="0"/>
                <w:sz w:val="24"/>
                <w:szCs w:val="24"/>
                <w:lang w:val="en-US" w:eastAsia="zh-CN" w:bidi="ar"/>
              </w:rPr>
              <w:t>、药剂堆存区、</w:t>
            </w:r>
            <w:r>
              <w:rPr>
                <w:rFonts w:hint="default" w:ascii="Times New Roman" w:hAnsi="Times New Roman" w:cs="Times New Roman"/>
                <w:color w:val="000000"/>
                <w:kern w:val="0"/>
                <w:sz w:val="24"/>
                <w:szCs w:val="24"/>
                <w:lang w:val="en-US" w:eastAsia="zh-CN" w:bidi="ar"/>
              </w:rPr>
              <w:t>危废暂存间</w:t>
            </w:r>
            <w:r>
              <w:rPr>
                <w:rFonts w:hint="eastAsia" w:cs="Times New Roman"/>
                <w:color w:val="000000"/>
                <w:kern w:val="0"/>
                <w:sz w:val="24"/>
                <w:szCs w:val="24"/>
                <w:lang w:val="en-US" w:eastAsia="zh-CN" w:bidi="ar"/>
              </w:rPr>
              <w:t>、</w:t>
            </w:r>
            <w:r>
              <w:rPr>
                <w:rFonts w:hint="default" w:ascii="Times New Roman" w:hAnsi="Times New Roman" w:cs="Times New Roman"/>
                <w:color w:val="000000"/>
                <w:kern w:val="0"/>
                <w:sz w:val="24"/>
                <w:szCs w:val="24"/>
                <w:lang w:val="en-US" w:eastAsia="zh-CN" w:bidi="ar"/>
              </w:rPr>
              <w:t>一般固废暂存间</w:t>
            </w:r>
            <w:r>
              <w:rPr>
                <w:rFonts w:hint="eastAsia" w:cs="Times New Roman"/>
                <w:color w:val="000000"/>
                <w:kern w:val="0"/>
                <w:sz w:val="24"/>
                <w:szCs w:val="24"/>
                <w:lang w:val="en-US" w:eastAsia="zh-CN" w:bidi="ar"/>
              </w:rPr>
              <w:t>、泵房和工具间</w:t>
            </w:r>
            <w:r>
              <w:rPr>
                <w:rFonts w:hint="default" w:ascii="Times New Roman" w:hAnsi="Times New Roman" w:cs="Times New Roman"/>
                <w:color w:val="000000"/>
                <w:kern w:val="0"/>
                <w:sz w:val="24"/>
                <w:szCs w:val="24"/>
                <w:lang w:val="en-US" w:eastAsia="zh-CN" w:bidi="ar"/>
              </w:rPr>
              <w:t>。</w:t>
            </w:r>
          </w:p>
          <w:p w14:paraId="1171FE6E">
            <w:pPr>
              <w:spacing w:line="336" w:lineRule="auto"/>
              <w:ind w:firstLine="480"/>
              <w:rPr>
                <w:rFonts w:hint="default" w:ascii="Times New Roman" w:hAnsi="Times New Roman" w:cs="Times New Roman"/>
                <w:lang w:val="en-US" w:eastAsia="zh-CN"/>
              </w:rPr>
            </w:pPr>
            <w:r>
              <w:rPr>
                <w:rFonts w:hint="default" w:ascii="Times New Roman" w:hAnsi="Times New Roman" w:cs="Times New Roman"/>
                <w:lang w:val="en-US" w:eastAsia="zh-CN"/>
              </w:rPr>
              <w:t>1号厂房平面布局：厂房自</w:t>
            </w:r>
            <w:r>
              <w:rPr>
                <w:rFonts w:hint="eastAsia" w:cs="Times New Roman"/>
                <w:lang w:val="en-US" w:eastAsia="zh-CN"/>
              </w:rPr>
              <w:t>西</w:t>
            </w:r>
            <w:r>
              <w:rPr>
                <w:rFonts w:hint="default" w:ascii="Times New Roman" w:hAnsi="Times New Roman" w:cs="Times New Roman"/>
                <w:lang w:val="en-US" w:eastAsia="zh-CN"/>
              </w:rPr>
              <w:t>向</w:t>
            </w:r>
            <w:r>
              <w:rPr>
                <w:rFonts w:hint="eastAsia" w:cs="Times New Roman"/>
                <w:lang w:val="en-US" w:eastAsia="zh-CN"/>
              </w:rPr>
              <w:t>东</w:t>
            </w:r>
            <w:r>
              <w:rPr>
                <w:rFonts w:hint="default" w:ascii="Times New Roman" w:hAnsi="Times New Roman" w:cs="Times New Roman"/>
                <w:lang w:val="en-US" w:eastAsia="zh-CN"/>
              </w:rPr>
              <w:t>设置</w:t>
            </w:r>
            <w:r>
              <w:rPr>
                <w:rFonts w:hint="eastAsia" w:cs="Times New Roman"/>
                <w:lang w:val="en-US" w:eastAsia="zh-CN"/>
              </w:rPr>
              <w:t>干水基岩屑堆存区、热脱附干渣堆存区。</w:t>
            </w:r>
          </w:p>
          <w:p w14:paraId="5EF01D29">
            <w:pPr>
              <w:spacing w:line="336" w:lineRule="auto"/>
              <w:ind w:firstLine="480"/>
              <w:rPr>
                <w:rFonts w:hint="default" w:ascii="Times New Roman" w:hAnsi="Times New Roman" w:cs="Times New Roman"/>
                <w:lang w:val="en-US" w:eastAsia="zh-CN"/>
              </w:rPr>
            </w:pPr>
            <w:r>
              <w:rPr>
                <w:rFonts w:hint="default" w:ascii="Times New Roman" w:hAnsi="Times New Roman" w:cs="Times New Roman"/>
                <w:lang w:val="en-US" w:eastAsia="zh-CN"/>
              </w:rPr>
              <w:t>2号厂房平面布局：厂房东侧自北向南设置水基岩屑（含水率80%）储存池（含滤液池）；厂房</w:t>
            </w:r>
            <w:r>
              <w:rPr>
                <w:rFonts w:hint="eastAsia" w:cs="Times New Roman"/>
                <w:lang w:val="en-US" w:eastAsia="zh-CN"/>
              </w:rPr>
              <w:t>东</w:t>
            </w:r>
            <w:r>
              <w:rPr>
                <w:rFonts w:hint="default" w:ascii="Times New Roman" w:hAnsi="Times New Roman" w:cs="Times New Roman"/>
                <w:lang w:val="en-US" w:eastAsia="zh-CN"/>
              </w:rPr>
              <w:t>侧自北向南设置水基岩屑预处理系统、煅烧生产线。煅烧废气治理设施及排气筒位于煅烧一体炉窑尾后，靠近煅烧生产线</w:t>
            </w:r>
            <w:r>
              <w:rPr>
                <w:rFonts w:hint="eastAsia" w:cs="Times New Roman"/>
                <w:lang w:val="en-US" w:eastAsia="zh-CN"/>
              </w:rPr>
              <w:t>，位于厂房东南侧</w:t>
            </w:r>
            <w:r>
              <w:rPr>
                <w:rFonts w:hint="default" w:ascii="Times New Roman" w:hAnsi="Times New Roman" w:cs="Times New Roman"/>
                <w:lang w:val="en-US" w:eastAsia="zh-CN"/>
              </w:rPr>
              <w:t>。</w:t>
            </w:r>
          </w:p>
          <w:p w14:paraId="64ABB82E">
            <w:pPr>
              <w:spacing w:line="336" w:lineRule="auto"/>
              <w:ind w:firstLine="480"/>
              <w:rPr>
                <w:rFonts w:hint="default" w:ascii="Times New Roman" w:hAnsi="Times New Roman" w:cs="Times New Roman"/>
                <w:lang w:val="en-US" w:eastAsia="zh-CN"/>
              </w:rPr>
            </w:pPr>
            <w:r>
              <w:rPr>
                <w:rFonts w:hint="default" w:ascii="Times New Roman" w:hAnsi="Times New Roman" w:cs="Times New Roman"/>
                <w:lang w:val="en-US" w:eastAsia="zh-CN"/>
              </w:rPr>
              <w:t>3号厂房平面布局：厂房内自</w:t>
            </w:r>
            <w:r>
              <w:rPr>
                <w:rFonts w:hint="eastAsia" w:cs="Times New Roman"/>
                <w:lang w:val="en-US" w:eastAsia="zh-CN"/>
              </w:rPr>
              <w:t>西</w:t>
            </w:r>
            <w:r>
              <w:rPr>
                <w:rFonts w:hint="default" w:ascii="Times New Roman" w:hAnsi="Times New Roman" w:cs="Times New Roman"/>
                <w:lang w:val="en-US" w:eastAsia="zh-CN"/>
              </w:rPr>
              <w:t>向</w:t>
            </w:r>
            <w:r>
              <w:rPr>
                <w:rFonts w:hint="eastAsia" w:cs="Times New Roman"/>
                <w:lang w:val="en-US" w:eastAsia="zh-CN"/>
              </w:rPr>
              <w:t>东</w:t>
            </w:r>
            <w:r>
              <w:rPr>
                <w:rFonts w:hint="default" w:ascii="Times New Roman" w:hAnsi="Times New Roman" w:cs="Times New Roman"/>
                <w:lang w:val="en-US" w:eastAsia="zh-CN"/>
              </w:rPr>
              <w:t>依次设置</w:t>
            </w:r>
            <w:r>
              <w:rPr>
                <w:rFonts w:hint="eastAsia" w:cs="Times New Roman"/>
                <w:lang w:val="en-US" w:eastAsia="zh-CN"/>
              </w:rPr>
              <w:t>危废暂存间、一般固废暂存间、工具间、泵房</w:t>
            </w:r>
            <w:r>
              <w:rPr>
                <w:rFonts w:hint="default" w:ascii="Times New Roman" w:hAnsi="Times New Roman" w:cs="Times New Roman"/>
                <w:lang w:val="en-US" w:eastAsia="zh-CN"/>
              </w:rPr>
              <w:t>、</w:t>
            </w:r>
            <w:r>
              <w:rPr>
                <w:rFonts w:hint="eastAsia" w:cs="Times New Roman"/>
                <w:lang w:val="en-US" w:eastAsia="zh-CN"/>
              </w:rPr>
              <w:t>砂石堆存区、水泥筒仓、药剂堆放区、水稳层骨料堆存区、码垛养护区、</w:t>
            </w:r>
            <w:r>
              <w:rPr>
                <w:rFonts w:hint="default" w:ascii="Times New Roman" w:hAnsi="Times New Roman" w:cs="Times New Roman"/>
                <w:lang w:val="en-US" w:eastAsia="zh-CN"/>
              </w:rPr>
              <w:t>免烧建筑基材生产线。布袋除尘器及排气筒位于厂房内</w:t>
            </w:r>
            <w:r>
              <w:rPr>
                <w:rFonts w:hint="eastAsia" w:cs="Times New Roman"/>
                <w:lang w:val="en-US" w:eastAsia="zh-CN"/>
              </w:rPr>
              <w:t>东南</w:t>
            </w:r>
            <w:r>
              <w:rPr>
                <w:rFonts w:hint="default" w:ascii="Times New Roman" w:hAnsi="Times New Roman" w:cs="Times New Roman"/>
                <w:lang w:val="en-US" w:eastAsia="zh-CN"/>
              </w:rPr>
              <w:t>侧，靠近免烧建筑基材生产线。</w:t>
            </w:r>
          </w:p>
          <w:p w14:paraId="2A448C1C">
            <w:pPr>
              <w:spacing w:line="336" w:lineRule="auto"/>
              <w:ind w:firstLine="480"/>
              <w:rPr>
                <w:rFonts w:hint="default" w:ascii="Times New Roman" w:hAnsi="Times New Roman" w:cs="Times New Roman"/>
                <w:vertAlign w:val="baseline"/>
                <w:lang w:val="en-US" w:eastAsia="zh-CN"/>
              </w:rPr>
            </w:pPr>
            <w:r>
              <w:rPr>
                <w:rFonts w:hint="eastAsia" w:cs="Times New Roman"/>
                <w:lang w:val="en-US" w:eastAsia="zh-CN"/>
              </w:rPr>
              <w:t>成品堆存位于2号、3号厂房东南侧；</w:t>
            </w:r>
            <w:r>
              <w:rPr>
                <w:rFonts w:hint="default" w:ascii="Times New Roman" w:hAnsi="Times New Roman" w:cs="Times New Roman"/>
                <w:lang w:val="en-US" w:eastAsia="zh-CN"/>
              </w:rPr>
              <w:t>办公区位于生产厂房外，位于1号厂房西侧，租用已建办公楼1F部分区域设置，设置1间食堂</w:t>
            </w:r>
            <w:r>
              <w:rPr>
                <w:rFonts w:hint="default" w:ascii="Times New Roman" w:hAnsi="Times New Roman" w:cs="Times New Roman"/>
                <w:vertAlign w:val="baseline"/>
                <w:lang w:val="en-US" w:eastAsia="zh-CN"/>
              </w:rPr>
              <w:t>。宿舍位于3号厂房外东南侧，本项目租用部分房间用于人员住，</w:t>
            </w:r>
            <w:r>
              <w:rPr>
                <w:rFonts w:hint="eastAsia" w:cs="Times New Roman"/>
                <w:vertAlign w:val="baseline"/>
                <w:lang w:val="en-US" w:eastAsia="zh-CN"/>
              </w:rPr>
              <w:t>宿</w:t>
            </w:r>
            <w:r>
              <w:rPr>
                <w:rFonts w:hint="default" w:ascii="Times New Roman" w:hAnsi="Times New Roman" w:cs="Times New Roman"/>
                <w:lang w:val="en-US" w:eastAsia="zh-CN"/>
              </w:rPr>
              <w:t>舍楼旁已建有一座10m</w:t>
            </w:r>
            <w:r>
              <w:rPr>
                <w:rFonts w:hint="default" w:ascii="Times New Roman" w:hAnsi="Times New Roman" w:cs="Times New Roman"/>
                <w:vertAlign w:val="superscript"/>
                <w:lang w:val="en-US" w:eastAsia="zh-CN"/>
              </w:rPr>
              <w:t>3</w:t>
            </w:r>
            <w:r>
              <w:rPr>
                <w:rFonts w:hint="default" w:ascii="Times New Roman" w:hAnsi="Times New Roman" w:cs="Times New Roman"/>
                <w:vertAlign w:val="baseline"/>
                <w:lang w:val="en-US" w:eastAsia="zh-CN"/>
              </w:rPr>
              <w:t>预处理池。</w:t>
            </w:r>
          </w:p>
          <w:p w14:paraId="478F94A5">
            <w:pPr>
              <w:spacing w:line="336" w:lineRule="auto"/>
              <w:ind w:firstLine="480"/>
              <w:rPr>
                <w:rFonts w:hint="default" w:ascii="Times New Roman" w:hAnsi="Times New Roman" w:cs="Times New Roman"/>
              </w:rPr>
            </w:pPr>
            <w:r>
              <w:rPr>
                <w:rFonts w:hint="default" w:ascii="Times New Roman" w:hAnsi="Times New Roman" w:cs="Times New Roman"/>
                <w:lang w:val="en-US" w:eastAsia="zh-CN"/>
              </w:rPr>
              <w:t>综上所述，项目平面布置功能分区明确，紧凑合理，分区相对独立又联系紧密，</w:t>
            </w:r>
            <w:r>
              <w:rPr>
                <w:rFonts w:hint="default" w:ascii="Times New Roman" w:hAnsi="Times New Roman" w:cs="Times New Roman"/>
                <w:szCs w:val="24"/>
                <w:lang w:bidi="ar"/>
              </w:rPr>
              <w:t>各设施按照工艺流程进行合理布设，物料输送便捷，满足物料流程的需要及物料快捷输送</w:t>
            </w:r>
            <w:r>
              <w:rPr>
                <w:rFonts w:hint="default" w:ascii="Times New Roman" w:hAnsi="Times New Roman" w:cs="Times New Roman"/>
                <w:szCs w:val="24"/>
                <w:lang w:eastAsia="zh-CN" w:bidi="ar"/>
              </w:rPr>
              <w:t>，</w:t>
            </w:r>
            <w:r>
              <w:rPr>
                <w:rFonts w:hint="default" w:ascii="Times New Roman" w:hAnsi="Times New Roman" w:cs="Times New Roman"/>
                <w:szCs w:val="24"/>
                <w:lang w:val="en-US" w:eastAsia="zh-CN" w:bidi="ar"/>
              </w:rPr>
              <w:t>满足使用功能需求</w:t>
            </w:r>
            <w:r>
              <w:rPr>
                <w:rFonts w:hint="default" w:ascii="Times New Roman" w:hAnsi="Times New Roman" w:cs="Times New Roman"/>
                <w:szCs w:val="24"/>
                <w:lang w:bidi="ar"/>
              </w:rPr>
              <w:t>。</w:t>
            </w:r>
          </w:p>
          <w:p w14:paraId="082B2103">
            <w:pPr>
              <w:spacing w:line="336" w:lineRule="auto"/>
              <w:ind w:firstLine="480"/>
              <w:rPr>
                <w:rFonts w:hint="default" w:ascii="Times New Roman" w:hAnsi="Times New Roman" w:eastAsia="宋体" w:cs="Times New Roman"/>
                <w:lang w:val="en-US" w:eastAsia="zh-CN"/>
              </w:rPr>
            </w:pPr>
            <w:r>
              <w:rPr>
                <w:rFonts w:hint="default" w:ascii="Times New Roman" w:hAnsi="Times New Roman" w:cs="Times New Roman"/>
              </w:rPr>
              <w:t>本项目周边500m范围内主要</w:t>
            </w:r>
            <w:r>
              <w:rPr>
                <w:rFonts w:hint="default" w:ascii="Times New Roman" w:hAnsi="Times New Roman" w:cs="Times New Roman"/>
                <w:lang w:val="en-US" w:eastAsia="zh-CN"/>
              </w:rPr>
              <w:t>为企业、园区道路和待建空地</w:t>
            </w:r>
            <w:r>
              <w:rPr>
                <w:rFonts w:hint="default" w:ascii="Times New Roman" w:hAnsi="Times New Roman" w:cs="Times New Roman"/>
                <w:szCs w:val="24"/>
                <w:lang w:bidi="ar"/>
              </w:rPr>
              <w:t>，本</w:t>
            </w:r>
            <w:r>
              <w:rPr>
                <w:rFonts w:hint="default" w:ascii="Times New Roman" w:hAnsi="Times New Roman" w:cs="Times New Roman"/>
              </w:rPr>
              <w:t>项目采取环评要求的环保措施后，各污染物均能达标排放，不会对周边环境造成明显影响。</w:t>
            </w:r>
            <w:r>
              <w:rPr>
                <w:rFonts w:hint="default" w:ascii="Times New Roman" w:hAnsi="Times New Roman" w:cs="Times New Roman"/>
                <w:lang w:val="en-US" w:eastAsia="zh-CN"/>
              </w:rPr>
              <w:t>本项目生产区域尽量靠西侧布置，最</w:t>
            </w:r>
            <w:r>
              <w:rPr>
                <w:rFonts w:hint="eastAsia" w:cs="Times New Roman"/>
                <w:lang w:val="en-US" w:eastAsia="zh-CN"/>
              </w:rPr>
              <w:t>大程度</w:t>
            </w:r>
            <w:r>
              <w:rPr>
                <w:rFonts w:hint="default" w:ascii="Times New Roman" w:hAnsi="Times New Roman" w:cs="Times New Roman"/>
                <w:lang w:val="en-US" w:eastAsia="zh-CN"/>
              </w:rPr>
              <w:t>减少对厂区宿舍楼的影响。</w:t>
            </w:r>
          </w:p>
          <w:p w14:paraId="607C5D86">
            <w:pPr>
              <w:spacing w:line="336" w:lineRule="auto"/>
              <w:ind w:firstLine="480"/>
              <w:rPr>
                <w:rFonts w:hint="default" w:ascii="Times New Roman" w:hAnsi="Times New Roman" w:cs="Times New Roman"/>
                <w:szCs w:val="24"/>
                <w:lang w:bidi="ar"/>
              </w:rPr>
            </w:pPr>
            <w:r>
              <w:rPr>
                <w:rFonts w:hint="default" w:ascii="Times New Roman" w:hAnsi="Times New Roman" w:cs="Times New Roman"/>
              </w:rPr>
              <w:t>危废暂存间和一般固废间布置在</w:t>
            </w:r>
            <w:r>
              <w:rPr>
                <w:rFonts w:hint="default" w:ascii="Times New Roman" w:hAnsi="Times New Roman" w:cs="Times New Roman"/>
                <w:lang w:val="en-US" w:eastAsia="zh-CN"/>
              </w:rPr>
              <w:t>3号厂房内</w:t>
            </w:r>
            <w:r>
              <w:rPr>
                <w:rFonts w:hint="default" w:ascii="Times New Roman" w:hAnsi="Times New Roman" w:cs="Times New Roman"/>
              </w:rPr>
              <w:t>，各设置1间独立房间，每间占地面积约10m</w:t>
            </w:r>
            <w:r>
              <w:rPr>
                <w:rFonts w:hint="default" w:ascii="Times New Roman" w:hAnsi="Times New Roman" w:cs="Times New Roman"/>
                <w:vertAlign w:val="superscript"/>
              </w:rPr>
              <w:t>2</w:t>
            </w:r>
            <w:r>
              <w:rPr>
                <w:rFonts w:hint="default" w:ascii="Times New Roman" w:hAnsi="Times New Roman" w:cs="Times New Roman"/>
              </w:rPr>
              <w:t>，设置</w:t>
            </w:r>
            <w:r>
              <w:rPr>
                <w:rFonts w:hint="default" w:ascii="Times New Roman" w:hAnsi="Times New Roman" w:cs="Times New Roman"/>
                <w:szCs w:val="24"/>
                <w:lang w:bidi="ar"/>
              </w:rPr>
              <w:t>相应的防雨防渗漏及防流失措施，并设置明显标志，其布局较合理。</w:t>
            </w:r>
          </w:p>
          <w:p w14:paraId="0E69C698">
            <w:pPr>
              <w:spacing w:line="336" w:lineRule="auto"/>
              <w:ind w:firstLine="480"/>
              <w:rPr>
                <w:rFonts w:hint="default" w:ascii="Times New Roman" w:hAnsi="Times New Roman" w:cs="Times New Roman"/>
              </w:rPr>
            </w:pPr>
            <w:r>
              <w:rPr>
                <w:rFonts w:hint="default" w:ascii="Times New Roman" w:hAnsi="Times New Roman" w:cs="Times New Roman"/>
              </w:rPr>
              <w:t>设备在车间内总体上按工艺顺序进行布置，减少物料运输距离，工艺流程顺畅。生产区对办公区影响较小。</w:t>
            </w:r>
          </w:p>
          <w:p w14:paraId="6E9AAD9D">
            <w:pPr>
              <w:spacing w:line="336" w:lineRule="auto"/>
              <w:ind w:firstLine="480"/>
              <w:rPr>
                <w:rFonts w:cs="Times New Roman"/>
                <w:lang w:bidi="ar"/>
              </w:rPr>
            </w:pPr>
            <w:r>
              <w:rPr>
                <w:rFonts w:hint="default" w:ascii="Times New Roman" w:hAnsi="Times New Roman" w:cs="Times New Roman"/>
                <w:lang w:bidi="ar"/>
              </w:rPr>
              <w:t>综上，本项目平面布置从方便生产、安全管理和保护环境等方面进行综合考虑，认真贯彻执行国家现行的防火、防爆、安全、卫生、环境保护等规范要求，在总图布置过</w:t>
            </w:r>
            <w:r>
              <w:rPr>
                <w:rFonts w:hint="eastAsia" w:cs="Times New Roman"/>
                <w:lang w:eastAsia="zh-CN" w:bidi="ar"/>
              </w:rPr>
              <w:t>程中</w:t>
            </w:r>
            <w:r>
              <w:rPr>
                <w:rFonts w:hint="default" w:ascii="Times New Roman" w:hAnsi="Times New Roman" w:cs="Times New Roman"/>
                <w:lang w:bidi="ar"/>
              </w:rPr>
              <w:t>结合厂址场地具体条件，综合考虑了生产工艺流程顺畅，各生产</w:t>
            </w:r>
            <w:r>
              <w:rPr>
                <w:rFonts w:cs="Times New Roman"/>
                <w:lang w:bidi="ar"/>
              </w:rPr>
              <w:t>环节连接紧凑，物料输送距离短，便于节能降耗，提高生产效率。综上所述，拟建项目总平面布置做到功能区明确、工艺管线短捷、物流顺畅、布局紧凑合理、节约用地，厂区总平面布置基本合理。</w:t>
            </w:r>
          </w:p>
          <w:p w14:paraId="43BE54FA">
            <w:pPr>
              <w:ind w:firstLine="0" w:firstLineChars="0"/>
              <w:rPr>
                <w:rFonts w:cs="Times New Roman"/>
                <w:lang w:bidi="ar"/>
              </w:rPr>
            </w:pPr>
          </w:p>
        </w:tc>
      </w:tr>
      <w:tr w14:paraId="675C76D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737" w:hRule="atLeast"/>
          <w:jc w:val="center"/>
        </w:trPr>
        <w:tc>
          <w:tcPr>
            <w:tcW w:w="214" w:type="pct"/>
            <w:tcMar>
              <w:top w:w="16" w:type="dxa"/>
              <w:left w:w="16" w:type="dxa"/>
              <w:right w:w="16" w:type="dxa"/>
            </w:tcMar>
            <w:vAlign w:val="center"/>
          </w:tcPr>
          <w:p w14:paraId="1927ACBC">
            <w:pPr>
              <w:pStyle w:val="24"/>
              <w:rPr>
                <w:rFonts w:cs="Times New Roman"/>
              </w:rPr>
            </w:pPr>
            <w:r>
              <w:rPr>
                <w:rFonts w:cs="Times New Roman"/>
                <w:sz w:val="24"/>
                <w:szCs w:val="28"/>
              </w:rPr>
              <w:t>工艺流程和产排污环节</w:t>
            </w:r>
          </w:p>
        </w:tc>
        <w:tc>
          <w:tcPr>
            <w:tcW w:w="4786" w:type="pct"/>
            <w:vAlign w:val="center"/>
          </w:tcPr>
          <w:p w14:paraId="236FDA6D">
            <w:pPr>
              <w:pStyle w:val="3"/>
              <w:spacing w:before="163"/>
            </w:pPr>
            <w:r>
              <w:t>1、施工期工艺流程及产物环节分析</w:t>
            </w:r>
          </w:p>
          <w:p w14:paraId="600AEC70">
            <w:pPr>
              <w:ind w:firstLine="482"/>
              <w:rPr>
                <w:rFonts w:cs="Times New Roman"/>
                <w:b/>
              </w:rPr>
            </w:pPr>
            <w:r>
              <w:rPr>
                <w:rFonts w:cs="Times New Roman"/>
                <w:b/>
              </w:rPr>
              <w:t>（1）施工期工艺流程</w:t>
            </w:r>
          </w:p>
          <w:p w14:paraId="64DC3DF5">
            <w:pPr>
              <w:keepNext w:val="0"/>
              <w:keepLines w:val="0"/>
              <w:widowControl/>
              <w:suppressLineNumbers w:val="0"/>
              <w:jc w:val="left"/>
              <w:rPr>
                <w:rFonts w:cs="Times New Roman"/>
              </w:rPr>
            </w:pPr>
            <w:r>
              <w:rPr>
                <w:rFonts w:cs="Times New Roman"/>
                <w:szCs w:val="32"/>
              </w:rPr>
              <w:t>本项目</w:t>
            </w:r>
            <w:r>
              <w:rPr>
                <w:rFonts w:hint="eastAsia" w:cs="Times New Roman"/>
                <w:szCs w:val="32"/>
                <w:lang w:val="en-US" w:eastAsia="zh-CN"/>
              </w:rPr>
              <w:t>为新建项目，根据现场勘察，租用已建成厂房作为生产区域。</w:t>
            </w:r>
            <w:r>
              <w:rPr>
                <w:rFonts w:cs="Times New Roman"/>
                <w:szCs w:val="32"/>
              </w:rPr>
              <w:t>施工期主要工序为厂房适应性改造</w:t>
            </w:r>
            <w:r>
              <w:rPr>
                <w:rFonts w:hint="eastAsia" w:cs="Times New Roman"/>
                <w:szCs w:val="32"/>
                <w:lang w:eastAsia="zh-CN"/>
              </w:rPr>
              <w:t>（</w:t>
            </w:r>
            <w:r>
              <w:rPr>
                <w:rFonts w:hint="eastAsia" w:cs="Times New Roman"/>
                <w:szCs w:val="32"/>
                <w:lang w:val="en-US" w:eastAsia="zh-CN"/>
              </w:rPr>
              <w:t>2号厂房扩建</w:t>
            </w:r>
            <w:r>
              <w:rPr>
                <w:rFonts w:hint="eastAsia" w:cs="Times New Roman"/>
                <w:szCs w:val="32"/>
                <w:lang w:eastAsia="zh-CN"/>
              </w:rPr>
              <w:t>）</w:t>
            </w:r>
            <w:r>
              <w:rPr>
                <w:rFonts w:cs="Times New Roman"/>
                <w:szCs w:val="32"/>
              </w:rPr>
              <w:t>、设备安装调试</w:t>
            </w:r>
            <w:r>
              <w:rPr>
                <w:rFonts w:hint="eastAsia" w:cs="Times New Roman"/>
                <w:szCs w:val="32"/>
                <w:lang w:eastAsia="zh-CN"/>
              </w:rPr>
              <w:t>；</w:t>
            </w:r>
            <w:r>
              <w:rPr>
                <w:rFonts w:hint="eastAsia" w:cs="Times New Roman"/>
                <w:szCs w:val="32"/>
                <w:lang w:val="en-US" w:eastAsia="zh-CN"/>
              </w:rPr>
              <w:t>2号厂房的水基岩屑储存池和滤液池涉及基建开挖以及厂房的扩建。</w:t>
            </w:r>
            <w:r>
              <w:rPr>
                <w:rFonts w:cs="Times New Roman"/>
              </w:rPr>
              <w:t>项目施工期主要污染物为扬尘、废气、噪声、生活污水、生活垃圾、建筑垃圾等</w:t>
            </w:r>
            <w:r>
              <w:rPr>
                <w:rFonts w:hint="eastAsia" w:cs="Times New Roman"/>
                <w:lang w:eastAsia="zh-CN"/>
              </w:rPr>
              <w:t>，</w:t>
            </w:r>
            <w:r>
              <w:rPr>
                <w:rFonts w:hint="eastAsia" w:ascii="宋体" w:hAnsi="宋体" w:eastAsia="宋体" w:cs="宋体"/>
                <w:color w:val="000000"/>
                <w:kern w:val="0"/>
                <w:sz w:val="24"/>
                <w:szCs w:val="24"/>
                <w:lang w:val="en-US" w:eastAsia="zh-CN" w:bidi="ar"/>
              </w:rPr>
              <w:t>其排放量较小，随着施工期的结束而消失，本次评价对施工期</w:t>
            </w:r>
            <w:r>
              <w:rPr>
                <w:rFonts w:hint="eastAsia" w:ascii="宋体" w:hAnsi="宋体" w:cs="宋体"/>
                <w:color w:val="000000"/>
                <w:kern w:val="0"/>
                <w:sz w:val="24"/>
                <w:szCs w:val="24"/>
                <w:lang w:val="en-US" w:eastAsia="zh-CN" w:bidi="ar"/>
              </w:rPr>
              <w:t>做</w:t>
            </w:r>
            <w:r>
              <w:rPr>
                <w:rFonts w:hint="eastAsia" w:ascii="宋体" w:hAnsi="宋体" w:eastAsia="宋体" w:cs="宋体"/>
                <w:color w:val="000000"/>
                <w:kern w:val="0"/>
                <w:sz w:val="24"/>
                <w:szCs w:val="24"/>
                <w:lang w:val="en-US" w:eastAsia="zh-CN" w:bidi="ar"/>
              </w:rPr>
              <w:t>简要分析。</w:t>
            </w:r>
            <w:r>
              <w:rPr>
                <w:rFonts w:cs="Times New Roman"/>
              </w:rPr>
              <w:t>施工期工艺流程见下图。</w:t>
            </w:r>
          </w:p>
          <w:p w14:paraId="4EE260CD">
            <w:pPr>
              <w:keepNext/>
              <w:spacing w:line="240" w:lineRule="auto"/>
              <w:ind w:firstLine="0" w:firstLineChars="0"/>
              <w:jc w:val="center"/>
              <w:rPr>
                <w:rFonts w:cs="Times New Roman"/>
              </w:rPr>
            </w:pPr>
            <w:r>
              <w:rPr>
                <w:rFonts w:cs="Times New Roman"/>
              </w:rPr>
              <w:object>
                <v:shape id="_x0000_i1025" o:spt="75" type="#_x0000_t75" style="height:227.4pt;width:404.25pt;" o:ole="t" filled="f" o:preferrelative="t" stroked="f" coordsize="21600,21600">
                  <v:path/>
                  <v:fill on="f" focussize="0,0"/>
                  <v:stroke on="f"/>
                  <v:imagedata r:id="rId22" o:title=""/>
                  <o:lock v:ext="edit" aspectratio="t"/>
                  <w10:wrap type="none"/>
                  <w10:anchorlock/>
                </v:shape>
                <o:OLEObject Type="Embed" ProgID="Visio.Drawing.15" ShapeID="_x0000_i1025" DrawAspect="Content" ObjectID="_1468075725" r:id="rId21">
                  <o:LockedField>false</o:LockedField>
                </o:OLEObject>
              </w:object>
            </w:r>
          </w:p>
          <w:p w14:paraId="004C3F08">
            <w:pPr>
              <w:pStyle w:val="11"/>
              <w:spacing w:line="240" w:lineRule="auto"/>
              <w:rPr>
                <w:rFonts w:cs="Times New Roman"/>
              </w:rPr>
            </w:pPr>
            <w:r>
              <w:rPr>
                <w:rFonts w:cs="Times New Roman"/>
              </w:rPr>
              <w:t>图</w:t>
            </w:r>
            <w:r>
              <w:rPr>
                <w:rFonts w:hint="eastAsia" w:cs="Times New Roman"/>
                <w:lang w:val="en-US" w:eastAsia="zh-CN"/>
              </w:rPr>
              <w:t>2</w:t>
            </w:r>
            <w:r>
              <w:rPr>
                <w:rFonts w:cs="Times New Roman"/>
              </w:rPr>
              <w:noBreakHyphen/>
            </w:r>
            <w:r>
              <w:rPr>
                <w:rFonts w:cs="Times New Roman"/>
              </w:rPr>
              <w:fldChar w:fldCharType="begin"/>
            </w:r>
            <w:r>
              <w:rPr>
                <w:rFonts w:cs="Times New Roman"/>
              </w:rPr>
              <w:instrText xml:space="preserve"> SEQ 图 \* ARABIC \s 1 </w:instrText>
            </w:r>
            <w:r>
              <w:rPr>
                <w:rFonts w:cs="Times New Roman"/>
              </w:rPr>
              <w:fldChar w:fldCharType="separate"/>
            </w:r>
            <w:r>
              <w:rPr>
                <w:rFonts w:cs="Times New Roman"/>
              </w:rPr>
              <w:t>1</w:t>
            </w:r>
            <w:r>
              <w:rPr>
                <w:rFonts w:cs="Times New Roman"/>
              </w:rPr>
              <w:fldChar w:fldCharType="end"/>
            </w:r>
            <w:r>
              <w:rPr>
                <w:rFonts w:cs="Times New Roman"/>
              </w:rPr>
              <w:t xml:space="preserve"> 施工期</w:t>
            </w:r>
            <w:r>
              <w:rPr>
                <w:rFonts w:hint="eastAsia" w:cs="Times New Roman"/>
                <w:lang w:val="en-US" w:eastAsia="zh-CN"/>
              </w:rPr>
              <w:t>1号、3号厂房</w:t>
            </w:r>
            <w:r>
              <w:rPr>
                <w:rFonts w:cs="Times New Roman"/>
              </w:rPr>
              <w:t>工艺流程及产物环节图</w:t>
            </w:r>
          </w:p>
          <w:p w14:paraId="0854C619">
            <w:pPr>
              <w:pStyle w:val="11"/>
              <w:spacing w:line="240" w:lineRule="auto"/>
              <w:rPr>
                <w:rFonts w:cs="Times New Roman"/>
              </w:rPr>
            </w:pPr>
            <w:r>
              <w:rPr>
                <w:rFonts w:cs="Times New Roman"/>
              </w:rPr>
              <w:object>
                <v:shape id="_x0000_i1026" o:spt="75" type="#_x0000_t75" style="height:221.65pt;width:464.95pt;" o:ole="t" filled="f" o:preferrelative="t" stroked="f" coordsize="21600,21600">
                  <v:path/>
                  <v:fill on="f" focussize="0,0"/>
                  <v:stroke on="f"/>
                  <v:imagedata r:id="rId24" o:title=""/>
                  <o:lock v:ext="edit" aspectratio="t"/>
                  <w10:wrap type="none"/>
                  <w10:anchorlock/>
                </v:shape>
                <o:OLEObject Type="Embed" ProgID="Visio.Drawing.15" ShapeID="_x0000_i1026" DrawAspect="Content" ObjectID="_1468075726" r:id="rId23">
                  <o:LockedField>false</o:LockedField>
                </o:OLEObject>
              </w:object>
            </w:r>
          </w:p>
          <w:p w14:paraId="245C57DE">
            <w:pPr>
              <w:pStyle w:val="11"/>
              <w:spacing w:line="240" w:lineRule="auto"/>
              <w:rPr>
                <w:rFonts w:cs="Times New Roman"/>
              </w:rPr>
            </w:pPr>
            <w:r>
              <w:rPr>
                <w:rFonts w:cs="Times New Roman"/>
              </w:rPr>
              <w:t>图</w:t>
            </w:r>
            <w:r>
              <w:rPr>
                <w:rFonts w:hint="eastAsia" w:cs="Times New Roman"/>
                <w:lang w:val="en-US" w:eastAsia="zh-CN"/>
              </w:rPr>
              <w:t>2</w:t>
            </w:r>
            <w:r>
              <w:rPr>
                <w:rFonts w:cs="Times New Roman"/>
              </w:rPr>
              <w:noBreakHyphen/>
            </w:r>
            <w:r>
              <w:rPr>
                <w:rFonts w:cs="Times New Roman"/>
              </w:rPr>
              <w:fldChar w:fldCharType="begin"/>
            </w:r>
            <w:r>
              <w:rPr>
                <w:rFonts w:cs="Times New Roman"/>
              </w:rPr>
              <w:instrText xml:space="preserve"> SEQ 图 \* ARABIC \s 1 </w:instrText>
            </w:r>
            <w:r>
              <w:rPr>
                <w:rFonts w:cs="Times New Roman"/>
              </w:rPr>
              <w:fldChar w:fldCharType="separate"/>
            </w:r>
            <w:r>
              <w:rPr>
                <w:rFonts w:cs="Times New Roman"/>
              </w:rPr>
              <w:t>2</w:t>
            </w:r>
            <w:r>
              <w:rPr>
                <w:rFonts w:cs="Times New Roman"/>
              </w:rPr>
              <w:fldChar w:fldCharType="end"/>
            </w:r>
            <w:r>
              <w:rPr>
                <w:rFonts w:cs="Times New Roman"/>
              </w:rPr>
              <w:t xml:space="preserve"> 施工期</w:t>
            </w:r>
            <w:r>
              <w:rPr>
                <w:rFonts w:hint="eastAsia" w:cs="Times New Roman"/>
                <w:lang w:val="en-US" w:eastAsia="zh-CN"/>
              </w:rPr>
              <w:t>2号厂房</w:t>
            </w:r>
            <w:r>
              <w:rPr>
                <w:rFonts w:cs="Times New Roman"/>
              </w:rPr>
              <w:t>工艺流程及产物环节图</w:t>
            </w:r>
          </w:p>
          <w:p w14:paraId="1A73DA6D">
            <w:pPr>
              <w:ind w:firstLine="482"/>
              <w:rPr>
                <w:rFonts w:cs="Times New Roman"/>
                <w:b/>
              </w:rPr>
            </w:pPr>
            <w:r>
              <w:rPr>
                <w:rFonts w:cs="Times New Roman"/>
                <w:b/>
              </w:rPr>
              <w:t>（2）施工期主要污染物产生情况</w:t>
            </w:r>
          </w:p>
          <w:p w14:paraId="589F3445">
            <w:pPr>
              <w:ind w:firstLine="480"/>
              <w:rPr>
                <w:rFonts w:cs="Times New Roman"/>
              </w:rPr>
            </w:pPr>
            <w:r>
              <w:rPr>
                <w:rFonts w:cs="Times New Roman"/>
              </w:rPr>
              <w:t>本项目施工期的主要污染工序为：厂房适应性改造</w:t>
            </w:r>
            <w:r>
              <w:rPr>
                <w:rFonts w:hint="eastAsia" w:cs="Times New Roman"/>
                <w:lang w:eastAsia="zh-CN"/>
              </w:rPr>
              <w:t>、</w:t>
            </w:r>
            <w:r>
              <w:rPr>
                <w:rFonts w:hint="eastAsia" w:cs="Times New Roman"/>
                <w:lang w:val="en-US" w:eastAsia="zh-CN"/>
              </w:rPr>
              <w:t>2号厂房扩建</w:t>
            </w:r>
            <w:r>
              <w:rPr>
                <w:rFonts w:cs="Times New Roman"/>
              </w:rPr>
              <w:t>施工、设备安装等，产生噪声、固废、废水，其排放量随工序和施工强度不同而变化。</w:t>
            </w:r>
          </w:p>
          <w:p w14:paraId="6994C8B1">
            <w:pPr>
              <w:ind w:firstLine="480"/>
              <w:rPr>
                <w:rFonts w:cs="Times New Roman"/>
              </w:rPr>
            </w:pPr>
            <w:r>
              <w:rPr>
                <w:rFonts w:cs="Times New Roman"/>
              </w:rPr>
              <w:t>废气：建筑施工扬尘、施工机械和运输车辆尾气、厂房适应性改造过程中产生的装修废气。</w:t>
            </w:r>
          </w:p>
          <w:p w14:paraId="0BE417A7">
            <w:pPr>
              <w:ind w:firstLine="480"/>
              <w:rPr>
                <w:rFonts w:cs="Times New Roman"/>
              </w:rPr>
            </w:pPr>
            <w:r>
              <w:rPr>
                <w:rFonts w:cs="Times New Roman"/>
              </w:rPr>
              <w:t>废水：施工人员生活污水，污水污染物以BOD</w:t>
            </w:r>
            <w:r>
              <w:rPr>
                <w:rFonts w:cs="Times New Roman"/>
                <w:sz w:val="14"/>
                <w:szCs w:val="14"/>
              </w:rPr>
              <w:t>5</w:t>
            </w:r>
            <w:r>
              <w:rPr>
                <w:rFonts w:cs="Times New Roman"/>
              </w:rPr>
              <w:t>、CODcr、SS、氨氮等污染物为主。</w:t>
            </w:r>
          </w:p>
          <w:p w14:paraId="486C23FB">
            <w:pPr>
              <w:ind w:firstLine="480"/>
              <w:rPr>
                <w:rFonts w:cs="Times New Roman"/>
              </w:rPr>
            </w:pPr>
            <w:r>
              <w:rPr>
                <w:rFonts w:cs="Times New Roman"/>
              </w:rPr>
              <w:t>噪声：主要来源于施工机械运行过程以及车辆运输过程。</w:t>
            </w:r>
          </w:p>
          <w:p w14:paraId="77AD2481">
            <w:pPr>
              <w:ind w:firstLine="480"/>
              <w:rPr>
                <w:rFonts w:cs="Times New Roman"/>
              </w:rPr>
            </w:pPr>
            <w:r>
              <w:rPr>
                <w:rFonts w:cs="Times New Roman"/>
              </w:rPr>
              <w:t>固废：主要为</w:t>
            </w:r>
            <w:r>
              <w:rPr>
                <w:rFonts w:hint="eastAsia" w:cs="Times New Roman"/>
                <w:lang w:val="en-US" w:eastAsia="zh-CN"/>
              </w:rPr>
              <w:t>池体开挖土石方、</w:t>
            </w:r>
            <w:r>
              <w:rPr>
                <w:rFonts w:cs="Times New Roman"/>
              </w:rPr>
              <w:t>建筑垃圾、废包装材料、施工人员生活垃圾等。</w:t>
            </w:r>
          </w:p>
          <w:p w14:paraId="6753958B">
            <w:pPr>
              <w:ind w:firstLine="480"/>
              <w:rPr>
                <w:rFonts w:cs="Times New Roman"/>
              </w:rPr>
            </w:pPr>
            <w:r>
              <w:rPr>
                <w:rFonts w:cs="Times New Roman"/>
              </w:rPr>
              <w:t>从总</w:t>
            </w:r>
            <w:r>
              <w:rPr>
                <w:rFonts w:hint="eastAsia" w:cs="Times New Roman"/>
                <w:lang w:eastAsia="zh-CN"/>
              </w:rPr>
              <w:t>体上</w:t>
            </w:r>
            <w:r>
              <w:rPr>
                <w:rFonts w:cs="Times New Roman"/>
              </w:rPr>
              <w:t>讲，该项工程在施工期以建筑施工扬尘、施工废气、施工噪声、</w:t>
            </w:r>
            <w:r>
              <w:rPr>
                <w:rFonts w:hint="eastAsia" w:cs="Times New Roman"/>
                <w:lang w:val="en-US" w:eastAsia="zh-CN"/>
              </w:rPr>
              <w:t>废土石方、</w:t>
            </w:r>
            <w:r>
              <w:rPr>
                <w:rFonts w:cs="Times New Roman"/>
              </w:rPr>
              <w:t>建筑垃圾、废包装材料、生活垃圾和施工废水、生活废水为主要污染物。但这些污染物产生的环境影响将会随着施工的结束而结束。</w:t>
            </w:r>
          </w:p>
          <w:p w14:paraId="168F2B15">
            <w:pPr>
              <w:pStyle w:val="11"/>
              <w:keepNext/>
              <w:rPr>
                <w:rFonts w:cs="Times New Roman"/>
              </w:rPr>
            </w:pPr>
            <w:r>
              <w:rPr>
                <w:rFonts w:cs="Times New Roman"/>
              </w:rPr>
              <w:t>表</w:t>
            </w:r>
            <w:r>
              <w:rPr>
                <w:rFonts w:hint="eastAsia" w:cs="Times New Roman"/>
                <w:lang w:val="en-US" w:eastAsia="zh-CN"/>
              </w:rPr>
              <w:t>2-21</w:t>
            </w:r>
            <w:r>
              <w:rPr>
                <w:rFonts w:cs="Times New Roman"/>
              </w:rPr>
              <w:t xml:space="preserve"> 施工期产物节点及环境污染影响特征表</w:t>
            </w:r>
          </w:p>
          <w:tbl>
            <w:tblPr>
              <w:tblStyle w:val="2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6"/>
              <w:gridCol w:w="1450"/>
              <w:gridCol w:w="2074"/>
              <w:gridCol w:w="4819"/>
            </w:tblGrid>
            <w:tr w14:paraId="7A519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blHeader/>
              </w:trPr>
              <w:tc>
                <w:tcPr>
                  <w:tcW w:w="509" w:type="pct"/>
                  <w:shd w:val="clear" w:color="auto" w:fill="auto"/>
                  <w:vAlign w:val="center"/>
                </w:tcPr>
                <w:p w14:paraId="7DE6B2EE">
                  <w:pPr>
                    <w:pStyle w:val="45"/>
                    <w:rPr>
                      <w:rFonts w:cs="Times New Roman"/>
                      <w:bCs/>
                    </w:rPr>
                  </w:pPr>
                  <w:r>
                    <w:rPr>
                      <w:rFonts w:cs="Times New Roman"/>
                    </w:rPr>
                    <w:t>类别</w:t>
                  </w:r>
                </w:p>
              </w:tc>
              <w:tc>
                <w:tcPr>
                  <w:tcW w:w="780" w:type="pct"/>
                  <w:shd w:val="clear" w:color="auto" w:fill="auto"/>
                  <w:vAlign w:val="center"/>
                </w:tcPr>
                <w:p w14:paraId="166B5BAC">
                  <w:pPr>
                    <w:pStyle w:val="45"/>
                    <w:rPr>
                      <w:rFonts w:cs="Times New Roman"/>
                      <w:bCs/>
                    </w:rPr>
                  </w:pPr>
                  <w:r>
                    <w:rPr>
                      <w:rFonts w:cs="Times New Roman"/>
                    </w:rPr>
                    <w:t>名称</w:t>
                  </w:r>
                </w:p>
              </w:tc>
              <w:tc>
                <w:tcPr>
                  <w:tcW w:w="1116" w:type="pct"/>
                  <w:shd w:val="clear" w:color="auto" w:fill="auto"/>
                  <w:vAlign w:val="center"/>
                </w:tcPr>
                <w:p w14:paraId="2FA89374">
                  <w:pPr>
                    <w:pStyle w:val="45"/>
                    <w:rPr>
                      <w:rFonts w:cs="Times New Roman"/>
                      <w:bCs/>
                    </w:rPr>
                  </w:pPr>
                  <w:r>
                    <w:rPr>
                      <w:rFonts w:cs="Times New Roman"/>
                    </w:rPr>
                    <w:t>来源</w:t>
                  </w:r>
                </w:p>
              </w:tc>
              <w:tc>
                <w:tcPr>
                  <w:tcW w:w="2593" w:type="pct"/>
                  <w:shd w:val="clear" w:color="auto" w:fill="auto"/>
                  <w:vAlign w:val="center"/>
                </w:tcPr>
                <w:p w14:paraId="712D84EE">
                  <w:pPr>
                    <w:pStyle w:val="45"/>
                    <w:rPr>
                      <w:rFonts w:cs="Times New Roman"/>
                      <w:bCs/>
                    </w:rPr>
                  </w:pPr>
                  <w:r>
                    <w:rPr>
                      <w:rFonts w:cs="Times New Roman"/>
                    </w:rPr>
                    <w:t>环境影响特征说明</w:t>
                  </w:r>
                </w:p>
              </w:tc>
            </w:tr>
            <w:tr w14:paraId="3C870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09" w:type="pct"/>
                  <w:vMerge w:val="restart"/>
                  <w:shd w:val="clear" w:color="auto" w:fill="auto"/>
                  <w:vAlign w:val="center"/>
                </w:tcPr>
                <w:p w14:paraId="27F5F4DE">
                  <w:pPr>
                    <w:pStyle w:val="12"/>
                    <w:rPr>
                      <w:rFonts w:cs="Times New Roman"/>
                    </w:rPr>
                  </w:pPr>
                  <w:r>
                    <w:rPr>
                      <w:rFonts w:cs="Times New Roman"/>
                    </w:rPr>
                    <w:t>废气</w:t>
                  </w:r>
                </w:p>
              </w:tc>
              <w:tc>
                <w:tcPr>
                  <w:tcW w:w="780" w:type="pct"/>
                  <w:shd w:val="clear" w:color="auto" w:fill="auto"/>
                  <w:vAlign w:val="center"/>
                </w:tcPr>
                <w:p w14:paraId="21BFC124">
                  <w:pPr>
                    <w:pStyle w:val="12"/>
                    <w:rPr>
                      <w:rFonts w:cs="Times New Roman"/>
                    </w:rPr>
                  </w:pPr>
                  <w:r>
                    <w:rPr>
                      <w:rFonts w:cs="Times New Roman"/>
                    </w:rPr>
                    <w:t>施工扬尘</w:t>
                  </w:r>
                </w:p>
              </w:tc>
              <w:tc>
                <w:tcPr>
                  <w:tcW w:w="1116" w:type="pct"/>
                  <w:shd w:val="clear" w:color="auto" w:fill="auto"/>
                  <w:vAlign w:val="center"/>
                </w:tcPr>
                <w:p w14:paraId="54614969">
                  <w:pPr>
                    <w:pStyle w:val="12"/>
                    <w:rPr>
                      <w:rFonts w:cs="Times New Roman"/>
                    </w:rPr>
                  </w:pPr>
                  <w:r>
                    <w:rPr>
                      <w:rFonts w:cs="Times New Roman"/>
                    </w:rPr>
                    <w:t>车辆运行</w:t>
                  </w:r>
                </w:p>
              </w:tc>
              <w:tc>
                <w:tcPr>
                  <w:tcW w:w="2593" w:type="pct"/>
                  <w:shd w:val="clear" w:color="auto" w:fill="auto"/>
                  <w:vAlign w:val="center"/>
                </w:tcPr>
                <w:p w14:paraId="334A17FD">
                  <w:pPr>
                    <w:pStyle w:val="12"/>
                    <w:rPr>
                      <w:rFonts w:cs="Times New Roman"/>
                    </w:rPr>
                  </w:pPr>
                  <w:r>
                    <w:rPr>
                      <w:rFonts w:cs="Times New Roman"/>
                    </w:rPr>
                    <w:t>材料堆放扬尘、车辆行驶扬尘，主要污染物为TSP，均为无组织排放</w:t>
                  </w:r>
                </w:p>
              </w:tc>
            </w:tr>
            <w:tr w14:paraId="7DAA6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09" w:type="pct"/>
                  <w:vMerge w:val="continue"/>
                  <w:shd w:val="clear" w:color="auto" w:fill="auto"/>
                  <w:vAlign w:val="center"/>
                </w:tcPr>
                <w:p w14:paraId="23F33D1C">
                  <w:pPr>
                    <w:pStyle w:val="12"/>
                    <w:rPr>
                      <w:rFonts w:cs="Times New Roman"/>
                    </w:rPr>
                  </w:pPr>
                </w:p>
              </w:tc>
              <w:tc>
                <w:tcPr>
                  <w:tcW w:w="780" w:type="pct"/>
                  <w:shd w:val="clear" w:color="auto" w:fill="auto"/>
                  <w:vAlign w:val="center"/>
                </w:tcPr>
                <w:p w14:paraId="457C1A69">
                  <w:pPr>
                    <w:pStyle w:val="12"/>
                    <w:rPr>
                      <w:rFonts w:cs="Times New Roman"/>
                    </w:rPr>
                  </w:pPr>
                  <w:r>
                    <w:rPr>
                      <w:rFonts w:cs="Times New Roman"/>
                    </w:rPr>
                    <w:t>施工废气</w:t>
                  </w:r>
                </w:p>
              </w:tc>
              <w:tc>
                <w:tcPr>
                  <w:tcW w:w="1116" w:type="pct"/>
                  <w:shd w:val="clear" w:color="auto" w:fill="auto"/>
                  <w:vAlign w:val="center"/>
                </w:tcPr>
                <w:p w14:paraId="450E13AC">
                  <w:pPr>
                    <w:pStyle w:val="12"/>
                    <w:rPr>
                      <w:rFonts w:cs="Times New Roman"/>
                    </w:rPr>
                  </w:pPr>
                  <w:r>
                    <w:rPr>
                      <w:rFonts w:cs="Times New Roman"/>
                    </w:rPr>
                    <w:t>施工机械尾气</w:t>
                  </w:r>
                </w:p>
              </w:tc>
              <w:tc>
                <w:tcPr>
                  <w:tcW w:w="2593" w:type="pct"/>
                  <w:shd w:val="clear" w:color="auto" w:fill="auto"/>
                  <w:vAlign w:val="center"/>
                </w:tcPr>
                <w:p w14:paraId="48158C0B">
                  <w:pPr>
                    <w:pStyle w:val="12"/>
                    <w:rPr>
                      <w:rFonts w:cs="Times New Roman"/>
                    </w:rPr>
                  </w:pPr>
                  <w:r>
                    <w:rPr>
                      <w:rFonts w:cs="Times New Roman"/>
                    </w:rPr>
                    <w:t>施工机械尾气，主要为柴油机废气，烟气中含CO、非甲烷总烃及氮氧化物</w:t>
                  </w:r>
                </w:p>
              </w:tc>
            </w:tr>
            <w:tr w14:paraId="701AF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09" w:type="pct"/>
                  <w:vMerge w:val="continue"/>
                  <w:shd w:val="clear" w:color="auto" w:fill="auto"/>
                  <w:vAlign w:val="center"/>
                </w:tcPr>
                <w:p w14:paraId="0CE52328">
                  <w:pPr>
                    <w:pStyle w:val="12"/>
                    <w:rPr>
                      <w:rFonts w:cs="Times New Roman"/>
                    </w:rPr>
                  </w:pPr>
                </w:p>
              </w:tc>
              <w:tc>
                <w:tcPr>
                  <w:tcW w:w="780" w:type="pct"/>
                  <w:shd w:val="clear" w:color="auto" w:fill="auto"/>
                  <w:vAlign w:val="center"/>
                </w:tcPr>
                <w:p w14:paraId="4D8274FF">
                  <w:pPr>
                    <w:pStyle w:val="12"/>
                    <w:rPr>
                      <w:rFonts w:cs="Times New Roman"/>
                    </w:rPr>
                  </w:pPr>
                  <w:r>
                    <w:rPr>
                      <w:rFonts w:cs="Times New Roman"/>
                    </w:rPr>
                    <w:t>装修废气</w:t>
                  </w:r>
                </w:p>
              </w:tc>
              <w:tc>
                <w:tcPr>
                  <w:tcW w:w="1116" w:type="pct"/>
                  <w:shd w:val="clear" w:color="auto" w:fill="auto"/>
                  <w:vAlign w:val="center"/>
                </w:tcPr>
                <w:p w14:paraId="20CF2EB5">
                  <w:pPr>
                    <w:pStyle w:val="12"/>
                    <w:rPr>
                      <w:rFonts w:cs="Times New Roman"/>
                    </w:rPr>
                  </w:pPr>
                  <w:r>
                    <w:rPr>
                      <w:rFonts w:cs="Times New Roman"/>
                    </w:rPr>
                    <w:t>装修材料挥发</w:t>
                  </w:r>
                </w:p>
              </w:tc>
              <w:tc>
                <w:tcPr>
                  <w:tcW w:w="2593" w:type="pct"/>
                  <w:shd w:val="clear" w:color="auto" w:fill="auto"/>
                  <w:vAlign w:val="center"/>
                </w:tcPr>
                <w:p w14:paraId="473FA7F3">
                  <w:pPr>
                    <w:pStyle w:val="12"/>
                    <w:rPr>
                      <w:rFonts w:cs="Times New Roman"/>
                    </w:rPr>
                  </w:pPr>
                  <w:r>
                    <w:rPr>
                      <w:rFonts w:cs="Times New Roman"/>
                    </w:rPr>
                    <w:t>主要为涂料使用过程挥发产生的少量有机废气</w:t>
                  </w:r>
                </w:p>
              </w:tc>
            </w:tr>
            <w:tr w14:paraId="32B66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09" w:type="pct"/>
                  <w:shd w:val="clear" w:color="auto" w:fill="auto"/>
                  <w:vAlign w:val="center"/>
                </w:tcPr>
                <w:p w14:paraId="55D2725E">
                  <w:pPr>
                    <w:pStyle w:val="12"/>
                    <w:rPr>
                      <w:rFonts w:cs="Times New Roman"/>
                    </w:rPr>
                  </w:pPr>
                  <w:r>
                    <w:rPr>
                      <w:rFonts w:cs="Times New Roman"/>
                    </w:rPr>
                    <w:t>废水</w:t>
                  </w:r>
                </w:p>
              </w:tc>
              <w:tc>
                <w:tcPr>
                  <w:tcW w:w="780" w:type="pct"/>
                  <w:shd w:val="clear" w:color="auto" w:fill="auto"/>
                  <w:vAlign w:val="center"/>
                </w:tcPr>
                <w:p w14:paraId="057A74F7">
                  <w:pPr>
                    <w:pStyle w:val="12"/>
                    <w:rPr>
                      <w:rFonts w:cs="Times New Roman"/>
                    </w:rPr>
                  </w:pPr>
                  <w:r>
                    <w:rPr>
                      <w:rFonts w:cs="Times New Roman"/>
                    </w:rPr>
                    <w:t>生活污水</w:t>
                  </w:r>
                </w:p>
              </w:tc>
              <w:tc>
                <w:tcPr>
                  <w:tcW w:w="1116" w:type="pct"/>
                  <w:shd w:val="clear" w:color="auto" w:fill="auto"/>
                  <w:vAlign w:val="center"/>
                </w:tcPr>
                <w:p w14:paraId="45E5E206">
                  <w:pPr>
                    <w:pStyle w:val="12"/>
                    <w:rPr>
                      <w:rFonts w:cs="Times New Roman"/>
                    </w:rPr>
                  </w:pPr>
                  <w:r>
                    <w:rPr>
                      <w:rFonts w:cs="Times New Roman"/>
                    </w:rPr>
                    <w:t>人员生活</w:t>
                  </w:r>
                </w:p>
              </w:tc>
              <w:tc>
                <w:tcPr>
                  <w:tcW w:w="2593" w:type="pct"/>
                  <w:shd w:val="clear" w:color="auto" w:fill="auto"/>
                  <w:vAlign w:val="center"/>
                </w:tcPr>
                <w:p w14:paraId="1F1CE629">
                  <w:pPr>
                    <w:pStyle w:val="12"/>
                    <w:rPr>
                      <w:rFonts w:cs="Times New Roman"/>
                    </w:rPr>
                  </w:pPr>
                  <w:r>
                    <w:rPr>
                      <w:rFonts w:cs="Times New Roman"/>
                    </w:rPr>
                    <w:t>施工人员生活产生，主要污染物为CODcr、氨氮等</w:t>
                  </w:r>
                </w:p>
              </w:tc>
            </w:tr>
            <w:tr w14:paraId="568F5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09" w:type="pct"/>
                  <w:vMerge w:val="restart"/>
                  <w:shd w:val="clear" w:color="auto" w:fill="auto"/>
                  <w:vAlign w:val="center"/>
                </w:tcPr>
                <w:p w14:paraId="1FBA4482">
                  <w:pPr>
                    <w:pStyle w:val="12"/>
                    <w:rPr>
                      <w:rFonts w:cs="Times New Roman"/>
                    </w:rPr>
                  </w:pPr>
                  <w:r>
                    <w:rPr>
                      <w:rFonts w:cs="Times New Roman"/>
                    </w:rPr>
                    <w:t>固废</w:t>
                  </w:r>
                </w:p>
              </w:tc>
              <w:tc>
                <w:tcPr>
                  <w:tcW w:w="780" w:type="pct"/>
                  <w:shd w:val="clear" w:color="auto" w:fill="auto"/>
                  <w:vAlign w:val="center"/>
                </w:tcPr>
                <w:p w14:paraId="47E302FF">
                  <w:pPr>
                    <w:pStyle w:val="12"/>
                    <w:rPr>
                      <w:rFonts w:cs="Times New Roman"/>
                    </w:rPr>
                  </w:pPr>
                  <w:r>
                    <w:rPr>
                      <w:rFonts w:cs="Times New Roman"/>
                    </w:rPr>
                    <w:t>建筑垃圾</w:t>
                  </w:r>
                </w:p>
              </w:tc>
              <w:tc>
                <w:tcPr>
                  <w:tcW w:w="1116" w:type="pct"/>
                  <w:shd w:val="clear" w:color="auto" w:fill="auto"/>
                  <w:vAlign w:val="center"/>
                </w:tcPr>
                <w:p w14:paraId="6AF6CD52">
                  <w:pPr>
                    <w:pStyle w:val="12"/>
                    <w:rPr>
                      <w:rFonts w:cs="Times New Roman"/>
                    </w:rPr>
                  </w:pPr>
                  <w:r>
                    <w:rPr>
                      <w:rFonts w:cs="Times New Roman"/>
                    </w:rPr>
                    <w:t>厂房适应性改造</w:t>
                  </w:r>
                </w:p>
              </w:tc>
              <w:tc>
                <w:tcPr>
                  <w:tcW w:w="2593" w:type="pct"/>
                  <w:shd w:val="clear" w:color="auto" w:fill="auto"/>
                  <w:vAlign w:val="center"/>
                </w:tcPr>
                <w:p w14:paraId="192FB715">
                  <w:pPr>
                    <w:pStyle w:val="12"/>
                    <w:rPr>
                      <w:rFonts w:cs="Times New Roman"/>
                    </w:rPr>
                  </w:pPr>
                  <w:r>
                    <w:rPr>
                      <w:rFonts w:cs="Times New Roman"/>
                    </w:rPr>
                    <w:t>废弃建筑材料（废砖块、废钢瓦等）、废弃管线等</w:t>
                  </w:r>
                </w:p>
              </w:tc>
            </w:tr>
            <w:tr w14:paraId="36BE1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09" w:type="pct"/>
                  <w:vMerge w:val="continue"/>
                  <w:shd w:val="clear" w:color="auto" w:fill="auto"/>
                  <w:vAlign w:val="center"/>
                </w:tcPr>
                <w:p w14:paraId="364E0757">
                  <w:pPr>
                    <w:pStyle w:val="12"/>
                    <w:rPr>
                      <w:rFonts w:cs="Times New Roman"/>
                    </w:rPr>
                  </w:pPr>
                </w:p>
              </w:tc>
              <w:tc>
                <w:tcPr>
                  <w:tcW w:w="780" w:type="pct"/>
                  <w:shd w:val="clear" w:color="auto" w:fill="auto"/>
                  <w:vAlign w:val="center"/>
                </w:tcPr>
                <w:p w14:paraId="33B263E3">
                  <w:pPr>
                    <w:pStyle w:val="12"/>
                    <w:rPr>
                      <w:rFonts w:hint="default" w:eastAsia="宋体" w:cs="Times New Roman"/>
                      <w:lang w:val="en-US" w:eastAsia="zh-CN"/>
                    </w:rPr>
                  </w:pPr>
                  <w:r>
                    <w:rPr>
                      <w:rFonts w:hint="eastAsia" w:cs="Times New Roman"/>
                      <w:lang w:val="en-US" w:eastAsia="zh-CN"/>
                    </w:rPr>
                    <w:t>废土石方</w:t>
                  </w:r>
                </w:p>
              </w:tc>
              <w:tc>
                <w:tcPr>
                  <w:tcW w:w="1116" w:type="pct"/>
                  <w:shd w:val="clear" w:color="auto" w:fill="auto"/>
                  <w:vAlign w:val="center"/>
                </w:tcPr>
                <w:p w14:paraId="2C858A43">
                  <w:pPr>
                    <w:pStyle w:val="12"/>
                    <w:rPr>
                      <w:rFonts w:hint="default" w:eastAsia="宋体" w:cs="Times New Roman"/>
                      <w:lang w:val="en-US" w:eastAsia="zh-CN"/>
                    </w:rPr>
                  </w:pPr>
                  <w:r>
                    <w:rPr>
                      <w:rFonts w:hint="eastAsia" w:cs="Times New Roman"/>
                      <w:lang w:val="en-US" w:eastAsia="zh-CN"/>
                    </w:rPr>
                    <w:t>池体开挖建设</w:t>
                  </w:r>
                </w:p>
              </w:tc>
              <w:tc>
                <w:tcPr>
                  <w:tcW w:w="2593" w:type="pct"/>
                  <w:shd w:val="clear" w:color="auto" w:fill="auto"/>
                  <w:vAlign w:val="center"/>
                </w:tcPr>
                <w:p w14:paraId="4ECC5692">
                  <w:pPr>
                    <w:pStyle w:val="12"/>
                    <w:rPr>
                      <w:rFonts w:hint="default" w:eastAsia="宋体" w:cs="Times New Roman"/>
                      <w:lang w:val="en-US" w:eastAsia="zh-CN"/>
                    </w:rPr>
                  </w:pPr>
                  <w:r>
                    <w:rPr>
                      <w:rFonts w:hint="eastAsia" w:cs="Times New Roman"/>
                      <w:lang w:val="en-US" w:eastAsia="zh-CN"/>
                    </w:rPr>
                    <w:t>废土石方</w:t>
                  </w:r>
                </w:p>
              </w:tc>
            </w:tr>
            <w:tr w14:paraId="160FF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09" w:type="pct"/>
                  <w:vMerge w:val="continue"/>
                  <w:shd w:val="clear" w:color="auto" w:fill="auto"/>
                  <w:vAlign w:val="center"/>
                </w:tcPr>
                <w:p w14:paraId="0727E0FD">
                  <w:pPr>
                    <w:pStyle w:val="12"/>
                    <w:rPr>
                      <w:rFonts w:cs="Times New Roman"/>
                    </w:rPr>
                  </w:pPr>
                </w:p>
              </w:tc>
              <w:tc>
                <w:tcPr>
                  <w:tcW w:w="780" w:type="pct"/>
                  <w:shd w:val="clear" w:color="auto" w:fill="auto"/>
                  <w:vAlign w:val="center"/>
                </w:tcPr>
                <w:p w14:paraId="6A7C6633">
                  <w:pPr>
                    <w:pStyle w:val="12"/>
                    <w:rPr>
                      <w:rFonts w:cs="Times New Roman"/>
                    </w:rPr>
                  </w:pPr>
                  <w:r>
                    <w:rPr>
                      <w:rFonts w:cs="Times New Roman"/>
                    </w:rPr>
                    <w:t>生活垃圾</w:t>
                  </w:r>
                </w:p>
              </w:tc>
              <w:tc>
                <w:tcPr>
                  <w:tcW w:w="1116" w:type="pct"/>
                  <w:shd w:val="clear" w:color="auto" w:fill="auto"/>
                  <w:vAlign w:val="center"/>
                </w:tcPr>
                <w:p w14:paraId="4169AB50">
                  <w:pPr>
                    <w:pStyle w:val="12"/>
                    <w:rPr>
                      <w:rFonts w:cs="Times New Roman"/>
                    </w:rPr>
                  </w:pPr>
                  <w:r>
                    <w:rPr>
                      <w:rFonts w:cs="Times New Roman"/>
                    </w:rPr>
                    <w:t>人员生活、物料包装</w:t>
                  </w:r>
                </w:p>
              </w:tc>
              <w:tc>
                <w:tcPr>
                  <w:tcW w:w="2593" w:type="pct"/>
                  <w:shd w:val="clear" w:color="auto" w:fill="auto"/>
                  <w:vAlign w:val="center"/>
                </w:tcPr>
                <w:p w14:paraId="0DDDEE69">
                  <w:pPr>
                    <w:pStyle w:val="12"/>
                    <w:rPr>
                      <w:rFonts w:cs="Times New Roman"/>
                    </w:rPr>
                  </w:pPr>
                  <w:r>
                    <w:rPr>
                      <w:rFonts w:cs="Times New Roman"/>
                    </w:rPr>
                    <w:t>一般废包装、废纸等</w:t>
                  </w:r>
                </w:p>
              </w:tc>
            </w:tr>
            <w:tr w14:paraId="1F33A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09" w:type="pct"/>
                  <w:shd w:val="clear" w:color="auto" w:fill="auto"/>
                  <w:vAlign w:val="center"/>
                </w:tcPr>
                <w:p w14:paraId="7E7DCD2D">
                  <w:pPr>
                    <w:pStyle w:val="12"/>
                    <w:rPr>
                      <w:rFonts w:cs="Times New Roman"/>
                    </w:rPr>
                  </w:pPr>
                  <w:r>
                    <w:rPr>
                      <w:rFonts w:cs="Times New Roman"/>
                    </w:rPr>
                    <w:t>噪声</w:t>
                  </w:r>
                </w:p>
              </w:tc>
              <w:tc>
                <w:tcPr>
                  <w:tcW w:w="780" w:type="pct"/>
                  <w:shd w:val="clear" w:color="auto" w:fill="auto"/>
                  <w:vAlign w:val="center"/>
                </w:tcPr>
                <w:p w14:paraId="3B352CD6">
                  <w:pPr>
                    <w:pStyle w:val="12"/>
                    <w:rPr>
                      <w:rFonts w:cs="Times New Roman"/>
                    </w:rPr>
                  </w:pPr>
                  <w:r>
                    <w:rPr>
                      <w:rFonts w:cs="Times New Roman"/>
                    </w:rPr>
                    <w:t>施工噪声</w:t>
                  </w:r>
                </w:p>
              </w:tc>
              <w:tc>
                <w:tcPr>
                  <w:tcW w:w="1116" w:type="pct"/>
                  <w:shd w:val="clear" w:color="auto" w:fill="auto"/>
                  <w:vAlign w:val="center"/>
                </w:tcPr>
                <w:p w14:paraId="0205E064">
                  <w:pPr>
                    <w:pStyle w:val="12"/>
                    <w:rPr>
                      <w:rFonts w:cs="Times New Roman"/>
                    </w:rPr>
                  </w:pPr>
                  <w:r>
                    <w:rPr>
                      <w:rFonts w:cs="Times New Roman"/>
                    </w:rPr>
                    <w:t>施工设备及车辆</w:t>
                  </w:r>
                </w:p>
              </w:tc>
              <w:tc>
                <w:tcPr>
                  <w:tcW w:w="2593" w:type="pct"/>
                  <w:shd w:val="clear" w:color="auto" w:fill="auto"/>
                  <w:vAlign w:val="center"/>
                </w:tcPr>
                <w:p w14:paraId="367E1D38">
                  <w:pPr>
                    <w:pStyle w:val="12"/>
                    <w:rPr>
                      <w:rFonts w:cs="Times New Roman"/>
                    </w:rPr>
                  </w:pPr>
                  <w:r>
                    <w:rPr>
                      <w:rFonts w:cs="Times New Roman"/>
                    </w:rPr>
                    <w:t>施工设备产生，80-100dB(A)</w:t>
                  </w:r>
                </w:p>
              </w:tc>
            </w:tr>
          </w:tbl>
          <w:p w14:paraId="346591B7">
            <w:pPr>
              <w:pStyle w:val="3"/>
              <w:spacing w:before="163"/>
            </w:pPr>
            <w:r>
              <w:t>2、营运期工艺流程</w:t>
            </w:r>
          </w:p>
          <w:p w14:paraId="2CFFFCBE">
            <w:pPr>
              <w:ind w:left="0" w:leftChars="0" w:firstLine="482" w:firstLineChars="200"/>
              <w:jc w:val="both"/>
              <w:rPr>
                <w:rFonts w:hint="default" w:cs="Times New Roman"/>
                <w:b/>
                <w:bCs/>
                <w:i/>
                <w:iCs/>
                <w:u w:val="single"/>
                <w:lang w:val="en-US" w:eastAsia="zh-CN"/>
              </w:rPr>
            </w:pPr>
            <w:r>
              <w:rPr>
                <w:rFonts w:hint="eastAsia" w:cs="Times New Roman"/>
                <w:b/>
                <w:bCs/>
                <w:i/>
                <w:iCs/>
                <w:u w:val="single"/>
                <w:lang w:val="en-US" w:eastAsia="zh-CN"/>
              </w:rPr>
              <w:t>该部分内容涉密，不予公开。</w:t>
            </w:r>
          </w:p>
          <w:p w14:paraId="172AF810">
            <w:pPr>
              <w:ind w:firstLine="0" w:firstLineChars="0"/>
              <w:rPr>
                <w:rFonts w:cs="Times New Roman"/>
              </w:rPr>
            </w:pPr>
          </w:p>
        </w:tc>
      </w:tr>
      <w:tr w14:paraId="5FC5E04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737" w:hRule="atLeast"/>
          <w:jc w:val="center"/>
        </w:trPr>
        <w:tc>
          <w:tcPr>
            <w:tcW w:w="214" w:type="pct"/>
            <w:tcMar>
              <w:top w:w="16" w:type="dxa"/>
              <w:left w:w="16" w:type="dxa"/>
              <w:right w:w="16" w:type="dxa"/>
            </w:tcMar>
            <w:vAlign w:val="center"/>
          </w:tcPr>
          <w:p w14:paraId="1BFC8E61">
            <w:pPr>
              <w:pStyle w:val="24"/>
              <w:rPr>
                <w:rFonts w:cs="Times New Roman"/>
                <w:sz w:val="24"/>
                <w:szCs w:val="24"/>
              </w:rPr>
            </w:pPr>
            <w:r>
              <w:rPr>
                <w:rFonts w:cs="Times New Roman"/>
                <w:sz w:val="24"/>
                <w:szCs w:val="24"/>
              </w:rPr>
              <w:t>与项目有关的原有环境污染问题</w:t>
            </w:r>
          </w:p>
        </w:tc>
        <w:tc>
          <w:tcPr>
            <w:tcW w:w="4786" w:type="pct"/>
            <w:vAlign w:val="center"/>
          </w:tcPr>
          <w:p w14:paraId="3C135C88">
            <w:pPr>
              <w:keepNext w:val="0"/>
              <w:keepLines w:val="0"/>
              <w:pageBreakBefore w:val="0"/>
              <w:kinsoku/>
              <w:wordWrap/>
              <w:overflowPunct/>
              <w:topLinePunct w:val="0"/>
              <w:autoSpaceDE/>
              <w:autoSpaceDN/>
              <w:bidi w:val="0"/>
              <w:adjustRightInd w:val="0"/>
              <w:snapToGrid w:val="0"/>
              <w:ind w:firstLine="480"/>
              <w:textAlignment w:val="auto"/>
              <w:rPr>
                <w:rFonts w:hint="default" w:ascii="Times New Roman" w:hAnsi="Times New Roman" w:cs="Times New Roman"/>
                <w:b/>
                <w:bCs/>
                <w:sz w:val="24"/>
                <w:szCs w:val="24"/>
                <w:lang w:val="en-US" w:eastAsia="zh-CN"/>
              </w:rPr>
            </w:pPr>
            <w:r>
              <w:rPr>
                <w:rFonts w:cs="Times New Roman"/>
                <w:sz w:val="24"/>
                <w:szCs w:val="24"/>
              </w:rPr>
              <w:t>本项目为</w:t>
            </w:r>
            <w:r>
              <w:rPr>
                <w:rFonts w:hint="eastAsia" w:cs="Times New Roman"/>
                <w:sz w:val="24"/>
                <w:szCs w:val="24"/>
                <w:lang w:val="en-US" w:eastAsia="zh-CN"/>
              </w:rPr>
              <w:t>重新报批项目</w:t>
            </w:r>
            <w:r>
              <w:rPr>
                <w:rFonts w:hint="default" w:ascii="Times New Roman" w:hAnsi="Times New Roman" w:cs="Times New Roman"/>
                <w:sz w:val="24"/>
                <w:szCs w:val="24"/>
                <w:lang w:val="en-US" w:eastAsia="zh-CN"/>
              </w:rPr>
              <w:t>，</w:t>
            </w:r>
            <w:r>
              <w:rPr>
                <w:rFonts w:hint="default" w:ascii="Times New Roman" w:hAnsi="Times New Roman" w:eastAsia="宋体" w:cs="Times New Roman"/>
                <w:color w:val="000000"/>
                <w:kern w:val="0"/>
                <w:sz w:val="24"/>
                <w:szCs w:val="24"/>
                <w:lang w:val="en-US" w:eastAsia="zh-CN" w:bidi="ar"/>
              </w:rPr>
              <w:t>项目</w:t>
            </w:r>
            <w:r>
              <w:rPr>
                <w:rFonts w:hint="default" w:ascii="Times New Roman" w:hAnsi="Times New Roman" w:cs="Times New Roman"/>
                <w:color w:val="000000"/>
                <w:kern w:val="0"/>
                <w:sz w:val="24"/>
                <w:szCs w:val="24"/>
                <w:lang w:val="en-US" w:eastAsia="zh-CN" w:bidi="ar"/>
              </w:rPr>
              <w:t>于2024年编制环境影响评价报告表并于2025年1月6日取得了巴中市平昌县生态环境局出具的《关于巴中瑞成环保科技有限公司</w:t>
            </w:r>
            <w:r>
              <w:rPr>
                <w:rFonts w:hint="default" w:ascii="Times New Roman" w:hAnsi="Times New Roman" w:eastAsia="宋体" w:cs="Times New Roman"/>
                <w:color w:val="000000"/>
                <w:kern w:val="0"/>
                <w:sz w:val="24"/>
                <w:szCs w:val="24"/>
                <w:lang w:val="en-US" w:eastAsia="zh-CN" w:bidi="ar"/>
              </w:rPr>
              <w:t>水基岩屑综合利用及处理项目</w:t>
            </w:r>
            <w:r>
              <w:rPr>
                <w:rFonts w:hint="default" w:ascii="Times New Roman" w:hAnsi="Times New Roman" w:cs="Times New Roman"/>
                <w:color w:val="000000"/>
                <w:kern w:val="0"/>
                <w:sz w:val="24"/>
                <w:szCs w:val="24"/>
                <w:lang w:val="en-US" w:eastAsia="zh-CN" w:bidi="ar"/>
              </w:rPr>
              <w:t>环境影响报告表批复的函》（巴环境平昌审</w:t>
            </w:r>
            <w:r>
              <w:rPr>
                <w:rFonts w:hint="eastAsia" w:cs="Times New Roman"/>
                <w:color w:val="000000"/>
                <w:kern w:val="0"/>
                <w:sz w:val="24"/>
                <w:szCs w:val="24"/>
                <w:lang w:val="en-US" w:eastAsia="zh-CN" w:bidi="ar"/>
              </w:rPr>
              <w:t>〔2025〕2号</w:t>
            </w:r>
            <w:r>
              <w:rPr>
                <w:rFonts w:hint="default" w:ascii="Times New Roman" w:hAnsi="Times New Roman" w:cs="Times New Roman"/>
                <w:color w:val="000000"/>
                <w:kern w:val="0"/>
                <w:sz w:val="24"/>
                <w:szCs w:val="24"/>
                <w:lang w:val="en-US" w:eastAsia="zh-CN" w:bidi="ar"/>
              </w:rPr>
              <w:t>）。</w:t>
            </w:r>
            <w:r>
              <w:rPr>
                <w:rFonts w:hint="eastAsia" w:cs="Times New Roman"/>
                <w:color w:val="000000"/>
                <w:kern w:val="0"/>
                <w:sz w:val="24"/>
                <w:szCs w:val="24"/>
                <w:lang w:val="en-US" w:eastAsia="zh-CN" w:bidi="ar"/>
              </w:rPr>
              <w:t>截至目前，本项目仅建设了1座水基岩屑储存池和煅烧烘干生产线的基础，均属于原有项目环评批复建设内容。</w:t>
            </w:r>
          </w:p>
          <w:p w14:paraId="4FA119DB">
            <w:pPr>
              <w:keepNext w:val="0"/>
              <w:keepLines w:val="0"/>
              <w:pageBreakBefore w:val="0"/>
              <w:widowControl/>
              <w:suppressLineNumbers w:val="0"/>
              <w:kinsoku/>
              <w:wordWrap/>
              <w:overflowPunct/>
              <w:topLinePunct w:val="0"/>
              <w:autoSpaceDE/>
              <w:autoSpaceDN/>
              <w:bidi w:val="0"/>
              <w:jc w:val="left"/>
              <w:textAlignment w:val="auto"/>
              <w:rPr>
                <w:rFonts w:hint="default" w:ascii="Times New Roman" w:hAnsi="Times New Roman" w:cs="Times New Roman"/>
                <w:sz w:val="24"/>
                <w:szCs w:val="24"/>
                <w:lang w:val="en-US"/>
              </w:rPr>
            </w:pPr>
            <w:r>
              <w:rPr>
                <w:rFonts w:hint="default" w:ascii="Times New Roman" w:hAnsi="Times New Roman" w:cs="Times New Roman"/>
                <w:color w:val="000000"/>
                <w:kern w:val="0"/>
                <w:sz w:val="24"/>
                <w:szCs w:val="24"/>
                <w:lang w:val="en-US" w:eastAsia="zh-CN" w:bidi="ar"/>
              </w:rPr>
              <w:t>本项目厂房为租用，</w:t>
            </w:r>
            <w:r>
              <w:rPr>
                <w:rFonts w:hint="default" w:ascii="Times New Roman" w:hAnsi="Times New Roman" w:eastAsia="宋体" w:cs="Times New Roman"/>
                <w:color w:val="000000"/>
                <w:kern w:val="0"/>
                <w:sz w:val="24"/>
                <w:szCs w:val="24"/>
                <w:lang w:val="en-US" w:eastAsia="zh-CN" w:bidi="ar"/>
              </w:rPr>
              <w:t>根据调查，原平昌县环境保护局以平环建〔2016〕120号对厂房产权所属方（四川金联玉合电气有限公司-原单位名称为四川施迈电气有限公司）的《平昌县施迈智能电气产业园项目环境影响报告表》进行了批复，由于各种因素，该项目建设完成标准厂房后，未进行实际生产。</w:t>
            </w:r>
          </w:p>
          <w:p w14:paraId="03DA6A4E">
            <w:pPr>
              <w:keepNext w:val="0"/>
              <w:keepLines w:val="0"/>
              <w:pageBreakBefore w:val="0"/>
              <w:widowControl/>
              <w:suppressLineNumbers w:val="0"/>
              <w:kinsoku/>
              <w:wordWrap/>
              <w:overflowPunct/>
              <w:topLinePunct w:val="0"/>
              <w:autoSpaceDE/>
              <w:autoSpaceDN/>
              <w:bidi w:val="0"/>
              <w:jc w:val="left"/>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根据调查，项目租用</w:t>
            </w:r>
            <w:r>
              <w:rPr>
                <w:rFonts w:hint="eastAsia" w:cs="Times New Roman"/>
                <w:color w:val="000000"/>
                <w:kern w:val="0"/>
                <w:sz w:val="24"/>
                <w:szCs w:val="24"/>
                <w:lang w:val="en-US" w:eastAsia="zh-CN" w:bidi="ar"/>
              </w:rPr>
              <w:t>1</w:t>
            </w:r>
            <w:r>
              <w:rPr>
                <w:rFonts w:hint="default" w:ascii="Times New Roman" w:hAnsi="Times New Roman" w:eastAsia="宋体" w:cs="Times New Roman"/>
                <w:color w:val="000000"/>
                <w:kern w:val="0"/>
                <w:sz w:val="24"/>
                <w:szCs w:val="24"/>
                <w:lang w:val="en-US" w:eastAsia="zh-CN" w:bidi="ar"/>
              </w:rPr>
              <w:t>号厂房出租给第三方单位使用过，进行过水泥井盖的生产</w:t>
            </w:r>
            <w:r>
              <w:rPr>
                <w:rFonts w:hint="eastAsia" w:cs="Times New Roman"/>
                <w:color w:val="000000"/>
                <w:kern w:val="0"/>
                <w:sz w:val="24"/>
                <w:szCs w:val="24"/>
                <w:lang w:val="en-US" w:eastAsia="zh-CN" w:bidi="ar"/>
              </w:rPr>
              <w:t>；</w:t>
            </w:r>
            <w:r>
              <w:rPr>
                <w:rFonts w:hint="default" w:ascii="Times New Roman" w:hAnsi="Times New Roman" w:eastAsia="宋体" w:cs="Times New Roman"/>
                <w:color w:val="000000"/>
                <w:kern w:val="0"/>
                <w:sz w:val="24"/>
                <w:szCs w:val="24"/>
                <w:lang w:val="en-US" w:eastAsia="zh-CN" w:bidi="ar"/>
              </w:rPr>
              <w:t>项目租用</w:t>
            </w:r>
            <w:r>
              <w:rPr>
                <w:rFonts w:hint="eastAsia" w:cs="Times New Roman"/>
                <w:color w:val="000000"/>
                <w:kern w:val="0"/>
                <w:sz w:val="24"/>
                <w:szCs w:val="24"/>
                <w:lang w:val="en-US" w:eastAsia="zh-CN" w:bidi="ar"/>
              </w:rPr>
              <w:t>3</w:t>
            </w:r>
            <w:r>
              <w:rPr>
                <w:rFonts w:hint="default" w:ascii="Times New Roman" w:hAnsi="Times New Roman" w:eastAsia="宋体" w:cs="Times New Roman"/>
                <w:color w:val="000000"/>
                <w:kern w:val="0"/>
                <w:sz w:val="24"/>
                <w:szCs w:val="24"/>
                <w:lang w:val="en-US" w:eastAsia="zh-CN" w:bidi="ar"/>
              </w:rPr>
              <w:t>号厂房出租给第三方单位使用过，进行过ASA膜生产。2号厂房未进行过有效利用。根据调查，本项目租用的1号厂房、3号厂房已停止生产活动，1号厂房内设备设施已</w:t>
            </w:r>
            <w:r>
              <w:rPr>
                <w:rFonts w:hint="eastAsia" w:cs="Times New Roman"/>
                <w:color w:val="000000"/>
                <w:kern w:val="0"/>
                <w:sz w:val="24"/>
                <w:szCs w:val="24"/>
                <w:lang w:val="en-US" w:eastAsia="zh-CN" w:bidi="ar"/>
              </w:rPr>
              <w:t>全部</w:t>
            </w:r>
            <w:r>
              <w:rPr>
                <w:rFonts w:hint="default" w:ascii="Times New Roman" w:hAnsi="Times New Roman" w:eastAsia="宋体" w:cs="Times New Roman"/>
                <w:color w:val="000000"/>
                <w:kern w:val="0"/>
                <w:sz w:val="24"/>
                <w:szCs w:val="24"/>
                <w:lang w:val="en-US" w:eastAsia="zh-CN" w:bidi="ar"/>
              </w:rPr>
              <w:t>搬离</w:t>
            </w:r>
            <w:r>
              <w:rPr>
                <w:rFonts w:hint="eastAsia" w:cs="Times New Roman"/>
                <w:color w:val="000000"/>
                <w:kern w:val="0"/>
                <w:sz w:val="24"/>
                <w:szCs w:val="24"/>
                <w:lang w:val="en-US" w:eastAsia="zh-CN" w:bidi="ar"/>
              </w:rPr>
              <w:t>，目前为空置状态；</w:t>
            </w:r>
            <w:r>
              <w:rPr>
                <w:rFonts w:hint="default" w:ascii="Times New Roman" w:hAnsi="Times New Roman" w:eastAsia="宋体" w:cs="Times New Roman"/>
                <w:color w:val="000000"/>
                <w:kern w:val="0"/>
                <w:sz w:val="24"/>
                <w:szCs w:val="24"/>
                <w:lang w:val="en-US" w:eastAsia="zh-CN" w:bidi="ar"/>
              </w:rPr>
              <w:t>3号厂房</w:t>
            </w:r>
            <w:r>
              <w:rPr>
                <w:rFonts w:hint="eastAsia" w:cs="Times New Roman"/>
                <w:color w:val="000000"/>
                <w:kern w:val="0"/>
                <w:sz w:val="24"/>
                <w:szCs w:val="24"/>
                <w:lang w:val="en-US" w:eastAsia="zh-CN" w:bidi="ar"/>
              </w:rPr>
              <w:t>原有企业主要进行ASA膜的生产，主要生产工艺为混合、加热挤出、冷却等工序，现场无遗留危险废物、危险化学品等，</w:t>
            </w:r>
            <w:r>
              <w:rPr>
                <w:rFonts w:hint="default" w:ascii="Times New Roman" w:hAnsi="Times New Roman" w:eastAsia="宋体" w:cs="Times New Roman"/>
                <w:color w:val="000000"/>
                <w:kern w:val="0"/>
                <w:sz w:val="24"/>
                <w:szCs w:val="24"/>
                <w:lang w:val="en-US" w:eastAsia="zh-CN" w:bidi="ar"/>
              </w:rPr>
              <w:t>少量遗留设备正在搬离过程中。</w:t>
            </w:r>
            <w:r>
              <w:rPr>
                <w:rFonts w:hint="eastAsia" w:cs="Times New Roman"/>
                <w:color w:val="000000"/>
                <w:kern w:val="0"/>
                <w:sz w:val="24"/>
                <w:szCs w:val="24"/>
                <w:lang w:val="en-US" w:eastAsia="zh-CN" w:bidi="ar"/>
              </w:rPr>
              <w:t>因此，1号、2号、3号厂房无环境遗留问题。</w:t>
            </w:r>
          </w:p>
          <w:p w14:paraId="467815D2">
            <w:pPr>
              <w:keepNext w:val="0"/>
              <w:keepLines w:val="0"/>
              <w:pageBreakBefore w:val="0"/>
              <w:widowControl/>
              <w:suppressLineNumbers w:val="0"/>
              <w:kinsoku/>
              <w:wordWrap/>
              <w:overflowPunct/>
              <w:topLinePunct w:val="0"/>
              <w:autoSpaceDE/>
              <w:autoSpaceDN/>
              <w:bidi w:val="0"/>
              <w:jc w:val="left"/>
              <w:textAlignment w:val="auto"/>
              <w:rPr>
                <w:rFonts w:hint="eastAsia" w:ascii="宋体" w:hAnsi="宋体" w:eastAsia="宋体" w:cs="宋体"/>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根据现场调查，本项目租用的1号、2号、3号厂房为空置厂房，本项目</w:t>
            </w:r>
            <w:r>
              <w:rPr>
                <w:rFonts w:hint="default" w:ascii="Times New Roman" w:hAnsi="Times New Roman" w:cs="Times New Roman"/>
                <w:sz w:val="24"/>
                <w:szCs w:val="24"/>
              </w:rPr>
              <w:t>为</w:t>
            </w:r>
            <w:r>
              <w:rPr>
                <w:rFonts w:hint="default" w:ascii="Times New Roman" w:hAnsi="Times New Roman" w:cs="Times New Roman"/>
                <w:sz w:val="24"/>
                <w:szCs w:val="24"/>
                <w:lang w:val="en-US" w:eastAsia="zh-CN"/>
              </w:rPr>
              <w:t>重新报批项目，原项目暂未</w:t>
            </w:r>
            <w:r>
              <w:rPr>
                <w:rFonts w:hint="eastAsia" w:cs="Times New Roman"/>
                <w:sz w:val="24"/>
                <w:szCs w:val="24"/>
                <w:lang w:val="en-US" w:eastAsia="zh-CN"/>
              </w:rPr>
              <w:t>生产</w:t>
            </w:r>
            <w:r>
              <w:rPr>
                <w:rFonts w:hint="default" w:ascii="Times New Roman" w:hAnsi="Times New Roman" w:cs="Times New Roman"/>
                <w:sz w:val="24"/>
                <w:szCs w:val="24"/>
                <w:lang w:val="en-US" w:eastAsia="zh-CN"/>
              </w:rPr>
              <w:t>，</w:t>
            </w:r>
            <w:r>
              <w:rPr>
                <w:rFonts w:hint="default" w:ascii="Times New Roman" w:hAnsi="Times New Roman" w:eastAsia="宋体" w:cs="Times New Roman"/>
                <w:color w:val="000000"/>
                <w:kern w:val="0"/>
                <w:sz w:val="24"/>
                <w:szCs w:val="24"/>
                <w:lang w:val="en-US" w:eastAsia="zh-CN" w:bidi="ar"/>
              </w:rPr>
              <w:t>不存在与本项目有关的原有污染问题</w:t>
            </w:r>
            <w:r>
              <w:rPr>
                <w:rFonts w:hint="eastAsia" w:ascii="宋体" w:hAnsi="宋体" w:eastAsia="宋体" w:cs="宋体"/>
                <w:color w:val="000000"/>
                <w:kern w:val="0"/>
                <w:sz w:val="24"/>
                <w:szCs w:val="24"/>
                <w:lang w:val="en-US" w:eastAsia="zh-CN" w:bidi="ar"/>
              </w:rPr>
              <w:t>。</w:t>
            </w:r>
          </w:p>
          <w:p w14:paraId="5D770A19">
            <w:pPr>
              <w:keepNext w:val="0"/>
              <w:keepLines w:val="0"/>
              <w:pageBreakBefore w:val="0"/>
              <w:widowControl/>
              <w:suppressLineNumbers w:val="0"/>
              <w:kinsoku/>
              <w:wordWrap/>
              <w:overflowPunct/>
              <w:topLinePunct w:val="0"/>
              <w:autoSpaceDE/>
              <w:autoSpaceDN/>
              <w:bidi w:val="0"/>
              <w:jc w:val="left"/>
              <w:textAlignment w:val="auto"/>
              <w:rPr>
                <w:rFonts w:hint="eastAsia" w:ascii="宋体" w:hAnsi="宋体" w:eastAsia="宋体" w:cs="宋体"/>
                <w:color w:val="000000"/>
                <w:kern w:val="0"/>
                <w:sz w:val="24"/>
                <w:szCs w:val="24"/>
                <w:lang w:val="en-US" w:eastAsia="zh-CN" w:bidi="ar"/>
              </w:rPr>
            </w:pPr>
          </w:p>
          <w:p w14:paraId="76BB0D84">
            <w:pPr>
              <w:keepNext w:val="0"/>
              <w:keepLines w:val="0"/>
              <w:pageBreakBefore w:val="0"/>
              <w:widowControl/>
              <w:suppressLineNumbers w:val="0"/>
              <w:kinsoku/>
              <w:wordWrap/>
              <w:overflowPunct/>
              <w:topLinePunct w:val="0"/>
              <w:autoSpaceDE/>
              <w:autoSpaceDN/>
              <w:bidi w:val="0"/>
              <w:jc w:val="left"/>
              <w:textAlignment w:val="auto"/>
              <w:rPr>
                <w:rFonts w:hint="eastAsia" w:ascii="宋体" w:hAnsi="宋体" w:eastAsia="宋体" w:cs="宋体"/>
                <w:color w:val="000000"/>
                <w:kern w:val="0"/>
                <w:sz w:val="24"/>
                <w:szCs w:val="24"/>
                <w:lang w:val="en-US" w:eastAsia="zh-CN" w:bidi="ar"/>
              </w:rPr>
            </w:pPr>
          </w:p>
          <w:p w14:paraId="12795CC9">
            <w:pPr>
              <w:keepNext w:val="0"/>
              <w:keepLines w:val="0"/>
              <w:pageBreakBefore w:val="0"/>
              <w:widowControl/>
              <w:suppressLineNumbers w:val="0"/>
              <w:kinsoku/>
              <w:wordWrap/>
              <w:overflowPunct/>
              <w:topLinePunct w:val="0"/>
              <w:autoSpaceDE/>
              <w:autoSpaceDN/>
              <w:bidi w:val="0"/>
              <w:jc w:val="left"/>
              <w:textAlignment w:val="auto"/>
              <w:rPr>
                <w:rFonts w:hint="eastAsia" w:ascii="宋体" w:hAnsi="宋体" w:eastAsia="宋体" w:cs="宋体"/>
                <w:color w:val="000000"/>
                <w:kern w:val="0"/>
                <w:sz w:val="24"/>
                <w:szCs w:val="24"/>
                <w:lang w:val="en-US" w:eastAsia="zh-CN" w:bidi="ar"/>
              </w:rPr>
            </w:pPr>
          </w:p>
          <w:p w14:paraId="5EEBE87F">
            <w:pPr>
              <w:keepNext w:val="0"/>
              <w:keepLines w:val="0"/>
              <w:pageBreakBefore w:val="0"/>
              <w:widowControl/>
              <w:suppressLineNumbers w:val="0"/>
              <w:kinsoku/>
              <w:wordWrap/>
              <w:overflowPunct/>
              <w:topLinePunct w:val="0"/>
              <w:autoSpaceDE/>
              <w:autoSpaceDN/>
              <w:bidi w:val="0"/>
              <w:jc w:val="left"/>
              <w:textAlignment w:val="auto"/>
              <w:rPr>
                <w:rFonts w:hint="eastAsia" w:ascii="宋体" w:hAnsi="宋体" w:eastAsia="宋体" w:cs="宋体"/>
                <w:color w:val="000000"/>
                <w:kern w:val="0"/>
                <w:sz w:val="24"/>
                <w:szCs w:val="24"/>
                <w:lang w:val="en-US" w:eastAsia="zh-CN" w:bidi="ar"/>
              </w:rPr>
            </w:pPr>
          </w:p>
          <w:p w14:paraId="05124D41">
            <w:pPr>
              <w:keepNext w:val="0"/>
              <w:keepLines w:val="0"/>
              <w:pageBreakBefore w:val="0"/>
              <w:widowControl/>
              <w:suppressLineNumbers w:val="0"/>
              <w:kinsoku/>
              <w:wordWrap/>
              <w:overflowPunct/>
              <w:topLinePunct w:val="0"/>
              <w:autoSpaceDE/>
              <w:autoSpaceDN/>
              <w:bidi w:val="0"/>
              <w:ind w:left="0" w:leftChars="0" w:firstLine="0" w:firstLineChars="0"/>
              <w:jc w:val="left"/>
              <w:textAlignment w:val="auto"/>
              <w:rPr>
                <w:rFonts w:hint="eastAsia" w:ascii="宋体" w:hAnsi="宋体" w:eastAsia="宋体" w:cs="宋体"/>
                <w:color w:val="000000"/>
                <w:kern w:val="0"/>
                <w:sz w:val="24"/>
                <w:szCs w:val="24"/>
                <w:lang w:val="en-US" w:eastAsia="zh-CN" w:bidi="ar"/>
              </w:rPr>
            </w:pP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746"/>
              <w:gridCol w:w="4543"/>
            </w:tblGrid>
            <w:tr w14:paraId="56785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11" w:type="dxa"/>
                  <w:vAlign w:val="center"/>
                </w:tcPr>
                <w:p w14:paraId="7E2EE4E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color w:val="000000"/>
                      <w:kern w:val="0"/>
                      <w:sz w:val="21"/>
                      <w:szCs w:val="21"/>
                      <w:vertAlign w:val="baseline"/>
                      <w:lang w:val="en-US" w:eastAsia="zh-CN" w:bidi="ar"/>
                    </w:rPr>
                  </w:pPr>
                  <w:r>
                    <w:rPr>
                      <w:sz w:val="21"/>
                      <w:szCs w:val="21"/>
                    </w:rPr>
                    <w:drawing>
                      <wp:inline distT="0" distB="0" distL="114300" distR="114300">
                        <wp:extent cx="2707640" cy="2032635"/>
                        <wp:effectExtent l="0" t="0" r="16510" b="5715"/>
                        <wp:docPr id="36" name="图片 36" descr="d08c46c87e653237eea1d25749ff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d08c46c87e653237eea1d25749ff0001"/>
                                <pic:cNvPicPr>
                                  <a:picLocks noChangeAspect="1"/>
                                </pic:cNvPicPr>
                              </pic:nvPicPr>
                              <pic:blipFill>
                                <a:blip r:embed="rId25"/>
                                <a:stretch>
                                  <a:fillRect/>
                                </a:stretch>
                              </pic:blipFill>
                              <pic:spPr>
                                <a:xfrm>
                                  <a:off x="0" y="0"/>
                                  <a:ext cx="2707640" cy="2032635"/>
                                </a:xfrm>
                                <a:prstGeom prst="rect">
                                  <a:avLst/>
                                </a:prstGeom>
                              </pic:spPr>
                            </pic:pic>
                          </a:graphicData>
                        </a:graphic>
                      </wp:inline>
                    </w:drawing>
                  </w:r>
                </w:p>
              </w:tc>
              <w:tc>
                <w:tcPr>
                  <w:tcW w:w="4712" w:type="dxa"/>
                  <w:vAlign w:val="center"/>
                </w:tcPr>
                <w:p w14:paraId="47124A8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color w:val="000000"/>
                      <w:kern w:val="0"/>
                      <w:sz w:val="21"/>
                      <w:szCs w:val="21"/>
                      <w:vertAlign w:val="baseline"/>
                      <w:lang w:val="en-US" w:eastAsia="zh-CN" w:bidi="ar"/>
                    </w:rPr>
                  </w:pPr>
                  <w:r>
                    <w:rPr>
                      <w:rFonts w:hint="eastAsia"/>
                      <w:sz w:val="21"/>
                      <w:szCs w:val="21"/>
                      <w:lang w:val="en-US" w:eastAsia="zh-CN"/>
                    </w:rPr>
                    <w:drawing>
                      <wp:inline distT="0" distB="0" distL="114300" distR="114300">
                        <wp:extent cx="2693670" cy="2021840"/>
                        <wp:effectExtent l="0" t="0" r="11430" b="16510"/>
                        <wp:docPr id="24" name="图片 24" descr="e77025cb6532118bfa6d7e70893237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e77025cb6532118bfa6d7e7089323772"/>
                                <pic:cNvPicPr>
                                  <a:picLocks noChangeAspect="1"/>
                                </pic:cNvPicPr>
                              </pic:nvPicPr>
                              <pic:blipFill>
                                <a:blip r:embed="rId26"/>
                                <a:stretch>
                                  <a:fillRect/>
                                </a:stretch>
                              </pic:blipFill>
                              <pic:spPr>
                                <a:xfrm>
                                  <a:off x="0" y="0"/>
                                  <a:ext cx="2693670" cy="2021840"/>
                                </a:xfrm>
                                <a:prstGeom prst="rect">
                                  <a:avLst/>
                                </a:prstGeom>
                              </pic:spPr>
                            </pic:pic>
                          </a:graphicData>
                        </a:graphic>
                      </wp:inline>
                    </w:drawing>
                  </w:r>
                </w:p>
              </w:tc>
            </w:tr>
            <w:tr w14:paraId="6D2B3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23" w:type="dxa"/>
                  <w:gridSpan w:val="2"/>
                  <w:vAlign w:val="center"/>
                </w:tcPr>
                <w:p w14:paraId="2090118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default" w:eastAsia="宋体"/>
                      <w:sz w:val="21"/>
                      <w:szCs w:val="21"/>
                      <w:lang w:val="en-US" w:eastAsia="zh-CN"/>
                    </w:rPr>
                  </w:pPr>
                  <w:r>
                    <w:rPr>
                      <w:rFonts w:hint="eastAsia"/>
                      <w:sz w:val="21"/>
                      <w:szCs w:val="21"/>
                      <w:lang w:val="en-US" w:eastAsia="zh-CN"/>
                    </w:rPr>
                    <w:t>1号厂房现状</w:t>
                  </w:r>
                </w:p>
              </w:tc>
            </w:tr>
            <w:tr w14:paraId="13BE4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11" w:type="dxa"/>
                  <w:shd w:val="clear" w:color="auto" w:fill="auto"/>
                  <w:vAlign w:val="center"/>
                </w:tcPr>
                <w:p w14:paraId="5FC6E6F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color w:val="000000"/>
                      <w:kern w:val="0"/>
                      <w:sz w:val="21"/>
                      <w:szCs w:val="21"/>
                      <w:vertAlign w:val="baseline"/>
                      <w:lang w:val="en-US" w:eastAsia="zh-CN" w:bidi="ar"/>
                    </w:rPr>
                  </w:pPr>
                  <w:r>
                    <w:rPr>
                      <w:rFonts w:hint="eastAsia" w:ascii="宋体" w:hAnsi="宋体" w:eastAsia="宋体" w:cs="宋体"/>
                      <w:color w:val="000000"/>
                      <w:kern w:val="0"/>
                      <w:sz w:val="21"/>
                      <w:szCs w:val="21"/>
                      <w:vertAlign w:val="baseline"/>
                      <w:lang w:val="en-US" w:eastAsia="zh-CN" w:bidi="ar"/>
                    </w:rPr>
                    <w:drawing>
                      <wp:inline distT="0" distB="0" distL="114300" distR="114300">
                        <wp:extent cx="2697480" cy="2023110"/>
                        <wp:effectExtent l="0" t="0" r="7620" b="15240"/>
                        <wp:docPr id="32" name="图片 32" descr="c188e5268fe40509a0f434f36fe8aa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c188e5268fe40509a0f434f36fe8aa04"/>
                                <pic:cNvPicPr>
                                  <a:picLocks noChangeAspect="1"/>
                                </pic:cNvPicPr>
                              </pic:nvPicPr>
                              <pic:blipFill>
                                <a:blip r:embed="rId27"/>
                                <a:stretch>
                                  <a:fillRect/>
                                </a:stretch>
                              </pic:blipFill>
                              <pic:spPr>
                                <a:xfrm>
                                  <a:off x="0" y="0"/>
                                  <a:ext cx="2697480" cy="2023110"/>
                                </a:xfrm>
                                <a:prstGeom prst="rect">
                                  <a:avLst/>
                                </a:prstGeom>
                              </pic:spPr>
                            </pic:pic>
                          </a:graphicData>
                        </a:graphic>
                      </wp:inline>
                    </w:drawing>
                  </w:r>
                </w:p>
              </w:tc>
              <w:tc>
                <w:tcPr>
                  <w:tcW w:w="4712" w:type="dxa"/>
                  <w:vAlign w:val="center"/>
                </w:tcPr>
                <w:p w14:paraId="474555B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color w:val="000000"/>
                      <w:kern w:val="0"/>
                      <w:sz w:val="21"/>
                      <w:szCs w:val="21"/>
                      <w:vertAlign w:val="baseline"/>
                      <w:lang w:val="en-US" w:eastAsia="zh-CN" w:bidi="ar"/>
                    </w:rPr>
                  </w:pPr>
                  <w:r>
                    <w:rPr>
                      <w:rFonts w:hint="eastAsia" w:ascii="宋体" w:hAnsi="宋体" w:eastAsia="宋体" w:cs="宋体"/>
                      <w:color w:val="000000"/>
                      <w:kern w:val="0"/>
                      <w:sz w:val="21"/>
                      <w:szCs w:val="21"/>
                      <w:vertAlign w:val="baseline"/>
                      <w:lang w:val="en-US" w:eastAsia="zh-CN" w:bidi="ar"/>
                    </w:rPr>
                    <w:drawing>
                      <wp:inline distT="0" distB="0" distL="114300" distR="114300">
                        <wp:extent cx="2633980" cy="1974850"/>
                        <wp:effectExtent l="0" t="0" r="13970" b="6350"/>
                        <wp:docPr id="34" name="图片 34" descr="a3d8b9e03eca94f5d2857a50b4279bf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a3d8b9e03eca94f5d2857a50b4279bf0"/>
                                <pic:cNvPicPr>
                                  <a:picLocks noChangeAspect="1"/>
                                </pic:cNvPicPr>
                              </pic:nvPicPr>
                              <pic:blipFill>
                                <a:blip r:embed="rId28"/>
                                <a:stretch>
                                  <a:fillRect/>
                                </a:stretch>
                              </pic:blipFill>
                              <pic:spPr>
                                <a:xfrm>
                                  <a:off x="0" y="0"/>
                                  <a:ext cx="2633980" cy="1974850"/>
                                </a:xfrm>
                                <a:prstGeom prst="rect">
                                  <a:avLst/>
                                </a:prstGeom>
                              </pic:spPr>
                            </pic:pic>
                          </a:graphicData>
                        </a:graphic>
                      </wp:inline>
                    </w:drawing>
                  </w:r>
                </w:p>
              </w:tc>
            </w:tr>
            <w:tr w14:paraId="15C47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23" w:type="dxa"/>
                  <w:gridSpan w:val="2"/>
                  <w:shd w:val="clear" w:color="auto" w:fill="auto"/>
                  <w:vAlign w:val="center"/>
                </w:tcPr>
                <w:p w14:paraId="59FE338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eastAsia"/>
                      <w:sz w:val="21"/>
                      <w:szCs w:val="21"/>
                      <w:lang w:val="en-US" w:eastAsia="zh-CN"/>
                    </w:rPr>
                  </w:pPr>
                  <w:r>
                    <w:rPr>
                      <w:rFonts w:hint="eastAsia"/>
                      <w:sz w:val="21"/>
                      <w:szCs w:val="21"/>
                      <w:lang w:val="en-US" w:eastAsia="zh-CN"/>
                    </w:rPr>
                    <w:t>2号厂房现状</w:t>
                  </w:r>
                </w:p>
              </w:tc>
            </w:tr>
            <w:tr w14:paraId="7FB51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11" w:type="dxa"/>
                  <w:shd w:val="clear" w:color="auto" w:fill="auto"/>
                  <w:vAlign w:val="center"/>
                </w:tcPr>
                <w:p w14:paraId="465A12D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color w:val="000000"/>
                      <w:kern w:val="0"/>
                      <w:sz w:val="21"/>
                      <w:szCs w:val="21"/>
                      <w:vertAlign w:val="baseline"/>
                      <w:lang w:val="en-US" w:eastAsia="zh-CN" w:bidi="ar"/>
                    </w:rPr>
                  </w:pPr>
                  <w:r>
                    <w:rPr>
                      <w:rFonts w:hint="eastAsia" w:ascii="宋体" w:hAnsi="宋体" w:eastAsia="宋体" w:cs="宋体"/>
                      <w:color w:val="000000"/>
                      <w:kern w:val="0"/>
                      <w:sz w:val="21"/>
                      <w:szCs w:val="21"/>
                      <w:vertAlign w:val="baseline"/>
                      <w:lang w:val="en-US" w:eastAsia="zh-CN" w:bidi="ar"/>
                    </w:rPr>
                    <w:drawing>
                      <wp:inline distT="0" distB="0" distL="114300" distR="114300">
                        <wp:extent cx="2867025" cy="2029460"/>
                        <wp:effectExtent l="0" t="0" r="9525" b="8890"/>
                        <wp:docPr id="37" name="图片 37" descr="2e7fe9b93474e87ebe784b7a8b474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2e7fe9b93474e87ebe784b7a8b474023"/>
                                <pic:cNvPicPr>
                                  <a:picLocks noChangeAspect="1"/>
                                </pic:cNvPicPr>
                              </pic:nvPicPr>
                              <pic:blipFill>
                                <a:blip r:embed="rId29"/>
                                <a:srcRect l="10733" t="18821" r="32774" b="27871"/>
                                <a:stretch>
                                  <a:fillRect/>
                                </a:stretch>
                              </pic:blipFill>
                              <pic:spPr>
                                <a:xfrm>
                                  <a:off x="0" y="0"/>
                                  <a:ext cx="2867025" cy="2029460"/>
                                </a:xfrm>
                                <a:prstGeom prst="rect">
                                  <a:avLst/>
                                </a:prstGeom>
                              </pic:spPr>
                            </pic:pic>
                          </a:graphicData>
                        </a:graphic>
                      </wp:inline>
                    </w:drawing>
                  </w:r>
                </w:p>
              </w:tc>
              <w:tc>
                <w:tcPr>
                  <w:tcW w:w="4712" w:type="dxa"/>
                  <w:vAlign w:val="center"/>
                </w:tcPr>
                <w:p w14:paraId="10073EC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eastAsia"/>
                      <w:sz w:val="21"/>
                      <w:szCs w:val="21"/>
                      <w:lang w:val="en-US" w:eastAsia="zh-CN"/>
                    </w:rPr>
                  </w:pPr>
                  <w:r>
                    <w:rPr>
                      <w:rFonts w:hint="eastAsia"/>
                      <w:sz w:val="21"/>
                      <w:szCs w:val="21"/>
                      <w:lang w:val="en-US" w:eastAsia="zh-CN"/>
                    </w:rPr>
                    <w:drawing>
                      <wp:inline distT="0" distB="0" distL="114300" distR="114300">
                        <wp:extent cx="2612390" cy="1959610"/>
                        <wp:effectExtent l="0" t="0" r="16510" b="2540"/>
                        <wp:docPr id="35" name="图片 35" descr="25df59bdbfa3e55a828f9db58ab546b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25df59bdbfa3e55a828f9db58ab546b4"/>
                                <pic:cNvPicPr>
                                  <a:picLocks noChangeAspect="1"/>
                                </pic:cNvPicPr>
                              </pic:nvPicPr>
                              <pic:blipFill>
                                <a:blip r:embed="rId30"/>
                                <a:stretch>
                                  <a:fillRect/>
                                </a:stretch>
                              </pic:blipFill>
                              <pic:spPr>
                                <a:xfrm>
                                  <a:off x="0" y="0"/>
                                  <a:ext cx="2612390" cy="1959610"/>
                                </a:xfrm>
                                <a:prstGeom prst="rect">
                                  <a:avLst/>
                                </a:prstGeom>
                              </pic:spPr>
                            </pic:pic>
                          </a:graphicData>
                        </a:graphic>
                      </wp:inline>
                    </w:drawing>
                  </w:r>
                </w:p>
              </w:tc>
            </w:tr>
            <w:tr w14:paraId="24FBD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23" w:type="dxa"/>
                  <w:gridSpan w:val="2"/>
                  <w:shd w:val="clear" w:color="auto" w:fill="auto"/>
                  <w:vAlign w:val="center"/>
                </w:tcPr>
                <w:p w14:paraId="4CE1544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eastAsia"/>
                      <w:sz w:val="21"/>
                      <w:szCs w:val="21"/>
                      <w:lang w:val="en-US" w:eastAsia="zh-CN"/>
                    </w:rPr>
                  </w:pPr>
                  <w:r>
                    <w:rPr>
                      <w:rFonts w:hint="eastAsia"/>
                      <w:sz w:val="21"/>
                      <w:szCs w:val="21"/>
                      <w:lang w:val="en-US" w:eastAsia="zh-CN"/>
                    </w:rPr>
                    <w:t>3号厂房现状</w:t>
                  </w:r>
                </w:p>
              </w:tc>
            </w:tr>
          </w:tbl>
          <w:p w14:paraId="724686AF">
            <w:pPr>
              <w:keepNext w:val="0"/>
              <w:keepLines w:val="0"/>
              <w:widowControl/>
              <w:suppressLineNumbers w:val="0"/>
              <w:jc w:val="left"/>
              <w:rPr>
                <w:rFonts w:hint="eastAsia" w:ascii="宋体" w:hAnsi="宋体" w:eastAsia="宋体" w:cs="宋体"/>
                <w:color w:val="000000"/>
                <w:kern w:val="0"/>
                <w:sz w:val="24"/>
                <w:szCs w:val="24"/>
                <w:vertAlign w:val="baseline"/>
                <w:lang w:val="en-US" w:eastAsia="zh-CN" w:bidi="ar"/>
              </w:rPr>
            </w:pPr>
          </w:p>
          <w:p w14:paraId="32899100">
            <w:pPr>
              <w:keepNext w:val="0"/>
              <w:keepLines w:val="0"/>
              <w:widowControl/>
              <w:suppressLineNumbers w:val="0"/>
              <w:jc w:val="left"/>
              <w:rPr>
                <w:rFonts w:hint="eastAsia" w:ascii="宋体" w:hAnsi="宋体" w:eastAsia="宋体" w:cs="宋体"/>
                <w:color w:val="000000"/>
                <w:kern w:val="0"/>
                <w:sz w:val="24"/>
                <w:szCs w:val="24"/>
                <w:vertAlign w:val="baseline"/>
                <w:lang w:val="en-US" w:eastAsia="zh-CN" w:bidi="ar"/>
              </w:rPr>
            </w:pPr>
          </w:p>
          <w:p w14:paraId="011C14B5">
            <w:pPr>
              <w:keepNext w:val="0"/>
              <w:keepLines w:val="0"/>
              <w:widowControl/>
              <w:suppressLineNumbers w:val="0"/>
              <w:jc w:val="left"/>
              <w:rPr>
                <w:rFonts w:hint="eastAsia" w:ascii="宋体" w:hAnsi="宋体" w:eastAsia="宋体" w:cs="宋体"/>
                <w:color w:val="000000"/>
                <w:kern w:val="0"/>
                <w:sz w:val="24"/>
                <w:szCs w:val="24"/>
                <w:vertAlign w:val="baseline"/>
                <w:lang w:val="en-US" w:eastAsia="zh-CN" w:bidi="ar"/>
              </w:rPr>
            </w:pPr>
          </w:p>
          <w:p w14:paraId="14E769AF">
            <w:pPr>
              <w:keepNext w:val="0"/>
              <w:keepLines w:val="0"/>
              <w:widowControl/>
              <w:suppressLineNumbers w:val="0"/>
              <w:jc w:val="left"/>
              <w:rPr>
                <w:rFonts w:hint="eastAsia" w:ascii="宋体" w:hAnsi="宋体" w:eastAsia="宋体" w:cs="宋体"/>
                <w:color w:val="000000"/>
                <w:kern w:val="0"/>
                <w:sz w:val="24"/>
                <w:szCs w:val="24"/>
                <w:vertAlign w:val="baseline"/>
                <w:lang w:val="en-US" w:eastAsia="zh-CN" w:bidi="ar"/>
              </w:rPr>
            </w:pPr>
          </w:p>
          <w:p w14:paraId="7D7AD0B1">
            <w:pPr>
              <w:keepNext w:val="0"/>
              <w:keepLines w:val="0"/>
              <w:widowControl/>
              <w:suppressLineNumbers w:val="0"/>
              <w:jc w:val="left"/>
              <w:rPr>
                <w:rFonts w:hint="eastAsia" w:ascii="宋体" w:hAnsi="宋体" w:eastAsia="宋体" w:cs="宋体"/>
                <w:color w:val="000000"/>
                <w:kern w:val="0"/>
                <w:sz w:val="24"/>
                <w:szCs w:val="24"/>
                <w:vertAlign w:val="baseline"/>
                <w:lang w:val="en-US" w:eastAsia="zh-CN" w:bidi="ar"/>
              </w:rPr>
            </w:pPr>
          </w:p>
          <w:p w14:paraId="42EED749">
            <w:pPr>
              <w:pStyle w:val="11"/>
              <w:jc w:val="both"/>
              <w:rPr>
                <w:rFonts w:cs="Times New Roman"/>
                <w:sz w:val="24"/>
                <w:szCs w:val="24"/>
              </w:rPr>
            </w:pPr>
          </w:p>
        </w:tc>
      </w:tr>
    </w:tbl>
    <w:p w14:paraId="20DC8E16">
      <w:pPr>
        <w:ind w:firstLine="0" w:firstLineChars="0"/>
        <w:rPr>
          <w:rFonts w:cs="Times New Roman"/>
        </w:rPr>
        <w:sectPr>
          <w:pgSz w:w="11906" w:h="16838"/>
          <w:pgMar w:top="1440" w:right="1080" w:bottom="1440" w:left="1080" w:header="851" w:footer="567" w:gutter="0"/>
          <w:cols w:space="425" w:num="1"/>
          <w:docGrid w:type="lines" w:linePitch="326" w:charSpace="0"/>
        </w:sectPr>
      </w:pPr>
    </w:p>
    <w:p w14:paraId="3746FA62">
      <w:pPr>
        <w:pStyle w:val="2"/>
        <w:rPr>
          <w:rFonts w:ascii="Times New Roman" w:hAnsi="Times New Roman"/>
        </w:rPr>
      </w:pPr>
      <w:bookmarkStart w:id="40" w:name="OLE_LINK84"/>
      <w:bookmarkStart w:id="41" w:name="OLE_LINK81"/>
      <w:bookmarkStart w:id="42" w:name="_Toc2641"/>
      <w:r>
        <w:rPr>
          <w:rFonts w:ascii="Times New Roman" w:hAnsi="Times New Roman"/>
        </w:rPr>
        <w:fldChar w:fldCharType="begin"/>
      </w:r>
      <w:r>
        <w:rPr>
          <w:rFonts w:ascii="Times New Roman" w:hAnsi="Times New Roman"/>
        </w:rPr>
        <w:instrText xml:space="preserve"> SEQ seq \h </w:instrText>
      </w:r>
      <w:r>
        <w:rPr>
          <w:rFonts w:ascii="Times New Roman" w:hAnsi="Times New Roman"/>
        </w:rPr>
        <w:fldChar w:fldCharType="separate"/>
      </w:r>
      <w:r>
        <w:rPr>
          <w:rFonts w:ascii="Times New Roman" w:hAnsi="Times New Roman"/>
        </w:rPr>
        <w:fldChar w:fldCharType="end"/>
      </w:r>
      <w:bookmarkEnd w:id="40"/>
      <w:bookmarkEnd w:id="41"/>
      <w:r>
        <w:rPr>
          <w:rFonts w:ascii="Times New Roman" w:hAnsi="Times New Roman"/>
        </w:rPr>
        <w:t>区域环境质量现状、环境保护目标及评价标准</w:t>
      </w:r>
      <w:bookmarkEnd w:id="42"/>
    </w:p>
    <w:tbl>
      <w:tblPr>
        <w:tblStyle w:val="26"/>
        <w:tblW w:w="5061"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57" w:type="dxa"/>
          <w:bottom w:w="0" w:type="dxa"/>
          <w:right w:w="57" w:type="dxa"/>
        </w:tblCellMar>
      </w:tblPr>
      <w:tblGrid>
        <w:gridCol w:w="423"/>
        <w:gridCol w:w="9516"/>
      </w:tblGrid>
      <w:tr w14:paraId="38771F3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737" w:hRule="atLeast"/>
          <w:jc w:val="center"/>
        </w:trPr>
        <w:tc>
          <w:tcPr>
            <w:tcW w:w="213" w:type="pct"/>
            <w:tcMar>
              <w:top w:w="16" w:type="dxa"/>
              <w:left w:w="16" w:type="dxa"/>
              <w:right w:w="16" w:type="dxa"/>
            </w:tcMar>
            <w:vAlign w:val="center"/>
          </w:tcPr>
          <w:p w14:paraId="76F75783">
            <w:pPr>
              <w:pStyle w:val="24"/>
              <w:rPr>
                <w:rFonts w:hint="default" w:ascii="Times New Roman" w:hAnsi="Times New Roman" w:cs="Times New Roman"/>
              </w:rPr>
            </w:pPr>
            <w:r>
              <w:rPr>
                <w:rFonts w:hint="default" w:ascii="Times New Roman" w:hAnsi="Times New Roman" w:cs="Times New Roman"/>
                <w:sz w:val="24"/>
                <w:szCs w:val="28"/>
              </w:rPr>
              <w:t>区域环境质量</w:t>
            </w:r>
            <w:r>
              <w:rPr>
                <w:rFonts w:hint="eastAsia" w:cs="Times New Roman"/>
                <w:sz w:val="24"/>
                <w:szCs w:val="28"/>
                <w:lang w:eastAsia="zh-CN"/>
              </w:rPr>
              <w:t>现状</w:t>
            </w:r>
          </w:p>
        </w:tc>
        <w:tc>
          <w:tcPr>
            <w:tcW w:w="4786" w:type="pct"/>
            <w:vAlign w:val="center"/>
          </w:tcPr>
          <w:p w14:paraId="510B7356">
            <w:pPr>
              <w:pStyle w:val="3"/>
              <w:spacing w:before="163"/>
              <w:rPr>
                <w:rFonts w:hint="default" w:ascii="Times New Roman" w:hAnsi="Times New Roman" w:cs="Times New Roman"/>
              </w:rPr>
            </w:pPr>
            <w:r>
              <w:rPr>
                <w:rFonts w:hint="default" w:ascii="Times New Roman" w:hAnsi="Times New Roman" w:cs="Times New Roman"/>
              </w:rPr>
              <w:t>1、环境空气</w:t>
            </w:r>
          </w:p>
          <w:p w14:paraId="62A51287">
            <w:pPr>
              <w:ind w:firstLine="482"/>
              <w:rPr>
                <w:rFonts w:hint="default" w:ascii="Times New Roman" w:hAnsi="Times New Roman" w:cs="Times New Roman"/>
                <w:b/>
              </w:rPr>
            </w:pPr>
            <w:r>
              <w:rPr>
                <w:rFonts w:hint="default" w:ascii="Times New Roman" w:hAnsi="Times New Roman" w:cs="Times New Roman"/>
                <w:b/>
              </w:rPr>
              <w:t>（1）达标区判定</w:t>
            </w:r>
          </w:p>
          <w:p w14:paraId="59E29047">
            <w:pPr>
              <w:keepNext w:val="0"/>
              <w:keepLines w:val="0"/>
              <w:pageBreakBefore w:val="0"/>
              <w:widowControl w:val="0"/>
              <w:kinsoku/>
              <w:wordWrap w:val="0"/>
              <w:overflowPunct/>
              <w:topLinePunct w:val="0"/>
              <w:autoSpaceDE/>
              <w:autoSpaceDN/>
              <w:bidi w:val="0"/>
              <w:adjustRightInd/>
              <w:snapToGrid/>
              <w:ind w:firstLine="480"/>
              <w:textAlignment w:val="auto"/>
              <w:rPr>
                <w:rFonts w:hint="default" w:ascii="Times New Roman" w:hAnsi="Times New Roman" w:cs="Times New Roman"/>
              </w:rPr>
            </w:pPr>
            <w:r>
              <w:rPr>
                <w:rFonts w:hint="default" w:ascii="Times New Roman" w:hAnsi="Times New Roman" w:cs="Times New Roman"/>
              </w:rPr>
              <w:t>根据《建设项目环境影响报告表编制技术指南（污染影响类）》（试行），</w:t>
            </w:r>
            <w:r>
              <w:rPr>
                <w:rFonts w:hint="eastAsia" w:ascii="宋体" w:hAnsi="宋体" w:eastAsia="宋体" w:cs="宋体"/>
              </w:rPr>
              <w:t>“</w:t>
            </w:r>
            <w:r>
              <w:rPr>
                <w:rFonts w:hint="default" w:ascii="Times New Roman" w:hAnsi="Times New Roman" w:cs="Times New Roman"/>
              </w:rPr>
              <w:t>常规污染物引用与建设项目距离近的有效数据，包括近</w:t>
            </w:r>
            <w:r>
              <w:rPr>
                <w:rFonts w:hint="default" w:ascii="Times New Roman" w:hAnsi="Times New Roman" w:eastAsia="TimesNewRomanPSMT" w:cs="Times New Roman"/>
              </w:rPr>
              <w:t>3</w:t>
            </w:r>
            <w:r>
              <w:rPr>
                <w:rFonts w:hint="default" w:ascii="Times New Roman" w:hAnsi="Times New Roman" w:cs="Times New Roman"/>
              </w:rPr>
              <w:t>年的规划环境影响评价的监测数据，国家、地方环境空气质量监测网数据或生态环境主管部门公开发布的质量数</w:t>
            </w:r>
            <w:r>
              <w:rPr>
                <w:rFonts w:hint="eastAsia" w:ascii="宋体" w:hAnsi="宋体" w:eastAsia="宋体" w:cs="宋体"/>
              </w:rPr>
              <w:t>据等”</w:t>
            </w:r>
            <w:r>
              <w:rPr>
                <w:rFonts w:hint="default" w:ascii="Times New Roman" w:hAnsi="Times New Roman" w:cs="Times New Roman"/>
              </w:rPr>
              <w:t>，为了解项目所在区域环境空气常规指标的达标情况，本次环评引用</w:t>
            </w:r>
            <w:r>
              <w:rPr>
                <w:rFonts w:hint="eastAsia"/>
                <w:color w:val="auto"/>
                <w:lang w:eastAsia="zh-CN"/>
              </w:rPr>
              <w:t>巴中市平昌生态环境局</w:t>
            </w:r>
            <w:r>
              <w:rPr>
                <w:color w:val="auto"/>
              </w:rPr>
              <w:t>于</w:t>
            </w:r>
            <w:r>
              <w:rPr>
                <w:rFonts w:hint="eastAsia"/>
                <w:color w:val="auto"/>
                <w:lang w:eastAsia="zh-CN"/>
              </w:rPr>
              <w:t>202</w:t>
            </w:r>
            <w:r>
              <w:rPr>
                <w:rFonts w:hint="eastAsia"/>
                <w:color w:val="auto"/>
                <w:lang w:val="en-US" w:eastAsia="zh-CN"/>
              </w:rPr>
              <w:t>6</w:t>
            </w:r>
            <w:r>
              <w:rPr>
                <w:rFonts w:hint="eastAsia"/>
                <w:color w:val="auto"/>
                <w:lang w:eastAsia="zh-CN"/>
              </w:rPr>
              <w:t>年</w:t>
            </w:r>
            <w:r>
              <w:rPr>
                <w:rFonts w:hint="eastAsia"/>
                <w:color w:val="auto"/>
                <w:lang w:val="en-US" w:eastAsia="zh-CN"/>
              </w:rPr>
              <w:t>1</w:t>
            </w:r>
            <w:r>
              <w:rPr>
                <w:rFonts w:hint="eastAsia"/>
                <w:color w:val="auto"/>
                <w:lang w:eastAsia="zh-CN"/>
              </w:rPr>
              <w:t>月</w:t>
            </w:r>
            <w:r>
              <w:rPr>
                <w:rFonts w:hint="eastAsia"/>
                <w:color w:val="auto"/>
                <w:lang w:val="en-US" w:eastAsia="zh-CN"/>
              </w:rPr>
              <w:t>21</w:t>
            </w:r>
            <w:r>
              <w:rPr>
                <w:rFonts w:hint="eastAsia"/>
                <w:color w:val="auto"/>
                <w:lang w:eastAsia="zh-CN"/>
              </w:rPr>
              <w:t>日</w:t>
            </w:r>
            <w:r>
              <w:rPr>
                <w:color w:val="auto"/>
              </w:rPr>
              <w:t>发布的</w:t>
            </w:r>
            <w:r>
              <w:rPr>
                <w:rFonts w:hint="eastAsia"/>
                <w:color w:val="auto"/>
                <w:lang w:eastAsia="zh-CN"/>
              </w:rPr>
              <w:t>《平昌县202</w:t>
            </w:r>
            <w:r>
              <w:rPr>
                <w:rFonts w:hint="eastAsia"/>
                <w:color w:val="auto"/>
                <w:lang w:val="en-US" w:eastAsia="zh-CN"/>
              </w:rPr>
              <w:t>5</w:t>
            </w:r>
            <w:r>
              <w:rPr>
                <w:rFonts w:hint="eastAsia"/>
                <w:color w:val="auto"/>
                <w:lang w:eastAsia="zh-CN"/>
              </w:rPr>
              <w:t>年度生态环境质量状况公报》</w:t>
            </w:r>
            <w:r>
              <w:rPr>
                <w:rFonts w:hint="default" w:ascii="Times New Roman" w:hAnsi="Times New Roman" w:cs="Times New Roman"/>
              </w:rPr>
              <w:t>。</w:t>
            </w:r>
          </w:p>
          <w:p w14:paraId="5837C222">
            <w:pPr>
              <w:keepNext w:val="0"/>
              <w:keepLines w:val="0"/>
              <w:widowControl/>
              <w:suppressLineNumbers w:val="0"/>
              <w:jc w:val="left"/>
              <w:rPr>
                <w:rFonts w:hint="eastAsia" w:ascii="Times New Roman" w:hAnsi="Times New Roman" w:eastAsia="宋体" w:cs="Times New Roman"/>
                <w:color w:val="auto"/>
                <w:lang w:eastAsia="zh-CN"/>
              </w:rPr>
            </w:pPr>
            <w:r>
              <w:rPr>
                <w:color w:val="auto"/>
              </w:rPr>
              <w:t>根据</w:t>
            </w:r>
            <w:r>
              <w:rPr>
                <w:rFonts w:hint="eastAsia"/>
                <w:color w:val="auto"/>
                <w:lang w:eastAsia="zh-CN"/>
              </w:rPr>
              <w:t>《平昌县202</w:t>
            </w:r>
            <w:r>
              <w:rPr>
                <w:rFonts w:hint="eastAsia"/>
                <w:color w:val="auto"/>
                <w:lang w:val="en-US" w:eastAsia="zh-CN"/>
              </w:rPr>
              <w:t>5</w:t>
            </w:r>
            <w:r>
              <w:rPr>
                <w:rFonts w:hint="eastAsia"/>
                <w:color w:val="auto"/>
                <w:lang w:eastAsia="zh-CN"/>
              </w:rPr>
              <w:t>年度生态环境质</w:t>
            </w:r>
            <w:r>
              <w:rPr>
                <w:rFonts w:hint="eastAsia" w:ascii="Times New Roman" w:hAnsi="Times New Roman" w:eastAsia="宋体" w:cs="Times New Roman"/>
                <w:color w:val="auto"/>
                <w:lang w:eastAsia="zh-CN"/>
              </w:rPr>
              <w:t>量状况公报》，</w:t>
            </w:r>
            <w:r>
              <w:rPr>
                <w:rFonts w:hint="default" w:ascii="Times New Roman" w:hAnsi="Times New Roman" w:eastAsia="宋体" w:cs="Times New Roman"/>
                <w:color w:val="auto"/>
                <w:lang w:eastAsia="zh-CN"/>
              </w:rPr>
              <w:t>2025</w:t>
            </w:r>
            <w:r>
              <w:rPr>
                <w:rFonts w:hint="eastAsia" w:ascii="Times New Roman" w:hAnsi="Times New Roman" w:eastAsia="宋体" w:cs="Times New Roman"/>
                <w:color w:val="auto"/>
                <w:lang w:eastAsia="zh-CN"/>
              </w:rPr>
              <w:t>年，平昌县环境空气质量有效监测天数</w:t>
            </w:r>
            <w:r>
              <w:rPr>
                <w:rFonts w:hint="default" w:ascii="Times New Roman" w:hAnsi="Times New Roman" w:eastAsia="宋体" w:cs="Times New Roman"/>
                <w:color w:val="auto"/>
                <w:lang w:eastAsia="zh-CN"/>
              </w:rPr>
              <w:t>364</w:t>
            </w:r>
            <w:r>
              <w:rPr>
                <w:rFonts w:hint="eastAsia" w:ascii="Times New Roman" w:hAnsi="Times New Roman" w:eastAsia="宋体" w:cs="Times New Roman"/>
                <w:color w:val="auto"/>
                <w:lang w:eastAsia="zh-CN"/>
              </w:rPr>
              <w:t>天，优良天数</w:t>
            </w:r>
            <w:r>
              <w:rPr>
                <w:rFonts w:hint="default" w:ascii="Times New Roman" w:hAnsi="Times New Roman" w:eastAsia="宋体" w:cs="Times New Roman"/>
                <w:color w:val="auto"/>
                <w:lang w:eastAsia="zh-CN"/>
              </w:rPr>
              <w:t>341</w:t>
            </w:r>
            <w:r>
              <w:rPr>
                <w:rFonts w:hint="eastAsia" w:ascii="Times New Roman" w:hAnsi="Times New Roman" w:eastAsia="宋体" w:cs="Times New Roman"/>
                <w:color w:val="auto"/>
                <w:lang w:eastAsia="zh-CN"/>
              </w:rPr>
              <w:t>天、轻度污染</w:t>
            </w:r>
            <w:r>
              <w:rPr>
                <w:rFonts w:hint="default" w:ascii="Times New Roman" w:hAnsi="Times New Roman" w:eastAsia="宋体" w:cs="Times New Roman"/>
                <w:color w:val="auto"/>
                <w:lang w:eastAsia="zh-CN"/>
              </w:rPr>
              <w:t>17</w:t>
            </w:r>
            <w:r>
              <w:rPr>
                <w:rFonts w:hint="eastAsia" w:ascii="Times New Roman" w:hAnsi="Times New Roman" w:eastAsia="宋体" w:cs="Times New Roman"/>
                <w:color w:val="auto"/>
                <w:lang w:eastAsia="zh-CN"/>
              </w:rPr>
              <w:t>天、中度污染</w:t>
            </w:r>
            <w:r>
              <w:rPr>
                <w:rFonts w:hint="default" w:ascii="Times New Roman" w:hAnsi="Times New Roman" w:eastAsia="宋体" w:cs="Times New Roman"/>
                <w:color w:val="auto"/>
                <w:lang w:eastAsia="zh-CN"/>
              </w:rPr>
              <w:t>5</w:t>
            </w:r>
            <w:r>
              <w:rPr>
                <w:rFonts w:hint="eastAsia" w:ascii="Times New Roman" w:hAnsi="Times New Roman" w:eastAsia="宋体" w:cs="Times New Roman"/>
                <w:color w:val="auto"/>
                <w:lang w:eastAsia="zh-CN"/>
              </w:rPr>
              <w:t>天、严重污染</w:t>
            </w:r>
            <w:r>
              <w:rPr>
                <w:rFonts w:hint="default" w:ascii="Times New Roman" w:hAnsi="Times New Roman" w:eastAsia="宋体" w:cs="Times New Roman"/>
                <w:color w:val="auto"/>
                <w:lang w:eastAsia="zh-CN"/>
              </w:rPr>
              <w:t>1</w:t>
            </w:r>
            <w:r>
              <w:rPr>
                <w:rFonts w:hint="eastAsia" w:ascii="Times New Roman" w:hAnsi="Times New Roman" w:eastAsia="宋体" w:cs="Times New Roman"/>
                <w:color w:val="auto"/>
                <w:lang w:eastAsia="zh-CN"/>
              </w:rPr>
              <w:t>天，优良率</w:t>
            </w:r>
            <w:r>
              <w:rPr>
                <w:rFonts w:hint="default" w:ascii="Times New Roman" w:hAnsi="Times New Roman" w:eastAsia="宋体" w:cs="Times New Roman"/>
                <w:color w:val="auto"/>
                <w:lang w:eastAsia="zh-CN"/>
              </w:rPr>
              <w:t>93.7%</w:t>
            </w:r>
            <w:r>
              <w:rPr>
                <w:rFonts w:hint="eastAsia" w:ascii="Times New Roman" w:hAnsi="Times New Roman" w:eastAsia="宋体" w:cs="Times New Roman"/>
                <w:color w:val="auto"/>
                <w:lang w:eastAsia="zh-CN"/>
              </w:rPr>
              <w:t>，同比下降</w:t>
            </w:r>
            <w:r>
              <w:rPr>
                <w:rFonts w:hint="default" w:ascii="Times New Roman" w:hAnsi="Times New Roman" w:eastAsia="宋体" w:cs="Times New Roman"/>
                <w:color w:val="auto"/>
                <w:lang w:eastAsia="zh-CN"/>
              </w:rPr>
              <w:t>1.9%</w:t>
            </w:r>
            <w:r>
              <w:rPr>
                <w:rFonts w:hint="eastAsia" w:ascii="Times New Roman" w:hAnsi="Times New Roman" w:eastAsia="宋体" w:cs="Times New Roman"/>
                <w:color w:val="auto"/>
                <w:lang w:eastAsia="zh-CN"/>
              </w:rPr>
              <w:t>。二氧化硫、二氧化氮、一氧化碳、臭氧、</w:t>
            </w:r>
            <w:r>
              <w:rPr>
                <w:rFonts w:hint="default" w:ascii="Times New Roman" w:hAnsi="Times New Roman" w:eastAsia="宋体" w:cs="Times New Roman"/>
                <w:color w:val="auto"/>
                <w:lang w:eastAsia="zh-CN"/>
              </w:rPr>
              <w:t>PM</w:t>
            </w:r>
            <w:r>
              <w:rPr>
                <w:rFonts w:hint="default" w:ascii="Times New Roman" w:hAnsi="Times New Roman" w:eastAsia="宋体" w:cs="Times New Roman"/>
                <w:color w:val="auto"/>
                <w:vertAlign w:val="subscript"/>
                <w:lang w:eastAsia="zh-CN"/>
              </w:rPr>
              <w:t>2.5</w:t>
            </w:r>
            <w:r>
              <w:rPr>
                <w:rFonts w:hint="eastAsia" w:ascii="Times New Roman" w:hAnsi="Times New Roman" w:eastAsia="宋体" w:cs="Times New Roman"/>
                <w:color w:val="auto"/>
                <w:lang w:eastAsia="zh-CN"/>
              </w:rPr>
              <w:t>（细颗粒物）、</w:t>
            </w:r>
            <w:r>
              <w:rPr>
                <w:rFonts w:hint="default" w:ascii="Times New Roman" w:hAnsi="Times New Roman" w:eastAsia="宋体" w:cs="Times New Roman"/>
                <w:color w:val="auto"/>
                <w:lang w:eastAsia="zh-CN"/>
              </w:rPr>
              <w:t>PM</w:t>
            </w:r>
            <w:r>
              <w:rPr>
                <w:rFonts w:hint="default" w:ascii="Times New Roman" w:hAnsi="Times New Roman" w:eastAsia="宋体" w:cs="Times New Roman"/>
                <w:color w:val="auto"/>
                <w:vertAlign w:val="subscript"/>
                <w:lang w:eastAsia="zh-CN"/>
              </w:rPr>
              <w:t>10</w:t>
            </w:r>
            <w:r>
              <w:rPr>
                <w:rFonts w:hint="eastAsia" w:ascii="Times New Roman" w:hAnsi="Times New Roman" w:eastAsia="宋体" w:cs="Times New Roman"/>
                <w:color w:val="auto"/>
                <w:lang w:eastAsia="zh-CN"/>
              </w:rPr>
              <w:t>（可吸入颗粒物）平均浓度分别为</w:t>
            </w:r>
            <w:r>
              <w:rPr>
                <w:rFonts w:hint="default" w:ascii="Times New Roman" w:hAnsi="Times New Roman" w:eastAsia="宋体" w:cs="Times New Roman"/>
                <w:color w:val="auto"/>
                <w:lang w:eastAsia="zh-CN"/>
              </w:rPr>
              <w:t>4.2μg/m</w:t>
            </w:r>
            <w:r>
              <w:rPr>
                <w:rFonts w:hint="default" w:ascii="Times New Roman" w:hAnsi="Times New Roman" w:eastAsia="宋体" w:cs="Times New Roman"/>
                <w:color w:val="auto"/>
                <w:vertAlign w:val="superscript"/>
                <w:lang w:eastAsia="zh-CN"/>
              </w:rPr>
              <w:t>3</w:t>
            </w:r>
            <w:r>
              <w:rPr>
                <w:rFonts w:hint="eastAsia" w:ascii="Times New Roman" w:hAnsi="Times New Roman" w:eastAsia="宋体" w:cs="Times New Roman"/>
                <w:color w:val="auto"/>
                <w:lang w:eastAsia="zh-CN"/>
              </w:rPr>
              <w:t>、</w:t>
            </w:r>
            <w:r>
              <w:rPr>
                <w:rFonts w:hint="default" w:ascii="Times New Roman" w:hAnsi="Times New Roman" w:eastAsia="宋体" w:cs="Times New Roman"/>
                <w:color w:val="auto"/>
                <w:lang w:eastAsia="zh-CN"/>
              </w:rPr>
              <w:t>9.7μg/m</w:t>
            </w:r>
            <w:r>
              <w:rPr>
                <w:rFonts w:hint="default" w:ascii="Times New Roman" w:hAnsi="Times New Roman" w:eastAsia="宋体" w:cs="Times New Roman"/>
                <w:color w:val="auto"/>
                <w:vertAlign w:val="superscript"/>
                <w:lang w:eastAsia="zh-CN"/>
              </w:rPr>
              <w:t>3</w:t>
            </w:r>
            <w:r>
              <w:rPr>
                <w:rFonts w:hint="eastAsia" w:ascii="Times New Roman" w:hAnsi="Times New Roman" w:eastAsia="宋体" w:cs="Times New Roman"/>
                <w:color w:val="auto"/>
                <w:lang w:eastAsia="zh-CN"/>
              </w:rPr>
              <w:t>、</w:t>
            </w:r>
            <w:r>
              <w:rPr>
                <w:rFonts w:hint="default" w:ascii="Times New Roman" w:hAnsi="Times New Roman" w:eastAsia="宋体" w:cs="Times New Roman"/>
                <w:color w:val="auto"/>
                <w:lang w:eastAsia="zh-CN"/>
              </w:rPr>
              <w:t>1.3mg/m</w:t>
            </w:r>
            <w:r>
              <w:rPr>
                <w:rFonts w:hint="default" w:ascii="Times New Roman" w:hAnsi="Times New Roman" w:eastAsia="宋体" w:cs="Times New Roman"/>
                <w:color w:val="auto"/>
                <w:vertAlign w:val="superscript"/>
                <w:lang w:eastAsia="zh-CN"/>
              </w:rPr>
              <w:t>3</w:t>
            </w:r>
            <w:r>
              <w:rPr>
                <w:rFonts w:hint="eastAsia" w:ascii="Times New Roman" w:hAnsi="Times New Roman" w:eastAsia="宋体" w:cs="Times New Roman"/>
                <w:color w:val="auto"/>
                <w:lang w:eastAsia="zh-CN"/>
              </w:rPr>
              <w:t>、</w:t>
            </w:r>
            <w:r>
              <w:rPr>
                <w:rFonts w:hint="default" w:ascii="Times New Roman" w:hAnsi="Times New Roman" w:eastAsia="宋体" w:cs="Times New Roman"/>
                <w:color w:val="auto"/>
                <w:lang w:eastAsia="zh-CN"/>
              </w:rPr>
              <w:t>134μg/m</w:t>
            </w:r>
            <w:r>
              <w:rPr>
                <w:rFonts w:hint="default" w:ascii="Times New Roman" w:hAnsi="Times New Roman" w:eastAsia="宋体" w:cs="Times New Roman"/>
                <w:color w:val="auto"/>
                <w:vertAlign w:val="superscript"/>
                <w:lang w:eastAsia="zh-CN"/>
              </w:rPr>
              <w:t>3</w:t>
            </w:r>
            <w:r>
              <w:rPr>
                <w:rFonts w:hint="eastAsia" w:ascii="Times New Roman" w:hAnsi="Times New Roman" w:eastAsia="宋体" w:cs="Times New Roman"/>
                <w:color w:val="auto"/>
                <w:lang w:eastAsia="zh-CN"/>
              </w:rPr>
              <w:t>、</w:t>
            </w:r>
            <w:r>
              <w:rPr>
                <w:rFonts w:hint="default" w:ascii="Times New Roman" w:hAnsi="Times New Roman" w:eastAsia="宋体" w:cs="Times New Roman"/>
                <w:color w:val="auto"/>
                <w:lang w:eastAsia="zh-CN"/>
              </w:rPr>
              <w:t>25.</w:t>
            </w:r>
            <w:r>
              <w:rPr>
                <w:rFonts w:hint="eastAsia" w:cs="Times New Roman"/>
                <w:color w:val="auto"/>
                <w:lang w:val="en-US" w:eastAsia="zh-CN"/>
              </w:rPr>
              <w:t>4</w:t>
            </w:r>
            <w:r>
              <w:rPr>
                <w:rFonts w:hint="default" w:ascii="Times New Roman" w:hAnsi="Times New Roman" w:eastAsia="宋体" w:cs="Times New Roman"/>
                <w:color w:val="auto"/>
                <w:lang w:eastAsia="zh-CN"/>
              </w:rPr>
              <w:t>μg/m</w:t>
            </w:r>
            <w:r>
              <w:rPr>
                <w:rFonts w:hint="default" w:ascii="Times New Roman" w:hAnsi="Times New Roman" w:eastAsia="宋体" w:cs="Times New Roman"/>
                <w:color w:val="auto"/>
                <w:vertAlign w:val="superscript"/>
                <w:lang w:eastAsia="zh-CN"/>
              </w:rPr>
              <w:t>3</w:t>
            </w:r>
            <w:r>
              <w:rPr>
                <w:rFonts w:hint="eastAsia" w:ascii="Times New Roman" w:hAnsi="Times New Roman" w:eastAsia="宋体" w:cs="Times New Roman"/>
                <w:color w:val="auto"/>
                <w:lang w:eastAsia="zh-CN"/>
              </w:rPr>
              <w:t>、</w:t>
            </w:r>
            <w:r>
              <w:rPr>
                <w:rFonts w:hint="default" w:ascii="Times New Roman" w:hAnsi="Times New Roman" w:eastAsia="宋体" w:cs="Times New Roman"/>
                <w:color w:val="auto"/>
                <w:lang w:eastAsia="zh-CN"/>
              </w:rPr>
              <w:t>40.</w:t>
            </w:r>
            <w:r>
              <w:rPr>
                <w:rFonts w:hint="eastAsia" w:cs="Times New Roman"/>
                <w:color w:val="auto"/>
                <w:lang w:val="en-US" w:eastAsia="zh-CN"/>
              </w:rPr>
              <w:t>3</w:t>
            </w:r>
            <w:r>
              <w:rPr>
                <w:rFonts w:hint="default" w:ascii="Times New Roman" w:hAnsi="Times New Roman" w:eastAsia="宋体" w:cs="Times New Roman"/>
                <w:color w:val="auto"/>
                <w:lang w:eastAsia="zh-CN"/>
              </w:rPr>
              <w:t>μg/m</w:t>
            </w:r>
            <w:r>
              <w:rPr>
                <w:rFonts w:hint="default" w:ascii="Times New Roman" w:hAnsi="Times New Roman" w:eastAsia="宋体" w:cs="Times New Roman"/>
                <w:color w:val="auto"/>
                <w:vertAlign w:val="superscript"/>
                <w:lang w:eastAsia="zh-CN"/>
              </w:rPr>
              <w:t>3</w:t>
            </w:r>
            <w:r>
              <w:rPr>
                <w:rFonts w:hint="eastAsia" w:ascii="Times New Roman" w:hAnsi="Times New Roman" w:eastAsia="宋体" w:cs="Times New Roman"/>
                <w:color w:val="auto"/>
                <w:lang w:eastAsia="zh-CN"/>
              </w:rPr>
              <w:t>，二氧化硫、</w:t>
            </w:r>
            <w:r>
              <w:rPr>
                <w:rFonts w:hint="default" w:ascii="Times New Roman" w:hAnsi="Times New Roman" w:eastAsia="宋体" w:cs="Times New Roman"/>
                <w:color w:val="auto"/>
                <w:lang w:eastAsia="zh-CN"/>
              </w:rPr>
              <w:t>PM</w:t>
            </w:r>
            <w:r>
              <w:rPr>
                <w:rFonts w:hint="default" w:ascii="Times New Roman" w:hAnsi="Times New Roman" w:eastAsia="宋体" w:cs="Times New Roman"/>
                <w:color w:val="auto"/>
                <w:vertAlign w:val="subscript"/>
                <w:lang w:eastAsia="zh-CN"/>
              </w:rPr>
              <w:t>2.5</w:t>
            </w:r>
            <w:r>
              <w:rPr>
                <w:rFonts w:hint="eastAsia" w:ascii="Times New Roman" w:hAnsi="Times New Roman" w:eastAsia="宋体" w:cs="Times New Roman"/>
                <w:color w:val="auto"/>
                <w:lang w:eastAsia="zh-CN"/>
              </w:rPr>
              <w:t>（细颗粒物）、</w:t>
            </w:r>
            <w:r>
              <w:rPr>
                <w:rFonts w:hint="default" w:ascii="Times New Roman" w:hAnsi="Times New Roman" w:eastAsia="宋体" w:cs="Times New Roman"/>
                <w:color w:val="auto"/>
                <w:lang w:eastAsia="zh-CN"/>
              </w:rPr>
              <w:t>PM</w:t>
            </w:r>
            <w:r>
              <w:rPr>
                <w:rFonts w:hint="default" w:ascii="Times New Roman" w:hAnsi="Times New Roman" w:eastAsia="宋体" w:cs="Times New Roman"/>
                <w:color w:val="auto"/>
                <w:vertAlign w:val="subscript"/>
                <w:lang w:eastAsia="zh-CN"/>
              </w:rPr>
              <w:t>10</w:t>
            </w:r>
            <w:r>
              <w:rPr>
                <w:rFonts w:hint="eastAsia" w:ascii="Times New Roman" w:hAnsi="Times New Roman" w:eastAsia="宋体" w:cs="Times New Roman"/>
                <w:color w:val="auto"/>
                <w:lang w:eastAsia="zh-CN"/>
              </w:rPr>
              <w:t>（可吸入颗粒物）平均浓度分别同比下降</w:t>
            </w:r>
            <w:r>
              <w:rPr>
                <w:rFonts w:hint="default" w:ascii="Times New Roman" w:hAnsi="Times New Roman" w:eastAsia="宋体" w:cs="Times New Roman"/>
                <w:color w:val="auto"/>
                <w:lang w:eastAsia="zh-CN"/>
              </w:rPr>
              <w:t>6.7%</w:t>
            </w:r>
            <w:r>
              <w:rPr>
                <w:rFonts w:hint="eastAsia" w:ascii="Times New Roman" w:hAnsi="Times New Roman" w:eastAsia="宋体" w:cs="Times New Roman"/>
                <w:color w:val="auto"/>
                <w:lang w:eastAsia="zh-CN"/>
              </w:rPr>
              <w:t>、</w:t>
            </w:r>
            <w:r>
              <w:rPr>
                <w:rFonts w:hint="default" w:ascii="Times New Roman" w:hAnsi="Times New Roman" w:eastAsia="宋体" w:cs="Times New Roman"/>
                <w:color w:val="auto"/>
                <w:lang w:eastAsia="zh-CN"/>
              </w:rPr>
              <w:t>10.</w:t>
            </w:r>
            <w:r>
              <w:rPr>
                <w:rFonts w:hint="eastAsia" w:cs="Times New Roman"/>
                <w:color w:val="auto"/>
                <w:lang w:val="en-US" w:eastAsia="zh-CN"/>
              </w:rPr>
              <w:t>6</w:t>
            </w:r>
            <w:r>
              <w:rPr>
                <w:rFonts w:hint="default" w:ascii="Times New Roman" w:hAnsi="Times New Roman" w:eastAsia="宋体" w:cs="Times New Roman"/>
                <w:color w:val="auto"/>
                <w:lang w:eastAsia="zh-CN"/>
              </w:rPr>
              <w:t>%</w:t>
            </w:r>
            <w:r>
              <w:rPr>
                <w:rFonts w:hint="eastAsia" w:ascii="Times New Roman" w:hAnsi="Times New Roman" w:eastAsia="宋体" w:cs="Times New Roman"/>
                <w:color w:val="auto"/>
                <w:lang w:eastAsia="zh-CN"/>
              </w:rPr>
              <w:t>、</w:t>
            </w:r>
            <w:r>
              <w:rPr>
                <w:rFonts w:hint="default" w:ascii="Times New Roman" w:hAnsi="Times New Roman" w:eastAsia="宋体" w:cs="Times New Roman"/>
                <w:color w:val="auto"/>
                <w:lang w:eastAsia="zh-CN"/>
              </w:rPr>
              <w:t>13.</w:t>
            </w:r>
            <w:r>
              <w:rPr>
                <w:rFonts w:hint="eastAsia" w:cs="Times New Roman"/>
                <w:color w:val="auto"/>
                <w:lang w:val="en-US" w:eastAsia="zh-CN"/>
              </w:rPr>
              <w:t>7</w:t>
            </w:r>
            <w:r>
              <w:rPr>
                <w:rFonts w:hint="default" w:ascii="Times New Roman" w:hAnsi="Times New Roman" w:eastAsia="宋体" w:cs="Times New Roman"/>
                <w:color w:val="auto"/>
                <w:lang w:eastAsia="zh-CN"/>
              </w:rPr>
              <w:t>%</w:t>
            </w:r>
            <w:r>
              <w:rPr>
                <w:rFonts w:hint="eastAsia" w:ascii="Times New Roman" w:hAnsi="Times New Roman" w:eastAsia="宋体" w:cs="Times New Roman"/>
                <w:color w:val="auto"/>
                <w:lang w:eastAsia="zh-CN"/>
              </w:rPr>
              <w:t>，二氧化氮、臭氧平均浓度分别同比上升</w:t>
            </w:r>
            <w:r>
              <w:rPr>
                <w:rFonts w:hint="default" w:ascii="Times New Roman" w:hAnsi="Times New Roman" w:eastAsia="宋体" w:cs="Times New Roman"/>
                <w:color w:val="auto"/>
                <w:lang w:eastAsia="zh-CN"/>
              </w:rPr>
              <w:t>3.2%</w:t>
            </w:r>
            <w:r>
              <w:rPr>
                <w:rFonts w:hint="eastAsia" w:ascii="Times New Roman" w:hAnsi="Times New Roman" w:eastAsia="宋体" w:cs="Times New Roman"/>
                <w:color w:val="auto"/>
                <w:lang w:eastAsia="zh-CN"/>
              </w:rPr>
              <w:t>、</w:t>
            </w:r>
            <w:r>
              <w:rPr>
                <w:rFonts w:hint="default" w:ascii="Times New Roman" w:hAnsi="Times New Roman" w:eastAsia="宋体" w:cs="Times New Roman"/>
                <w:color w:val="auto"/>
                <w:lang w:eastAsia="zh-CN"/>
              </w:rPr>
              <w:t>8.1%</w:t>
            </w:r>
            <w:r>
              <w:rPr>
                <w:rFonts w:hint="eastAsia" w:ascii="Times New Roman" w:hAnsi="Times New Roman" w:eastAsia="宋体" w:cs="Times New Roman"/>
                <w:color w:val="auto"/>
                <w:lang w:eastAsia="zh-CN"/>
              </w:rPr>
              <w:t>，一氧化碳平均浓度同比持平。</w:t>
            </w:r>
          </w:p>
          <w:p w14:paraId="32FF39CF">
            <w:pPr>
              <w:keepNext w:val="0"/>
              <w:keepLines w:val="0"/>
              <w:widowControl/>
              <w:suppressLineNumbers w:val="0"/>
              <w:jc w:val="left"/>
              <w:rPr>
                <w:rFonts w:hint="default" w:ascii="Times New Roman" w:hAnsi="Times New Roman" w:cs="Times New Roman"/>
              </w:rPr>
            </w:pPr>
            <w:r>
              <w:rPr>
                <w:rFonts w:hint="default" w:ascii="Times New Roman" w:hAnsi="Times New Roman" w:cs="Times New Roman"/>
              </w:rPr>
              <w:t>本项目位于巴中市</w:t>
            </w:r>
            <w:r>
              <w:rPr>
                <w:rFonts w:hint="default" w:ascii="Times New Roman" w:hAnsi="Times New Roman" w:cs="Times New Roman"/>
                <w:lang w:val="en-US" w:eastAsia="zh-CN"/>
              </w:rPr>
              <w:t>平昌县</w:t>
            </w:r>
            <w:r>
              <w:rPr>
                <w:rFonts w:hint="default" w:ascii="Times New Roman" w:hAnsi="Times New Roman" w:eastAsia="宋体" w:cs="Times New Roman"/>
                <w:color w:val="000000"/>
                <w:kern w:val="0"/>
                <w:sz w:val="24"/>
                <w:szCs w:val="24"/>
                <w:lang w:val="en-US" w:eastAsia="zh-CN" w:bidi="ar"/>
              </w:rPr>
              <w:t>星光工业园施迈路1号</w:t>
            </w:r>
            <w:r>
              <w:rPr>
                <w:rFonts w:hint="default" w:ascii="Times New Roman" w:hAnsi="Times New Roman" w:cs="Times New Roman"/>
              </w:rPr>
              <w:t>，区域环境空气质量现</w:t>
            </w:r>
            <w:r>
              <w:rPr>
                <w:rFonts w:hint="default" w:ascii="Times New Roman" w:hAnsi="Times New Roman" w:cs="Times New Roman"/>
                <w:lang w:val="en-US" w:eastAsia="zh-CN"/>
              </w:rPr>
              <w:t>状</w:t>
            </w:r>
            <w:r>
              <w:rPr>
                <w:rFonts w:hint="default" w:ascii="Times New Roman" w:hAnsi="Times New Roman" w:cs="Times New Roman"/>
              </w:rPr>
              <w:t>情况如下：</w:t>
            </w:r>
          </w:p>
          <w:p w14:paraId="23CDD0CE">
            <w:pPr>
              <w:pStyle w:val="11"/>
              <w:keepNext/>
              <w:rPr>
                <w:rFonts w:hint="default" w:ascii="Times New Roman" w:hAnsi="Times New Roman" w:cs="Times New Roman"/>
              </w:rPr>
            </w:pPr>
            <w:bookmarkStart w:id="43" w:name="OLE_LINK176"/>
            <w:bookmarkStart w:id="44" w:name="OLE_LINK177"/>
            <w:r>
              <w:rPr>
                <w:rFonts w:hint="default" w:ascii="Times New Roman" w:hAnsi="Times New Roman" w:cs="Times New Roman"/>
              </w:rPr>
              <w:t>表</w:t>
            </w:r>
            <w:r>
              <w:rPr>
                <w:rFonts w:hint="eastAsia" w:cs="Times New Roman"/>
                <w:lang w:val="en-US" w:eastAsia="zh-CN"/>
              </w:rPr>
              <w:t>3</w:t>
            </w:r>
            <w:r>
              <w:rPr>
                <w:rFonts w:hint="default" w:ascii="Times New Roman" w:hAnsi="Times New Roman" w:cs="Times New Roman"/>
              </w:rPr>
              <w:noBreakHyphen/>
            </w:r>
            <w:r>
              <w:rPr>
                <w:rFonts w:hint="default" w:ascii="Times New Roman" w:hAnsi="Times New Roman" w:cs="Times New Roman"/>
              </w:rPr>
              <w:fldChar w:fldCharType="begin"/>
            </w:r>
            <w:r>
              <w:rPr>
                <w:rFonts w:hint="default" w:ascii="Times New Roman" w:hAnsi="Times New Roman" w:cs="Times New Roman"/>
              </w:rPr>
              <w:instrText xml:space="preserve"> SEQ 表 \* ARABIC \s 1 </w:instrText>
            </w:r>
            <w:r>
              <w:rPr>
                <w:rFonts w:hint="default" w:ascii="Times New Roman" w:hAnsi="Times New Roman" w:cs="Times New Roman"/>
              </w:rPr>
              <w:fldChar w:fldCharType="separate"/>
            </w:r>
            <w:r>
              <w:rPr>
                <w:rFonts w:hint="default" w:ascii="Times New Roman" w:hAnsi="Times New Roman" w:cs="Times New Roman"/>
              </w:rPr>
              <w:t>1</w:t>
            </w:r>
            <w:r>
              <w:rPr>
                <w:rFonts w:hint="default" w:ascii="Times New Roman" w:hAnsi="Times New Roman" w:cs="Times New Roman"/>
              </w:rPr>
              <w:fldChar w:fldCharType="end"/>
            </w:r>
            <w:r>
              <w:rPr>
                <w:rFonts w:hint="default" w:ascii="Times New Roman" w:hAnsi="Times New Roman" w:cs="Times New Roman"/>
              </w:rPr>
              <w:t xml:space="preserve"> </w:t>
            </w:r>
            <w:r>
              <w:rPr>
                <w:rFonts w:hint="eastAsia" w:cs="Times New Roman"/>
                <w:lang w:val="en-US" w:eastAsia="zh-CN"/>
              </w:rPr>
              <w:t xml:space="preserve"> </w:t>
            </w:r>
            <w:r>
              <w:rPr>
                <w:rFonts w:hint="default" w:ascii="Times New Roman" w:hAnsi="Times New Roman" w:cs="Times New Roman"/>
              </w:rPr>
              <w:t>202</w:t>
            </w:r>
            <w:r>
              <w:rPr>
                <w:rFonts w:hint="eastAsia" w:cs="Times New Roman"/>
                <w:lang w:val="en-US" w:eastAsia="zh-CN"/>
              </w:rPr>
              <w:t>5</w:t>
            </w:r>
            <w:r>
              <w:rPr>
                <w:rFonts w:hint="default" w:ascii="Times New Roman" w:hAnsi="Times New Roman" w:cs="Times New Roman"/>
              </w:rPr>
              <w:t>年</w:t>
            </w:r>
            <w:r>
              <w:rPr>
                <w:rFonts w:hint="eastAsia" w:cs="Times New Roman"/>
                <w:lang w:val="en-US" w:eastAsia="zh-CN"/>
              </w:rPr>
              <w:t>平昌县</w:t>
            </w:r>
            <w:r>
              <w:rPr>
                <w:rFonts w:hint="default" w:ascii="Times New Roman" w:hAnsi="Times New Roman" w:cs="Times New Roman"/>
              </w:rPr>
              <w:t>基本污染物空气质量现状评价表</w:t>
            </w:r>
          </w:p>
          <w:bookmarkEnd w:id="43"/>
          <w:bookmarkEnd w:id="44"/>
          <w:tbl>
            <w:tblPr>
              <w:tblStyle w:val="2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1137"/>
              <w:gridCol w:w="2339"/>
              <w:gridCol w:w="2027"/>
              <w:gridCol w:w="1717"/>
              <w:gridCol w:w="1088"/>
              <w:gridCol w:w="1084"/>
            </w:tblGrid>
            <w:tr w14:paraId="69D43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606" w:type="pct"/>
                  <w:vAlign w:val="center"/>
                </w:tcPr>
                <w:p w14:paraId="552A9D08">
                  <w:pPr>
                    <w:pStyle w:val="45"/>
                    <w:rPr>
                      <w:rFonts w:hint="default" w:ascii="Times New Roman" w:hAnsi="Times New Roman" w:cs="Times New Roman"/>
                    </w:rPr>
                  </w:pPr>
                  <w:r>
                    <w:rPr>
                      <w:rFonts w:hint="default" w:ascii="Times New Roman" w:hAnsi="Times New Roman" w:cs="Times New Roman"/>
                    </w:rPr>
                    <w:t>污染物</w:t>
                  </w:r>
                </w:p>
              </w:tc>
              <w:tc>
                <w:tcPr>
                  <w:tcW w:w="1245" w:type="pct"/>
                  <w:vAlign w:val="center"/>
                </w:tcPr>
                <w:p w14:paraId="5ED725EE">
                  <w:pPr>
                    <w:pStyle w:val="45"/>
                    <w:rPr>
                      <w:rFonts w:hint="default" w:ascii="Times New Roman" w:hAnsi="Times New Roman" w:cs="Times New Roman"/>
                    </w:rPr>
                  </w:pPr>
                  <w:r>
                    <w:rPr>
                      <w:rFonts w:hint="default" w:ascii="Times New Roman" w:hAnsi="Times New Roman" w:cs="Times New Roman"/>
                    </w:rPr>
                    <w:t>评价指标</w:t>
                  </w:r>
                </w:p>
              </w:tc>
              <w:tc>
                <w:tcPr>
                  <w:tcW w:w="1079" w:type="pct"/>
                  <w:vAlign w:val="center"/>
                </w:tcPr>
                <w:p w14:paraId="7ED6F61F">
                  <w:pPr>
                    <w:pStyle w:val="45"/>
                    <w:rPr>
                      <w:rFonts w:hint="default" w:ascii="Times New Roman" w:hAnsi="Times New Roman" w:cs="Times New Roman"/>
                    </w:rPr>
                  </w:pPr>
                  <w:r>
                    <w:rPr>
                      <w:rFonts w:hint="default" w:ascii="Times New Roman" w:hAnsi="Times New Roman" w:cs="Times New Roman"/>
                    </w:rPr>
                    <w:t>年均浓度（µg/m</w:t>
                  </w:r>
                  <w:r>
                    <w:rPr>
                      <w:rFonts w:hint="default" w:ascii="Times New Roman" w:hAnsi="Times New Roman" w:cs="Times New Roman"/>
                      <w:vertAlign w:val="superscript"/>
                    </w:rPr>
                    <w:t>3</w:t>
                  </w:r>
                  <w:r>
                    <w:rPr>
                      <w:rFonts w:hint="default" w:ascii="Times New Roman" w:hAnsi="Times New Roman" w:cs="Times New Roman"/>
                    </w:rPr>
                    <w:t>）</w:t>
                  </w:r>
                </w:p>
              </w:tc>
              <w:tc>
                <w:tcPr>
                  <w:tcW w:w="914" w:type="pct"/>
                  <w:vAlign w:val="center"/>
                </w:tcPr>
                <w:p w14:paraId="17ACFB3A">
                  <w:pPr>
                    <w:pStyle w:val="45"/>
                    <w:rPr>
                      <w:rFonts w:hint="default" w:ascii="Times New Roman" w:hAnsi="Times New Roman" w:cs="Times New Roman"/>
                    </w:rPr>
                  </w:pPr>
                  <w:r>
                    <w:rPr>
                      <w:rFonts w:hint="default" w:ascii="Times New Roman" w:hAnsi="Times New Roman" w:cs="Times New Roman"/>
                    </w:rPr>
                    <w:t>标准值（µg/m</w:t>
                  </w:r>
                  <w:r>
                    <w:rPr>
                      <w:rFonts w:hint="default" w:ascii="Times New Roman" w:hAnsi="Times New Roman" w:cs="Times New Roman"/>
                      <w:vertAlign w:val="superscript"/>
                    </w:rPr>
                    <w:t>3</w:t>
                  </w:r>
                  <w:r>
                    <w:rPr>
                      <w:rFonts w:hint="default" w:ascii="Times New Roman" w:hAnsi="Times New Roman" w:cs="Times New Roman"/>
                    </w:rPr>
                    <w:t>）</w:t>
                  </w:r>
                </w:p>
              </w:tc>
              <w:tc>
                <w:tcPr>
                  <w:tcW w:w="579" w:type="pct"/>
                  <w:vAlign w:val="center"/>
                </w:tcPr>
                <w:p w14:paraId="622E8C34">
                  <w:pPr>
                    <w:pStyle w:val="45"/>
                    <w:rPr>
                      <w:rFonts w:hint="default" w:ascii="Times New Roman" w:hAnsi="Times New Roman" w:cs="Times New Roman"/>
                    </w:rPr>
                  </w:pPr>
                  <w:r>
                    <w:rPr>
                      <w:rFonts w:hint="default" w:ascii="Times New Roman" w:hAnsi="Times New Roman" w:cs="Times New Roman"/>
                    </w:rPr>
                    <w:t>占标率</w:t>
                  </w:r>
                </w:p>
              </w:tc>
              <w:tc>
                <w:tcPr>
                  <w:tcW w:w="574" w:type="pct"/>
                  <w:vAlign w:val="center"/>
                </w:tcPr>
                <w:p w14:paraId="2EC58035">
                  <w:pPr>
                    <w:pStyle w:val="45"/>
                    <w:rPr>
                      <w:rFonts w:hint="default" w:ascii="Times New Roman" w:hAnsi="Times New Roman" w:cs="Times New Roman"/>
                    </w:rPr>
                  </w:pPr>
                  <w:r>
                    <w:rPr>
                      <w:rFonts w:hint="default" w:ascii="Times New Roman" w:hAnsi="Times New Roman" w:cs="Times New Roman"/>
                    </w:rPr>
                    <w:t>达标情况</w:t>
                  </w:r>
                </w:p>
              </w:tc>
            </w:tr>
            <w:tr w14:paraId="38573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606" w:type="pct"/>
                  <w:vAlign w:val="center"/>
                </w:tcPr>
                <w:p w14:paraId="0D88C978">
                  <w:pPr>
                    <w:pStyle w:val="12"/>
                    <w:rPr>
                      <w:rFonts w:hint="default" w:ascii="Times New Roman" w:hAnsi="Times New Roman" w:cs="Times New Roman"/>
                      <w:b w:val="0"/>
                      <w:bCs w:val="0"/>
                    </w:rPr>
                  </w:pPr>
                  <w:bookmarkStart w:id="45" w:name="_Hlk206430742"/>
                  <w:r>
                    <w:rPr>
                      <w:rFonts w:hint="default" w:ascii="Times New Roman" w:hAnsi="Times New Roman" w:cs="Times New Roman"/>
                      <w:b w:val="0"/>
                      <w:bCs w:val="0"/>
                    </w:rPr>
                    <w:t>SO</w:t>
                  </w:r>
                  <w:r>
                    <w:rPr>
                      <w:rFonts w:hint="default" w:ascii="Times New Roman" w:hAnsi="Times New Roman" w:cs="Times New Roman"/>
                      <w:b w:val="0"/>
                      <w:bCs w:val="0"/>
                      <w:vertAlign w:val="subscript"/>
                    </w:rPr>
                    <w:t>2</w:t>
                  </w:r>
                </w:p>
              </w:tc>
              <w:tc>
                <w:tcPr>
                  <w:tcW w:w="1245" w:type="pct"/>
                  <w:vAlign w:val="center"/>
                </w:tcPr>
                <w:p w14:paraId="53A5A5D5">
                  <w:pPr>
                    <w:pStyle w:val="12"/>
                    <w:rPr>
                      <w:rFonts w:hint="default" w:ascii="Times New Roman" w:hAnsi="Times New Roman" w:cs="Times New Roman"/>
                      <w:b w:val="0"/>
                      <w:bCs w:val="0"/>
                    </w:rPr>
                  </w:pPr>
                  <w:r>
                    <w:rPr>
                      <w:rFonts w:hint="default" w:ascii="Times New Roman" w:hAnsi="Times New Roman" w:cs="Times New Roman"/>
                      <w:b w:val="0"/>
                      <w:bCs w:val="0"/>
                    </w:rPr>
                    <w:t>年平均质量浓度</w:t>
                  </w:r>
                </w:p>
              </w:tc>
              <w:tc>
                <w:tcPr>
                  <w:tcW w:w="1079" w:type="pct"/>
                  <w:vAlign w:val="center"/>
                </w:tcPr>
                <w:p w14:paraId="14D7C0C9">
                  <w:pPr>
                    <w:pStyle w:val="12"/>
                    <w:bidi w:val="0"/>
                    <w:ind w:firstLine="0" w:firstLineChars="0"/>
                    <w:rPr>
                      <w:rFonts w:hint="default" w:ascii="Times New Roman" w:hAnsi="Times New Roman" w:eastAsia="宋体" w:cs="Times New Roman"/>
                      <w:b w:val="0"/>
                      <w:bCs w:val="0"/>
                      <w:lang w:val="en-US" w:eastAsia="zh-CN"/>
                    </w:rPr>
                  </w:pPr>
                  <w:r>
                    <w:rPr>
                      <w:rFonts w:hint="eastAsia"/>
                      <w:b w:val="0"/>
                      <w:bCs w:val="0"/>
                      <w:color w:val="auto"/>
                      <w:lang w:val="en-US" w:eastAsia="zh-CN"/>
                    </w:rPr>
                    <w:t>4.2</w:t>
                  </w:r>
                </w:p>
              </w:tc>
              <w:tc>
                <w:tcPr>
                  <w:tcW w:w="914" w:type="pct"/>
                  <w:vAlign w:val="center"/>
                </w:tcPr>
                <w:p w14:paraId="340BA1C8">
                  <w:pPr>
                    <w:pStyle w:val="12"/>
                    <w:bidi w:val="0"/>
                    <w:ind w:firstLine="0" w:firstLineChars="0"/>
                    <w:rPr>
                      <w:rFonts w:hint="default" w:ascii="Times New Roman" w:hAnsi="Times New Roman" w:cs="Times New Roman"/>
                      <w:b w:val="0"/>
                      <w:bCs w:val="0"/>
                    </w:rPr>
                  </w:pPr>
                  <w:r>
                    <w:rPr>
                      <w:b w:val="0"/>
                      <w:bCs w:val="0"/>
                      <w:color w:val="auto"/>
                    </w:rPr>
                    <w:t>60</w:t>
                  </w:r>
                </w:p>
              </w:tc>
              <w:tc>
                <w:tcPr>
                  <w:tcW w:w="579" w:type="pct"/>
                  <w:vAlign w:val="center"/>
                </w:tcPr>
                <w:p w14:paraId="3D4A496D">
                  <w:pPr>
                    <w:pStyle w:val="12"/>
                    <w:bidi w:val="0"/>
                    <w:ind w:firstLine="0" w:firstLineChars="0"/>
                    <w:rPr>
                      <w:rFonts w:hint="default" w:ascii="Times New Roman" w:hAnsi="Times New Roman" w:eastAsia="宋体" w:cs="Times New Roman"/>
                      <w:b w:val="0"/>
                      <w:bCs w:val="0"/>
                      <w:lang w:val="en-US" w:eastAsia="zh-CN"/>
                    </w:rPr>
                  </w:pPr>
                  <w:r>
                    <w:rPr>
                      <w:rFonts w:hint="eastAsia"/>
                      <w:b w:val="0"/>
                      <w:bCs w:val="0"/>
                      <w:color w:val="auto"/>
                      <w:lang w:val="en-US" w:eastAsia="zh-CN"/>
                    </w:rPr>
                    <w:t>7</w:t>
                  </w:r>
                </w:p>
              </w:tc>
              <w:tc>
                <w:tcPr>
                  <w:tcW w:w="574" w:type="pct"/>
                  <w:vAlign w:val="center"/>
                </w:tcPr>
                <w:p w14:paraId="65EFB748">
                  <w:pPr>
                    <w:pStyle w:val="12"/>
                    <w:bidi w:val="0"/>
                    <w:ind w:firstLine="0" w:firstLineChars="0"/>
                    <w:rPr>
                      <w:rFonts w:hint="default" w:ascii="Times New Roman" w:hAnsi="Times New Roman" w:cs="Times New Roman"/>
                      <w:b w:val="0"/>
                      <w:bCs w:val="0"/>
                    </w:rPr>
                  </w:pPr>
                  <w:r>
                    <w:rPr>
                      <w:b w:val="0"/>
                      <w:bCs w:val="0"/>
                      <w:color w:val="auto"/>
                    </w:rPr>
                    <w:t>达标</w:t>
                  </w:r>
                </w:p>
              </w:tc>
            </w:tr>
            <w:tr w14:paraId="32C3D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606" w:type="pct"/>
                  <w:vAlign w:val="center"/>
                </w:tcPr>
                <w:p w14:paraId="0543A0A9">
                  <w:pPr>
                    <w:pStyle w:val="12"/>
                    <w:rPr>
                      <w:rFonts w:hint="default" w:ascii="Times New Roman" w:hAnsi="Times New Roman" w:cs="Times New Roman"/>
                      <w:b w:val="0"/>
                      <w:bCs w:val="0"/>
                    </w:rPr>
                  </w:pPr>
                  <w:r>
                    <w:rPr>
                      <w:rFonts w:hint="default" w:ascii="Times New Roman" w:hAnsi="Times New Roman" w:cs="Times New Roman"/>
                      <w:b w:val="0"/>
                      <w:bCs w:val="0"/>
                    </w:rPr>
                    <w:t>NO</w:t>
                  </w:r>
                  <w:r>
                    <w:rPr>
                      <w:rFonts w:hint="default" w:ascii="Times New Roman" w:hAnsi="Times New Roman" w:cs="Times New Roman"/>
                      <w:b w:val="0"/>
                      <w:bCs w:val="0"/>
                      <w:vertAlign w:val="subscript"/>
                    </w:rPr>
                    <w:t>2</w:t>
                  </w:r>
                </w:p>
              </w:tc>
              <w:tc>
                <w:tcPr>
                  <w:tcW w:w="1245" w:type="pct"/>
                  <w:vAlign w:val="center"/>
                </w:tcPr>
                <w:p w14:paraId="0E77297F">
                  <w:pPr>
                    <w:pStyle w:val="12"/>
                    <w:rPr>
                      <w:rFonts w:hint="default" w:ascii="Times New Roman" w:hAnsi="Times New Roman" w:cs="Times New Roman"/>
                      <w:b w:val="0"/>
                      <w:bCs w:val="0"/>
                    </w:rPr>
                  </w:pPr>
                  <w:r>
                    <w:rPr>
                      <w:rFonts w:hint="default" w:ascii="Times New Roman" w:hAnsi="Times New Roman" w:cs="Times New Roman"/>
                      <w:b w:val="0"/>
                      <w:bCs w:val="0"/>
                    </w:rPr>
                    <w:t>年平均质量浓度</w:t>
                  </w:r>
                </w:p>
              </w:tc>
              <w:tc>
                <w:tcPr>
                  <w:tcW w:w="1079" w:type="pct"/>
                  <w:vAlign w:val="center"/>
                </w:tcPr>
                <w:p w14:paraId="0C7FA629">
                  <w:pPr>
                    <w:pStyle w:val="12"/>
                    <w:bidi w:val="0"/>
                    <w:ind w:firstLine="0" w:firstLineChars="0"/>
                    <w:rPr>
                      <w:rFonts w:hint="default" w:ascii="Times New Roman" w:hAnsi="Times New Roman" w:eastAsia="宋体" w:cs="Times New Roman"/>
                      <w:b w:val="0"/>
                      <w:bCs w:val="0"/>
                      <w:lang w:val="en-US" w:eastAsia="zh-CN"/>
                    </w:rPr>
                  </w:pPr>
                  <w:r>
                    <w:rPr>
                      <w:rFonts w:hint="eastAsia"/>
                      <w:b w:val="0"/>
                      <w:bCs w:val="0"/>
                      <w:color w:val="auto"/>
                      <w:lang w:val="en-US" w:eastAsia="zh-CN"/>
                    </w:rPr>
                    <w:t>9.7</w:t>
                  </w:r>
                </w:p>
              </w:tc>
              <w:tc>
                <w:tcPr>
                  <w:tcW w:w="914" w:type="pct"/>
                  <w:vAlign w:val="center"/>
                </w:tcPr>
                <w:p w14:paraId="18162F24">
                  <w:pPr>
                    <w:pStyle w:val="12"/>
                    <w:bidi w:val="0"/>
                    <w:ind w:firstLine="0" w:firstLineChars="0"/>
                    <w:rPr>
                      <w:rFonts w:hint="default" w:ascii="Times New Roman" w:hAnsi="Times New Roman" w:cs="Times New Roman"/>
                      <w:b w:val="0"/>
                      <w:bCs w:val="0"/>
                    </w:rPr>
                  </w:pPr>
                  <w:r>
                    <w:rPr>
                      <w:b w:val="0"/>
                      <w:bCs w:val="0"/>
                      <w:color w:val="auto"/>
                    </w:rPr>
                    <w:t>40</w:t>
                  </w:r>
                </w:p>
              </w:tc>
              <w:tc>
                <w:tcPr>
                  <w:tcW w:w="579" w:type="pct"/>
                  <w:vAlign w:val="center"/>
                </w:tcPr>
                <w:p w14:paraId="261B2D0E">
                  <w:pPr>
                    <w:pStyle w:val="12"/>
                    <w:bidi w:val="0"/>
                    <w:ind w:firstLine="0" w:firstLineChars="0"/>
                    <w:rPr>
                      <w:rFonts w:hint="default" w:ascii="Times New Roman" w:hAnsi="Times New Roman" w:eastAsia="宋体" w:cs="Times New Roman"/>
                      <w:b w:val="0"/>
                      <w:bCs w:val="0"/>
                      <w:lang w:val="en-US" w:eastAsia="zh-CN"/>
                    </w:rPr>
                  </w:pPr>
                  <w:r>
                    <w:rPr>
                      <w:rFonts w:hint="eastAsia"/>
                      <w:b w:val="0"/>
                      <w:bCs w:val="0"/>
                      <w:color w:val="auto"/>
                      <w:lang w:val="en-US" w:eastAsia="zh-CN"/>
                    </w:rPr>
                    <w:t>24.25</w:t>
                  </w:r>
                </w:p>
              </w:tc>
              <w:tc>
                <w:tcPr>
                  <w:tcW w:w="574" w:type="pct"/>
                  <w:vAlign w:val="center"/>
                </w:tcPr>
                <w:p w14:paraId="7B9C35AB">
                  <w:pPr>
                    <w:pStyle w:val="12"/>
                    <w:bidi w:val="0"/>
                    <w:ind w:firstLine="0" w:firstLineChars="0"/>
                    <w:rPr>
                      <w:rFonts w:hint="default" w:ascii="Times New Roman" w:hAnsi="Times New Roman" w:cs="Times New Roman"/>
                      <w:b w:val="0"/>
                      <w:bCs w:val="0"/>
                    </w:rPr>
                  </w:pPr>
                  <w:r>
                    <w:rPr>
                      <w:b w:val="0"/>
                      <w:bCs w:val="0"/>
                      <w:color w:val="auto"/>
                    </w:rPr>
                    <w:t>达标</w:t>
                  </w:r>
                </w:p>
              </w:tc>
            </w:tr>
            <w:tr w14:paraId="5B19A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606" w:type="pct"/>
                  <w:vAlign w:val="center"/>
                </w:tcPr>
                <w:p w14:paraId="1EBC4982">
                  <w:pPr>
                    <w:pStyle w:val="12"/>
                    <w:rPr>
                      <w:rFonts w:hint="default" w:ascii="Times New Roman" w:hAnsi="Times New Roman" w:cs="Times New Roman"/>
                      <w:b w:val="0"/>
                      <w:bCs w:val="0"/>
                    </w:rPr>
                  </w:pPr>
                  <w:r>
                    <w:rPr>
                      <w:rFonts w:hint="default" w:ascii="Times New Roman" w:hAnsi="Times New Roman" w:cs="Times New Roman"/>
                      <w:b w:val="0"/>
                      <w:bCs w:val="0"/>
                    </w:rPr>
                    <w:t>PM</w:t>
                  </w:r>
                  <w:r>
                    <w:rPr>
                      <w:rFonts w:hint="default" w:ascii="Times New Roman" w:hAnsi="Times New Roman" w:cs="Times New Roman"/>
                      <w:b w:val="0"/>
                      <w:bCs w:val="0"/>
                      <w:vertAlign w:val="subscript"/>
                    </w:rPr>
                    <w:t>10</w:t>
                  </w:r>
                </w:p>
              </w:tc>
              <w:tc>
                <w:tcPr>
                  <w:tcW w:w="1245" w:type="pct"/>
                  <w:vAlign w:val="center"/>
                </w:tcPr>
                <w:p w14:paraId="385CB2E1">
                  <w:pPr>
                    <w:pStyle w:val="12"/>
                    <w:rPr>
                      <w:rFonts w:hint="default" w:ascii="Times New Roman" w:hAnsi="Times New Roman" w:cs="Times New Roman"/>
                      <w:b w:val="0"/>
                      <w:bCs w:val="0"/>
                    </w:rPr>
                  </w:pPr>
                  <w:r>
                    <w:rPr>
                      <w:rFonts w:hint="default" w:ascii="Times New Roman" w:hAnsi="Times New Roman" w:cs="Times New Roman"/>
                      <w:b w:val="0"/>
                      <w:bCs w:val="0"/>
                    </w:rPr>
                    <w:t>年平均质量浓度</w:t>
                  </w:r>
                </w:p>
              </w:tc>
              <w:tc>
                <w:tcPr>
                  <w:tcW w:w="1079" w:type="pct"/>
                  <w:vAlign w:val="center"/>
                </w:tcPr>
                <w:p w14:paraId="5747337C">
                  <w:pPr>
                    <w:pStyle w:val="12"/>
                    <w:bidi w:val="0"/>
                    <w:ind w:firstLine="0" w:firstLineChars="0"/>
                    <w:rPr>
                      <w:rFonts w:hint="default" w:ascii="Times New Roman" w:hAnsi="Times New Roman" w:eastAsia="宋体" w:cs="Times New Roman"/>
                      <w:b w:val="0"/>
                      <w:bCs w:val="0"/>
                      <w:lang w:val="en-US" w:eastAsia="zh-CN"/>
                    </w:rPr>
                  </w:pPr>
                  <w:r>
                    <w:rPr>
                      <w:rFonts w:hint="eastAsia"/>
                      <w:b w:val="0"/>
                      <w:bCs w:val="0"/>
                      <w:color w:val="auto"/>
                      <w:lang w:val="en-US" w:eastAsia="zh-CN"/>
                    </w:rPr>
                    <w:t>40.3</w:t>
                  </w:r>
                </w:p>
              </w:tc>
              <w:tc>
                <w:tcPr>
                  <w:tcW w:w="914" w:type="pct"/>
                  <w:vAlign w:val="center"/>
                </w:tcPr>
                <w:p w14:paraId="618EFC67">
                  <w:pPr>
                    <w:pStyle w:val="12"/>
                    <w:bidi w:val="0"/>
                    <w:ind w:firstLine="0" w:firstLineChars="0"/>
                    <w:rPr>
                      <w:rFonts w:hint="default" w:ascii="Times New Roman" w:hAnsi="Times New Roman" w:eastAsia="宋体" w:cs="Times New Roman"/>
                      <w:b w:val="0"/>
                      <w:bCs w:val="0"/>
                      <w:lang w:val="en-US" w:eastAsia="zh-CN"/>
                    </w:rPr>
                  </w:pPr>
                  <w:r>
                    <w:rPr>
                      <w:rFonts w:hint="eastAsia"/>
                      <w:b w:val="0"/>
                      <w:bCs w:val="0"/>
                      <w:color w:val="auto"/>
                      <w:lang w:val="en-US" w:eastAsia="zh-CN"/>
                    </w:rPr>
                    <w:t>70</w:t>
                  </w:r>
                </w:p>
              </w:tc>
              <w:tc>
                <w:tcPr>
                  <w:tcW w:w="579" w:type="pct"/>
                  <w:vAlign w:val="center"/>
                </w:tcPr>
                <w:p w14:paraId="4575EBE3">
                  <w:pPr>
                    <w:pStyle w:val="12"/>
                    <w:bidi w:val="0"/>
                    <w:ind w:firstLine="0" w:firstLineChars="0"/>
                    <w:rPr>
                      <w:rFonts w:hint="default" w:ascii="Times New Roman" w:hAnsi="Times New Roman" w:eastAsia="宋体" w:cs="Times New Roman"/>
                      <w:b w:val="0"/>
                      <w:bCs w:val="0"/>
                      <w:lang w:val="en-US" w:eastAsia="zh-CN"/>
                    </w:rPr>
                  </w:pPr>
                  <w:r>
                    <w:rPr>
                      <w:rFonts w:hint="eastAsia" w:cs="Times New Roman"/>
                      <w:b w:val="0"/>
                      <w:bCs w:val="0"/>
                      <w:lang w:val="en-US" w:eastAsia="zh-CN"/>
                    </w:rPr>
                    <w:t>57.57</w:t>
                  </w:r>
                </w:p>
              </w:tc>
              <w:tc>
                <w:tcPr>
                  <w:tcW w:w="574" w:type="pct"/>
                  <w:vAlign w:val="center"/>
                </w:tcPr>
                <w:p w14:paraId="57E72F97">
                  <w:pPr>
                    <w:pStyle w:val="12"/>
                    <w:bidi w:val="0"/>
                    <w:ind w:firstLine="0" w:firstLineChars="0"/>
                    <w:rPr>
                      <w:rFonts w:hint="default" w:ascii="Times New Roman" w:hAnsi="Times New Roman" w:cs="Times New Roman"/>
                      <w:b w:val="0"/>
                      <w:bCs w:val="0"/>
                    </w:rPr>
                  </w:pPr>
                  <w:r>
                    <w:rPr>
                      <w:b w:val="0"/>
                      <w:bCs w:val="0"/>
                      <w:color w:val="auto"/>
                    </w:rPr>
                    <w:t>达标</w:t>
                  </w:r>
                </w:p>
              </w:tc>
            </w:tr>
            <w:tr w14:paraId="1B4D2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606" w:type="pct"/>
                  <w:vAlign w:val="center"/>
                </w:tcPr>
                <w:p w14:paraId="01829321">
                  <w:pPr>
                    <w:pStyle w:val="12"/>
                    <w:rPr>
                      <w:rFonts w:hint="default" w:ascii="Times New Roman" w:hAnsi="Times New Roman" w:cs="Times New Roman"/>
                      <w:b w:val="0"/>
                      <w:bCs w:val="0"/>
                    </w:rPr>
                  </w:pPr>
                  <w:r>
                    <w:rPr>
                      <w:rFonts w:hint="default" w:ascii="Times New Roman" w:hAnsi="Times New Roman" w:cs="Times New Roman"/>
                      <w:b w:val="0"/>
                      <w:bCs w:val="0"/>
                    </w:rPr>
                    <w:t>PM</w:t>
                  </w:r>
                  <w:r>
                    <w:rPr>
                      <w:rFonts w:hint="default" w:ascii="Times New Roman" w:hAnsi="Times New Roman" w:cs="Times New Roman"/>
                      <w:b w:val="0"/>
                      <w:bCs w:val="0"/>
                      <w:vertAlign w:val="subscript"/>
                    </w:rPr>
                    <w:t>2.5</w:t>
                  </w:r>
                </w:p>
              </w:tc>
              <w:tc>
                <w:tcPr>
                  <w:tcW w:w="1245" w:type="pct"/>
                  <w:vAlign w:val="center"/>
                </w:tcPr>
                <w:p w14:paraId="09530905">
                  <w:pPr>
                    <w:pStyle w:val="12"/>
                    <w:rPr>
                      <w:rFonts w:hint="default" w:ascii="Times New Roman" w:hAnsi="Times New Roman" w:cs="Times New Roman"/>
                      <w:b w:val="0"/>
                      <w:bCs w:val="0"/>
                    </w:rPr>
                  </w:pPr>
                  <w:r>
                    <w:rPr>
                      <w:rFonts w:hint="default" w:ascii="Times New Roman" w:hAnsi="Times New Roman" w:cs="Times New Roman"/>
                      <w:b w:val="0"/>
                      <w:bCs w:val="0"/>
                    </w:rPr>
                    <w:t>年平均质量浓度</w:t>
                  </w:r>
                </w:p>
              </w:tc>
              <w:tc>
                <w:tcPr>
                  <w:tcW w:w="1079" w:type="pct"/>
                  <w:vAlign w:val="center"/>
                </w:tcPr>
                <w:p w14:paraId="518DC8DA">
                  <w:pPr>
                    <w:pStyle w:val="12"/>
                    <w:bidi w:val="0"/>
                    <w:ind w:firstLine="0" w:firstLineChars="0"/>
                    <w:rPr>
                      <w:rFonts w:hint="default" w:ascii="Times New Roman" w:hAnsi="Times New Roman" w:eastAsia="宋体" w:cs="Times New Roman"/>
                      <w:b w:val="0"/>
                      <w:bCs w:val="0"/>
                      <w:lang w:val="en-US" w:eastAsia="zh-CN"/>
                    </w:rPr>
                  </w:pPr>
                  <w:r>
                    <w:rPr>
                      <w:rFonts w:hint="eastAsia"/>
                      <w:b w:val="0"/>
                      <w:bCs w:val="0"/>
                      <w:color w:val="auto"/>
                      <w:lang w:val="en-US" w:eastAsia="zh-CN"/>
                    </w:rPr>
                    <w:t>25.4</w:t>
                  </w:r>
                </w:p>
              </w:tc>
              <w:tc>
                <w:tcPr>
                  <w:tcW w:w="914" w:type="pct"/>
                  <w:vAlign w:val="center"/>
                </w:tcPr>
                <w:p w14:paraId="475F35D7">
                  <w:pPr>
                    <w:pStyle w:val="12"/>
                    <w:bidi w:val="0"/>
                    <w:ind w:firstLine="0" w:firstLineChars="0"/>
                    <w:rPr>
                      <w:rFonts w:hint="default" w:ascii="Times New Roman" w:hAnsi="Times New Roman" w:eastAsia="宋体" w:cs="Times New Roman"/>
                      <w:b w:val="0"/>
                      <w:bCs w:val="0"/>
                      <w:lang w:val="en-US" w:eastAsia="zh-CN"/>
                    </w:rPr>
                  </w:pPr>
                  <w:r>
                    <w:rPr>
                      <w:rFonts w:hint="eastAsia" w:cs="Times New Roman"/>
                      <w:b w:val="0"/>
                      <w:bCs w:val="0"/>
                      <w:lang w:val="en-US" w:eastAsia="zh-CN"/>
                    </w:rPr>
                    <w:t>35</w:t>
                  </w:r>
                </w:p>
              </w:tc>
              <w:tc>
                <w:tcPr>
                  <w:tcW w:w="579" w:type="pct"/>
                  <w:vAlign w:val="center"/>
                </w:tcPr>
                <w:p w14:paraId="2AA144C9">
                  <w:pPr>
                    <w:pStyle w:val="12"/>
                    <w:bidi w:val="0"/>
                    <w:ind w:firstLine="0" w:firstLineChars="0"/>
                    <w:rPr>
                      <w:rFonts w:hint="default" w:ascii="Times New Roman" w:hAnsi="Times New Roman" w:eastAsia="宋体" w:cs="Times New Roman"/>
                      <w:b w:val="0"/>
                      <w:bCs w:val="0"/>
                      <w:lang w:val="en-US" w:eastAsia="zh-CN"/>
                    </w:rPr>
                  </w:pPr>
                  <w:r>
                    <w:rPr>
                      <w:rFonts w:hint="eastAsia" w:cs="Times New Roman"/>
                      <w:b w:val="0"/>
                      <w:bCs w:val="0"/>
                      <w:lang w:val="en-US" w:eastAsia="zh-CN"/>
                    </w:rPr>
                    <w:t>72.57</w:t>
                  </w:r>
                </w:p>
              </w:tc>
              <w:tc>
                <w:tcPr>
                  <w:tcW w:w="574" w:type="pct"/>
                  <w:vAlign w:val="center"/>
                </w:tcPr>
                <w:p w14:paraId="07D89808">
                  <w:pPr>
                    <w:pStyle w:val="12"/>
                    <w:bidi w:val="0"/>
                    <w:ind w:firstLine="0" w:firstLineChars="0"/>
                    <w:rPr>
                      <w:rFonts w:hint="default" w:ascii="Times New Roman" w:hAnsi="Times New Roman" w:cs="Times New Roman"/>
                      <w:b w:val="0"/>
                      <w:bCs w:val="0"/>
                    </w:rPr>
                  </w:pPr>
                  <w:r>
                    <w:rPr>
                      <w:b w:val="0"/>
                      <w:bCs w:val="0"/>
                      <w:color w:val="auto"/>
                    </w:rPr>
                    <w:t>达标</w:t>
                  </w:r>
                </w:p>
              </w:tc>
            </w:tr>
            <w:tr w14:paraId="07574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606" w:type="pct"/>
                  <w:vAlign w:val="center"/>
                </w:tcPr>
                <w:p w14:paraId="7A3FB400">
                  <w:pPr>
                    <w:pStyle w:val="12"/>
                    <w:rPr>
                      <w:rFonts w:hint="default" w:ascii="Times New Roman" w:hAnsi="Times New Roman" w:cs="Times New Roman"/>
                      <w:b w:val="0"/>
                      <w:bCs w:val="0"/>
                    </w:rPr>
                  </w:pPr>
                  <w:r>
                    <w:rPr>
                      <w:rFonts w:hint="default" w:ascii="Times New Roman" w:hAnsi="Times New Roman" w:cs="Times New Roman"/>
                      <w:b w:val="0"/>
                      <w:bCs w:val="0"/>
                    </w:rPr>
                    <w:t>CO</w:t>
                  </w:r>
                </w:p>
              </w:tc>
              <w:tc>
                <w:tcPr>
                  <w:tcW w:w="1245" w:type="pct"/>
                  <w:vAlign w:val="center"/>
                </w:tcPr>
                <w:p w14:paraId="78E96386">
                  <w:pPr>
                    <w:pStyle w:val="12"/>
                    <w:rPr>
                      <w:rFonts w:hint="default" w:ascii="Times New Roman" w:hAnsi="Times New Roman" w:cs="Times New Roman"/>
                      <w:b w:val="0"/>
                      <w:bCs w:val="0"/>
                    </w:rPr>
                  </w:pPr>
                  <w:r>
                    <w:rPr>
                      <w:rFonts w:hint="default" w:ascii="Times New Roman" w:hAnsi="Times New Roman" w:cs="Times New Roman"/>
                      <w:b w:val="0"/>
                      <w:bCs w:val="0"/>
                    </w:rPr>
                    <w:t>日均第95百分位数</w:t>
                  </w:r>
                </w:p>
              </w:tc>
              <w:tc>
                <w:tcPr>
                  <w:tcW w:w="1079" w:type="pct"/>
                  <w:vAlign w:val="center"/>
                </w:tcPr>
                <w:p w14:paraId="2C9C11E1">
                  <w:pPr>
                    <w:pStyle w:val="12"/>
                    <w:bidi w:val="0"/>
                    <w:ind w:firstLine="0" w:firstLineChars="0"/>
                    <w:rPr>
                      <w:rFonts w:hint="default" w:ascii="Times New Roman" w:hAnsi="Times New Roman" w:cs="Times New Roman"/>
                      <w:b w:val="0"/>
                      <w:bCs w:val="0"/>
                      <w:lang w:val="en-US"/>
                    </w:rPr>
                  </w:pPr>
                  <w:r>
                    <w:rPr>
                      <w:rFonts w:hint="eastAsia"/>
                      <w:b w:val="0"/>
                      <w:bCs w:val="0"/>
                      <w:color w:val="auto"/>
                      <w:lang w:val="en-US" w:eastAsia="zh-CN"/>
                    </w:rPr>
                    <w:t>1300</w:t>
                  </w:r>
                </w:p>
              </w:tc>
              <w:tc>
                <w:tcPr>
                  <w:tcW w:w="914" w:type="pct"/>
                  <w:vAlign w:val="center"/>
                </w:tcPr>
                <w:p w14:paraId="7A66A480">
                  <w:pPr>
                    <w:pStyle w:val="12"/>
                    <w:bidi w:val="0"/>
                    <w:ind w:firstLine="0" w:firstLineChars="0"/>
                    <w:rPr>
                      <w:rFonts w:hint="default" w:ascii="Times New Roman" w:hAnsi="Times New Roman" w:cs="Times New Roman"/>
                      <w:b w:val="0"/>
                      <w:bCs w:val="0"/>
                      <w:lang w:val="en-US"/>
                    </w:rPr>
                  </w:pPr>
                  <w:r>
                    <w:rPr>
                      <w:rFonts w:hint="eastAsia"/>
                      <w:b w:val="0"/>
                      <w:bCs w:val="0"/>
                      <w:color w:val="auto"/>
                      <w:lang w:val="en-US" w:eastAsia="zh-CN"/>
                    </w:rPr>
                    <w:t>4000</w:t>
                  </w:r>
                </w:p>
              </w:tc>
              <w:tc>
                <w:tcPr>
                  <w:tcW w:w="579" w:type="pct"/>
                  <w:vAlign w:val="center"/>
                </w:tcPr>
                <w:p w14:paraId="4EC1B271">
                  <w:pPr>
                    <w:pStyle w:val="12"/>
                    <w:bidi w:val="0"/>
                    <w:ind w:firstLine="0" w:firstLineChars="0"/>
                    <w:rPr>
                      <w:rFonts w:hint="default" w:ascii="Times New Roman" w:hAnsi="Times New Roman" w:eastAsia="宋体" w:cs="Times New Roman"/>
                      <w:b w:val="0"/>
                      <w:bCs w:val="0"/>
                      <w:lang w:val="en-US" w:eastAsia="zh-CN"/>
                    </w:rPr>
                  </w:pPr>
                  <w:r>
                    <w:rPr>
                      <w:rFonts w:hint="eastAsia" w:cs="Times New Roman"/>
                      <w:b w:val="0"/>
                      <w:bCs w:val="0"/>
                      <w:lang w:val="en-US" w:eastAsia="zh-CN"/>
                    </w:rPr>
                    <w:t>32.5</w:t>
                  </w:r>
                </w:p>
              </w:tc>
              <w:tc>
                <w:tcPr>
                  <w:tcW w:w="574" w:type="pct"/>
                  <w:vAlign w:val="center"/>
                </w:tcPr>
                <w:p w14:paraId="77E78146">
                  <w:pPr>
                    <w:pStyle w:val="12"/>
                    <w:bidi w:val="0"/>
                    <w:ind w:firstLine="0" w:firstLineChars="0"/>
                    <w:rPr>
                      <w:rFonts w:hint="default" w:ascii="Times New Roman" w:hAnsi="Times New Roman" w:cs="Times New Roman"/>
                      <w:b w:val="0"/>
                      <w:bCs w:val="0"/>
                    </w:rPr>
                  </w:pPr>
                  <w:r>
                    <w:rPr>
                      <w:b w:val="0"/>
                      <w:bCs w:val="0"/>
                      <w:color w:val="auto"/>
                    </w:rPr>
                    <w:t>达标</w:t>
                  </w:r>
                </w:p>
              </w:tc>
            </w:tr>
            <w:tr w14:paraId="68A43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606" w:type="pct"/>
                  <w:vAlign w:val="center"/>
                </w:tcPr>
                <w:p w14:paraId="3B4B810C">
                  <w:pPr>
                    <w:pStyle w:val="12"/>
                    <w:rPr>
                      <w:rFonts w:hint="default" w:ascii="Times New Roman" w:hAnsi="Times New Roman" w:cs="Times New Roman"/>
                      <w:b w:val="0"/>
                      <w:bCs w:val="0"/>
                    </w:rPr>
                  </w:pPr>
                  <w:r>
                    <w:rPr>
                      <w:rFonts w:hint="default" w:ascii="Times New Roman" w:hAnsi="Times New Roman" w:cs="Times New Roman"/>
                      <w:b w:val="0"/>
                      <w:bCs w:val="0"/>
                    </w:rPr>
                    <w:t>O</w:t>
                  </w:r>
                  <w:r>
                    <w:rPr>
                      <w:rFonts w:hint="default" w:ascii="Times New Roman" w:hAnsi="Times New Roman" w:cs="Times New Roman"/>
                      <w:b w:val="0"/>
                      <w:bCs w:val="0"/>
                      <w:vertAlign w:val="subscript"/>
                    </w:rPr>
                    <w:t>3</w:t>
                  </w:r>
                </w:p>
              </w:tc>
              <w:tc>
                <w:tcPr>
                  <w:tcW w:w="1245" w:type="pct"/>
                  <w:vAlign w:val="center"/>
                </w:tcPr>
                <w:p w14:paraId="5AA280B9">
                  <w:pPr>
                    <w:pStyle w:val="12"/>
                    <w:rPr>
                      <w:rFonts w:hint="default" w:ascii="Times New Roman" w:hAnsi="Times New Roman" w:cs="Times New Roman"/>
                      <w:b w:val="0"/>
                      <w:bCs w:val="0"/>
                    </w:rPr>
                  </w:pPr>
                  <w:r>
                    <w:rPr>
                      <w:rFonts w:hint="default" w:ascii="Times New Roman" w:hAnsi="Times New Roman" w:cs="Times New Roman"/>
                      <w:b w:val="0"/>
                      <w:bCs w:val="0"/>
                    </w:rPr>
                    <w:t>日最大8小时均值</w:t>
                  </w:r>
                </w:p>
              </w:tc>
              <w:tc>
                <w:tcPr>
                  <w:tcW w:w="1079" w:type="pct"/>
                  <w:vAlign w:val="center"/>
                </w:tcPr>
                <w:p w14:paraId="27313178">
                  <w:pPr>
                    <w:pStyle w:val="12"/>
                    <w:bidi w:val="0"/>
                    <w:ind w:firstLine="0" w:firstLineChars="0"/>
                    <w:rPr>
                      <w:rFonts w:hint="default" w:ascii="Times New Roman" w:hAnsi="Times New Roman" w:eastAsia="宋体" w:cs="Times New Roman"/>
                      <w:b w:val="0"/>
                      <w:bCs w:val="0"/>
                      <w:lang w:val="en-US" w:eastAsia="zh-CN"/>
                    </w:rPr>
                  </w:pPr>
                  <w:r>
                    <w:rPr>
                      <w:rFonts w:hint="eastAsia"/>
                      <w:b w:val="0"/>
                      <w:bCs w:val="0"/>
                      <w:color w:val="auto"/>
                      <w:lang w:val="en-US" w:eastAsia="zh-CN"/>
                    </w:rPr>
                    <w:t>134</w:t>
                  </w:r>
                </w:p>
              </w:tc>
              <w:tc>
                <w:tcPr>
                  <w:tcW w:w="914" w:type="pct"/>
                  <w:vAlign w:val="center"/>
                </w:tcPr>
                <w:p w14:paraId="25439087">
                  <w:pPr>
                    <w:pStyle w:val="12"/>
                    <w:bidi w:val="0"/>
                    <w:ind w:firstLine="0" w:firstLineChars="0"/>
                    <w:rPr>
                      <w:rFonts w:hint="default" w:ascii="Times New Roman" w:hAnsi="Times New Roman" w:cs="Times New Roman"/>
                      <w:b w:val="0"/>
                      <w:bCs w:val="0"/>
                      <w:lang w:val="en-US"/>
                    </w:rPr>
                  </w:pPr>
                  <w:r>
                    <w:rPr>
                      <w:rFonts w:hint="eastAsia"/>
                      <w:b w:val="0"/>
                      <w:bCs w:val="0"/>
                      <w:color w:val="auto"/>
                      <w:lang w:val="en-US" w:eastAsia="zh-CN"/>
                    </w:rPr>
                    <w:t>160</w:t>
                  </w:r>
                </w:p>
              </w:tc>
              <w:tc>
                <w:tcPr>
                  <w:tcW w:w="579" w:type="pct"/>
                  <w:vAlign w:val="center"/>
                </w:tcPr>
                <w:p w14:paraId="2C0C4CE8">
                  <w:pPr>
                    <w:pStyle w:val="12"/>
                    <w:bidi w:val="0"/>
                    <w:ind w:firstLine="0" w:firstLineChars="0"/>
                    <w:rPr>
                      <w:rFonts w:hint="default" w:ascii="Times New Roman" w:hAnsi="Times New Roman" w:eastAsia="宋体" w:cs="Times New Roman"/>
                      <w:b w:val="0"/>
                      <w:bCs w:val="0"/>
                      <w:lang w:val="en-US" w:eastAsia="zh-CN"/>
                    </w:rPr>
                  </w:pPr>
                  <w:r>
                    <w:rPr>
                      <w:rFonts w:hint="eastAsia" w:cs="Times New Roman"/>
                      <w:b w:val="0"/>
                      <w:bCs w:val="0"/>
                      <w:lang w:val="en-US" w:eastAsia="zh-CN"/>
                    </w:rPr>
                    <w:t>83.75</w:t>
                  </w:r>
                </w:p>
              </w:tc>
              <w:tc>
                <w:tcPr>
                  <w:tcW w:w="574" w:type="pct"/>
                  <w:vAlign w:val="center"/>
                </w:tcPr>
                <w:p w14:paraId="6EEF2D28">
                  <w:pPr>
                    <w:pStyle w:val="12"/>
                    <w:bidi w:val="0"/>
                    <w:ind w:firstLine="0" w:firstLineChars="0"/>
                    <w:rPr>
                      <w:rFonts w:hint="default" w:ascii="Times New Roman" w:hAnsi="Times New Roman" w:cs="Times New Roman"/>
                      <w:b w:val="0"/>
                      <w:bCs w:val="0"/>
                    </w:rPr>
                  </w:pPr>
                  <w:r>
                    <w:rPr>
                      <w:b w:val="0"/>
                      <w:bCs w:val="0"/>
                      <w:color w:val="auto"/>
                    </w:rPr>
                    <w:t>达标</w:t>
                  </w:r>
                </w:p>
              </w:tc>
            </w:tr>
            <w:tr w14:paraId="02345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5000" w:type="pct"/>
                  <w:gridSpan w:val="6"/>
                  <w:vAlign w:val="center"/>
                </w:tcPr>
                <w:p w14:paraId="28BA847A">
                  <w:pPr>
                    <w:pStyle w:val="12"/>
                    <w:bidi w:val="0"/>
                    <w:ind w:firstLine="0" w:firstLineChars="0"/>
                    <w:jc w:val="left"/>
                    <w:rPr>
                      <w:rFonts w:hint="default"/>
                      <w:b w:val="0"/>
                      <w:bCs w:val="0"/>
                      <w:color w:val="auto"/>
                      <w:lang w:val="en-US" w:eastAsia="zh-CN"/>
                    </w:rPr>
                  </w:pPr>
                  <w:r>
                    <w:rPr>
                      <w:rFonts w:hint="eastAsia"/>
                      <w:b w:val="0"/>
                      <w:bCs w:val="0"/>
                      <w:color w:val="auto"/>
                      <w:lang w:val="en-US" w:eastAsia="zh-CN"/>
                    </w:rPr>
                    <w:t>注：1.《环境空气质量标准》（GB3095-2026）于2026年3月1日起施行，旧标准已被替代，尽管本项目引用监测数据为2025年数据，但因原有标准已被替代，仅对照新标准过渡区限值要求进行评价。</w:t>
                  </w:r>
                </w:p>
              </w:tc>
            </w:tr>
            <w:bookmarkEnd w:id="45"/>
          </w:tbl>
          <w:p w14:paraId="1D4F01E2">
            <w:pPr>
              <w:bidi w:val="0"/>
              <w:rPr>
                <w:rFonts w:hint="default" w:ascii="Times New Roman" w:hAnsi="Times New Roman" w:eastAsia="宋体" w:cs="Times New Roman"/>
                <w:color w:val="auto"/>
              </w:rPr>
            </w:pPr>
            <w:r>
              <w:rPr>
                <w:rFonts w:hint="eastAsia" w:ascii="Times New Roman" w:hAnsi="Times New Roman" w:eastAsia="宋体" w:cs="Times New Roman"/>
                <w:color w:val="auto"/>
                <w:lang w:val="en-US" w:eastAsia="zh-CN"/>
              </w:rPr>
              <w:t>综上</w:t>
            </w:r>
            <w:r>
              <w:rPr>
                <w:rFonts w:hint="eastAsia" w:ascii="Times New Roman" w:hAnsi="Times New Roman" w:eastAsia="宋体" w:cs="Times New Roman"/>
                <w:color w:val="auto"/>
              </w:rPr>
              <w:t>，</w:t>
            </w:r>
            <w:r>
              <w:rPr>
                <w:rFonts w:hint="eastAsia" w:cs="Times New Roman"/>
                <w:color w:val="auto"/>
                <w:lang w:val="en-US" w:eastAsia="zh-CN"/>
              </w:rPr>
              <w:t>项目所在区域的基本污染物浓度均满足《环境空气质量标准》（GB3095-2012）中二级标准限值，同时满足《环境空气质量标准》（GB3095-2026）中过渡阶段（2026年3月1日—2030年12月31日）的二级标准限值。因此，</w:t>
            </w:r>
            <w:r>
              <w:rPr>
                <w:rFonts w:hint="eastAsia" w:ascii="Times New Roman" w:hAnsi="Times New Roman" w:eastAsia="宋体" w:cs="Times New Roman"/>
                <w:color w:val="auto"/>
              </w:rPr>
              <w:t>项目所在区域环境空气质量为达标区。</w:t>
            </w:r>
          </w:p>
          <w:p w14:paraId="47D6B8F3">
            <w:pPr>
              <w:ind w:firstLine="480"/>
              <w:rPr>
                <w:rFonts w:hint="default"/>
                <w:b/>
                <w:bCs/>
              </w:rPr>
            </w:pPr>
            <w:r>
              <w:rPr>
                <w:rFonts w:hint="eastAsia"/>
                <w:b/>
                <w:bCs/>
                <w:lang w:eastAsia="zh-CN"/>
              </w:rPr>
              <w:t>（</w:t>
            </w:r>
            <w:r>
              <w:rPr>
                <w:rFonts w:hint="eastAsia"/>
                <w:b/>
                <w:bCs/>
                <w:lang w:val="en-US" w:eastAsia="zh-CN"/>
              </w:rPr>
              <w:t>2</w:t>
            </w:r>
            <w:r>
              <w:rPr>
                <w:rFonts w:hint="eastAsia"/>
                <w:b/>
                <w:bCs/>
                <w:lang w:eastAsia="zh-CN"/>
              </w:rPr>
              <w:t>）</w:t>
            </w:r>
            <w:r>
              <w:rPr>
                <w:rFonts w:hint="default"/>
                <w:b/>
                <w:bCs/>
              </w:rPr>
              <w:t>其他</w:t>
            </w:r>
            <w:r>
              <w:rPr>
                <w:rFonts w:hint="default" w:ascii="Times New Roman" w:hAnsi="Times New Roman" w:eastAsia="宋体" w:cs="Times New Roman"/>
                <w:b/>
                <w:bCs/>
              </w:rPr>
              <w:t>污染物</w:t>
            </w:r>
            <w:r>
              <w:rPr>
                <w:rFonts w:hint="default"/>
                <w:b/>
                <w:bCs/>
              </w:rPr>
              <w:t>环境质量现状</w:t>
            </w:r>
          </w:p>
          <w:p w14:paraId="18151AE9">
            <w:pPr>
              <w:ind w:firstLine="480"/>
              <w:rPr>
                <w:rFonts w:hint="default" w:ascii="Times New Roman" w:hAnsi="Times New Roman" w:cs="Times New Roman"/>
              </w:rPr>
            </w:pPr>
            <w:r>
              <w:rPr>
                <w:rFonts w:hint="default" w:ascii="Times New Roman" w:hAnsi="Times New Roman" w:cs="Times New Roman"/>
              </w:rPr>
              <w:t>为了解项目所在地特征污染物环境质量现状，</w:t>
            </w:r>
            <w:r>
              <w:rPr>
                <w:rFonts w:hint="default" w:ascii="Times New Roman" w:hAnsi="Times New Roman" w:eastAsia="宋体" w:cs="Times New Roman"/>
                <w:sz w:val="24"/>
                <w:szCs w:val="24"/>
                <w:lang w:val="en-US" w:eastAsia="zh-CN"/>
              </w:rPr>
              <w:t>四川华皓检测技术有限公司于</w:t>
            </w:r>
            <w:r>
              <w:rPr>
                <w:rFonts w:hint="eastAsia" w:ascii="Times New Roman" w:hAnsi="Times New Roman" w:eastAsia="宋体" w:cs="Times New Roman"/>
                <w:sz w:val="24"/>
                <w:szCs w:val="24"/>
                <w:lang w:val="en-US" w:eastAsia="zh-CN"/>
              </w:rPr>
              <w:t>2025年10月08日至2025年10月11日</w:t>
            </w:r>
            <w:r>
              <w:rPr>
                <w:rFonts w:hint="default" w:ascii="Times New Roman" w:hAnsi="Times New Roman" w:eastAsia="宋体" w:cs="Times New Roman"/>
                <w:sz w:val="24"/>
                <w:szCs w:val="24"/>
                <w:lang w:val="en-US" w:eastAsia="zh-CN"/>
              </w:rPr>
              <w:t>对</w:t>
            </w:r>
            <w:r>
              <w:rPr>
                <w:rFonts w:hint="eastAsia" w:ascii="Times New Roman" w:hAnsi="Times New Roman" w:eastAsia="宋体" w:cs="Times New Roman"/>
                <w:sz w:val="24"/>
                <w:szCs w:val="24"/>
                <w:lang w:val="en-US" w:eastAsia="zh-CN"/>
              </w:rPr>
              <w:t>项目厂区内环境质量现状进行了监测，具体如下</w:t>
            </w:r>
            <w:r>
              <w:rPr>
                <w:rFonts w:hint="default" w:ascii="Times New Roman" w:hAnsi="Times New Roman" w:cs="Times New Roman"/>
              </w:rPr>
              <w:t>。</w:t>
            </w:r>
          </w:p>
          <w:p w14:paraId="2522FF0B">
            <w:pPr>
              <w:ind w:firstLine="480"/>
              <w:rPr>
                <w:rFonts w:hint="default" w:ascii="Times New Roman" w:hAnsi="Times New Roman" w:eastAsia="宋体" w:cs="Times New Roman"/>
                <w:b/>
                <w:bCs/>
                <w:lang w:val="en-US" w:eastAsia="zh-CN"/>
              </w:rPr>
            </w:pPr>
            <w:r>
              <w:rPr>
                <w:rFonts w:hint="eastAsia" w:ascii="Times New Roman" w:hAnsi="Times New Roman" w:cs="Times New Roman"/>
                <w:b/>
                <w:bCs/>
                <w:lang w:val="en-US" w:eastAsia="zh-CN"/>
              </w:rPr>
              <w:t>1）监测点位、监测项目、监测时间及频次</w:t>
            </w:r>
          </w:p>
          <w:p w14:paraId="5C41B87A">
            <w:pPr>
              <w:pStyle w:val="11"/>
              <w:keepNext/>
              <w:rPr>
                <w:rFonts w:hint="default" w:ascii="Times New Roman" w:hAnsi="Times New Roman" w:cs="Times New Roman"/>
              </w:rPr>
            </w:pPr>
            <w:r>
              <w:rPr>
                <w:rFonts w:hint="default" w:ascii="Times New Roman" w:hAnsi="Times New Roman" w:cs="Times New Roman"/>
              </w:rPr>
              <w:t>表</w:t>
            </w:r>
            <w:r>
              <w:rPr>
                <w:rFonts w:hint="eastAsia" w:cs="Times New Roman"/>
                <w:lang w:val="en-US" w:eastAsia="zh-CN"/>
              </w:rPr>
              <w:t>3-</w:t>
            </w:r>
            <w:r>
              <w:rPr>
                <w:rFonts w:hint="default" w:ascii="Times New Roman" w:hAnsi="Times New Roman" w:cs="Times New Roman"/>
              </w:rPr>
              <w:fldChar w:fldCharType="begin"/>
            </w:r>
            <w:r>
              <w:rPr>
                <w:rFonts w:hint="default" w:ascii="Times New Roman" w:hAnsi="Times New Roman" w:cs="Times New Roman"/>
              </w:rPr>
              <w:instrText xml:space="preserve"> SEQ 表 \* ARABIC \s 1 </w:instrText>
            </w:r>
            <w:r>
              <w:rPr>
                <w:rFonts w:hint="default" w:ascii="Times New Roman" w:hAnsi="Times New Roman" w:cs="Times New Roman"/>
              </w:rPr>
              <w:fldChar w:fldCharType="separate"/>
            </w:r>
            <w:r>
              <w:rPr>
                <w:rFonts w:hint="default" w:ascii="Times New Roman" w:hAnsi="Times New Roman" w:cs="Times New Roman"/>
              </w:rPr>
              <w:t>2</w:t>
            </w:r>
            <w:r>
              <w:rPr>
                <w:rFonts w:hint="default" w:ascii="Times New Roman" w:hAnsi="Times New Roman" w:cs="Times New Roman"/>
              </w:rPr>
              <w:fldChar w:fldCharType="end"/>
            </w:r>
            <w:r>
              <w:rPr>
                <w:rFonts w:hint="default" w:ascii="Times New Roman" w:hAnsi="Times New Roman" w:cs="Times New Roman"/>
              </w:rPr>
              <w:t xml:space="preserve"> </w:t>
            </w:r>
            <w:r>
              <w:rPr>
                <w:rFonts w:hint="eastAsia" w:cs="Times New Roman"/>
                <w:lang w:val="en-US" w:eastAsia="zh-CN"/>
              </w:rPr>
              <w:t>现状检测</w:t>
            </w:r>
            <w:r>
              <w:rPr>
                <w:rFonts w:hint="default" w:ascii="Times New Roman" w:hAnsi="Times New Roman" w:cs="Times New Roman"/>
              </w:rPr>
              <w:t>监测布点情况表</w:t>
            </w:r>
          </w:p>
          <w:tbl>
            <w:tblPr>
              <w:tblStyle w:val="27"/>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6"/>
              <w:gridCol w:w="1465"/>
              <w:gridCol w:w="1816"/>
              <w:gridCol w:w="1946"/>
              <w:gridCol w:w="3373"/>
            </w:tblGrid>
            <w:tr w14:paraId="60110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419" w:type="pct"/>
                  <w:vAlign w:val="center"/>
                </w:tcPr>
                <w:p w14:paraId="585F912E">
                  <w:pPr>
                    <w:pStyle w:val="45"/>
                    <w:rPr>
                      <w:rFonts w:hint="default" w:ascii="Times New Roman" w:hAnsi="Times New Roman" w:cs="Times New Roman"/>
                    </w:rPr>
                  </w:pPr>
                  <w:r>
                    <w:rPr>
                      <w:rFonts w:hint="default" w:ascii="Times New Roman" w:hAnsi="Times New Roman" w:cs="Times New Roman"/>
                    </w:rPr>
                    <w:t>编号</w:t>
                  </w:r>
                </w:p>
              </w:tc>
              <w:tc>
                <w:tcPr>
                  <w:tcW w:w="780" w:type="pct"/>
                  <w:vAlign w:val="center"/>
                </w:tcPr>
                <w:p w14:paraId="65517F54">
                  <w:pPr>
                    <w:pStyle w:val="45"/>
                    <w:rPr>
                      <w:rFonts w:hint="default" w:ascii="Times New Roman" w:hAnsi="Times New Roman" w:cs="Times New Roman"/>
                    </w:rPr>
                  </w:pPr>
                  <w:r>
                    <w:rPr>
                      <w:rFonts w:hint="default" w:ascii="Times New Roman" w:hAnsi="Times New Roman" w:cs="Times New Roman"/>
                    </w:rPr>
                    <w:t>监测点位</w:t>
                  </w:r>
                </w:p>
              </w:tc>
              <w:tc>
                <w:tcPr>
                  <w:tcW w:w="967" w:type="pct"/>
                  <w:vAlign w:val="center"/>
                </w:tcPr>
                <w:p w14:paraId="028EAFC2">
                  <w:pPr>
                    <w:pStyle w:val="45"/>
                    <w:rPr>
                      <w:rFonts w:hint="default" w:ascii="Times New Roman" w:hAnsi="Times New Roman" w:cs="Times New Roman"/>
                    </w:rPr>
                  </w:pPr>
                  <w:r>
                    <w:rPr>
                      <w:rFonts w:hint="default" w:ascii="Times New Roman" w:hAnsi="Times New Roman" w:cs="Times New Roman"/>
                    </w:rPr>
                    <w:t>监测时间</w:t>
                  </w:r>
                </w:p>
              </w:tc>
              <w:tc>
                <w:tcPr>
                  <w:tcW w:w="1036" w:type="pct"/>
                  <w:vAlign w:val="center"/>
                </w:tcPr>
                <w:p w14:paraId="36F94AB8">
                  <w:pPr>
                    <w:pStyle w:val="45"/>
                    <w:rPr>
                      <w:rFonts w:hint="default" w:ascii="Times New Roman" w:hAnsi="Times New Roman" w:cs="Times New Roman"/>
                    </w:rPr>
                  </w:pPr>
                  <w:r>
                    <w:rPr>
                      <w:rFonts w:hint="eastAsia" w:ascii="Times New Roman" w:hAnsi="Times New Roman" w:cs="Times New Roman"/>
                      <w:lang w:val="en-US" w:eastAsia="zh-CN"/>
                    </w:rPr>
                    <w:t>监测</w:t>
                  </w:r>
                  <w:r>
                    <w:rPr>
                      <w:rFonts w:hint="default" w:ascii="Times New Roman" w:hAnsi="Times New Roman" w:cs="Times New Roman"/>
                    </w:rPr>
                    <w:t>因子</w:t>
                  </w:r>
                </w:p>
              </w:tc>
              <w:tc>
                <w:tcPr>
                  <w:tcW w:w="1796" w:type="pct"/>
                  <w:vAlign w:val="center"/>
                </w:tcPr>
                <w:p w14:paraId="14B432E4">
                  <w:pPr>
                    <w:pStyle w:val="45"/>
                    <w:rPr>
                      <w:rFonts w:hint="default" w:ascii="Times New Roman" w:hAnsi="Times New Roman" w:eastAsia="宋体" w:cs="Times New Roman"/>
                      <w:lang w:val="en-US" w:eastAsia="zh-CN"/>
                    </w:rPr>
                  </w:pPr>
                  <w:r>
                    <w:rPr>
                      <w:rFonts w:hint="eastAsia" w:ascii="Times New Roman" w:hAnsi="Times New Roman" w:cs="Times New Roman"/>
                      <w:lang w:val="en-US" w:eastAsia="zh-CN"/>
                    </w:rPr>
                    <w:t>检测频次</w:t>
                  </w:r>
                </w:p>
              </w:tc>
            </w:tr>
            <w:tr w14:paraId="61AD8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419" w:type="pct"/>
                  <w:vAlign w:val="center"/>
                </w:tcPr>
                <w:p w14:paraId="08758A24">
                  <w:pPr>
                    <w:pStyle w:val="12"/>
                    <w:rPr>
                      <w:rFonts w:hint="default" w:ascii="Times New Roman" w:hAnsi="Times New Roman" w:cs="Times New Roman"/>
                    </w:rPr>
                  </w:pPr>
                  <w:r>
                    <w:rPr>
                      <w:rFonts w:hint="default" w:ascii="Times New Roman" w:hAnsi="Times New Roman" w:cs="Times New Roman"/>
                    </w:rPr>
                    <w:t>1#</w:t>
                  </w:r>
                </w:p>
              </w:tc>
              <w:tc>
                <w:tcPr>
                  <w:tcW w:w="780" w:type="pct"/>
                  <w:vAlign w:val="center"/>
                </w:tcPr>
                <w:p w14:paraId="20413E3A">
                  <w:pPr>
                    <w:pStyle w:val="12"/>
                    <w:rPr>
                      <w:rFonts w:hint="default" w:ascii="Times New Roman" w:hAnsi="Times New Roman" w:eastAsia="宋体" w:cs="Times New Roman"/>
                      <w:lang w:val="en-US" w:eastAsia="zh-CN"/>
                    </w:rPr>
                  </w:pPr>
                  <w:r>
                    <w:rPr>
                      <w:rFonts w:hint="eastAsia" w:ascii="Times New Roman" w:hAnsi="Times New Roman" w:cs="Times New Roman"/>
                      <w:lang w:val="en-US" w:eastAsia="zh-CN"/>
                    </w:rPr>
                    <w:t>项目厂区内</w:t>
                  </w:r>
                </w:p>
              </w:tc>
              <w:tc>
                <w:tcPr>
                  <w:tcW w:w="967" w:type="pct"/>
                  <w:vAlign w:val="center"/>
                </w:tcPr>
                <w:p w14:paraId="01FD04ED">
                  <w:pPr>
                    <w:pStyle w:val="12"/>
                    <w:rPr>
                      <w:rFonts w:hint="default" w:ascii="Times New Roman" w:hAnsi="Times New Roman" w:cs="Times New Roman"/>
                    </w:rPr>
                  </w:pPr>
                  <w:r>
                    <w:rPr>
                      <w:rFonts w:hint="default" w:ascii="Times New Roman" w:hAnsi="Times New Roman" w:cs="Times New Roman"/>
                    </w:rPr>
                    <w:t>202</w:t>
                  </w:r>
                  <w:r>
                    <w:rPr>
                      <w:rFonts w:hint="eastAsia" w:ascii="Times New Roman" w:hAnsi="Times New Roman" w:cs="Times New Roman"/>
                      <w:lang w:val="en-US" w:eastAsia="zh-CN"/>
                    </w:rPr>
                    <w:t>5</w:t>
                  </w:r>
                  <w:r>
                    <w:rPr>
                      <w:rFonts w:hint="default" w:ascii="Times New Roman" w:hAnsi="Times New Roman" w:cs="Times New Roman"/>
                    </w:rPr>
                    <w:t>年</w:t>
                  </w:r>
                  <w:r>
                    <w:rPr>
                      <w:rFonts w:hint="eastAsia" w:ascii="Times New Roman" w:hAnsi="Times New Roman" w:cs="Times New Roman"/>
                      <w:lang w:val="en-US" w:eastAsia="zh-CN"/>
                    </w:rPr>
                    <w:t>10</w:t>
                  </w:r>
                  <w:r>
                    <w:rPr>
                      <w:rFonts w:hint="default" w:ascii="Times New Roman" w:hAnsi="Times New Roman" w:cs="Times New Roman"/>
                    </w:rPr>
                    <w:t>月</w:t>
                  </w:r>
                  <w:r>
                    <w:rPr>
                      <w:rFonts w:hint="eastAsia" w:ascii="Times New Roman" w:hAnsi="Times New Roman" w:cs="Times New Roman"/>
                      <w:lang w:val="en-US" w:eastAsia="zh-CN"/>
                    </w:rPr>
                    <w:t>8</w:t>
                  </w:r>
                  <w:r>
                    <w:rPr>
                      <w:rFonts w:hint="default" w:ascii="Times New Roman" w:hAnsi="Times New Roman" w:cs="Times New Roman"/>
                    </w:rPr>
                    <w:t>日-</w:t>
                  </w:r>
                  <w:r>
                    <w:rPr>
                      <w:rFonts w:hint="eastAsia" w:ascii="Times New Roman" w:hAnsi="Times New Roman" w:cs="Times New Roman"/>
                      <w:lang w:val="en-US" w:eastAsia="zh-CN"/>
                    </w:rPr>
                    <w:t>11</w:t>
                  </w:r>
                  <w:r>
                    <w:rPr>
                      <w:rFonts w:hint="default" w:ascii="Times New Roman" w:hAnsi="Times New Roman" w:cs="Times New Roman"/>
                    </w:rPr>
                    <w:t>日</w:t>
                  </w:r>
                </w:p>
              </w:tc>
              <w:tc>
                <w:tcPr>
                  <w:tcW w:w="1036" w:type="pct"/>
                  <w:vAlign w:val="center"/>
                </w:tcPr>
                <w:p w14:paraId="0F354830">
                  <w:pPr>
                    <w:pStyle w:val="12"/>
                    <w:rPr>
                      <w:rFonts w:hint="default" w:ascii="Times New Roman" w:hAnsi="Times New Roman" w:eastAsia="宋体" w:cs="Times New Roman"/>
                      <w:lang w:val="en-US" w:eastAsia="zh-CN"/>
                    </w:rPr>
                  </w:pPr>
                  <w:r>
                    <w:rPr>
                      <w:rFonts w:hint="eastAsia" w:ascii="Times New Roman" w:hAnsi="Times New Roman" w:cs="Times New Roman"/>
                      <w:lang w:val="en-US" w:eastAsia="zh-CN"/>
                    </w:rPr>
                    <w:t>TSP、氟化物、氮氧化物、二噁英类</w:t>
                  </w:r>
                </w:p>
              </w:tc>
              <w:tc>
                <w:tcPr>
                  <w:tcW w:w="1796" w:type="pct"/>
                  <w:vAlign w:val="center"/>
                </w:tcPr>
                <w:p w14:paraId="79D7AA4F">
                  <w:pPr>
                    <w:pStyle w:val="12"/>
                    <w:rPr>
                      <w:rFonts w:hint="default" w:ascii="Times New Roman" w:hAnsi="Times New Roman" w:eastAsia="宋体" w:cs="Times New Roman"/>
                      <w:lang w:val="en-US" w:eastAsia="zh-CN"/>
                    </w:rPr>
                  </w:pPr>
                  <w:r>
                    <w:rPr>
                      <w:rFonts w:ascii="Times New Roman" w:cs="Times New Roman"/>
                      <w:color w:val="auto"/>
                      <w:sz w:val="21"/>
                      <w:szCs w:val="21"/>
                    </w:rPr>
                    <w:t>总悬浮颗粒物（TSP）</w:t>
                  </w:r>
                  <w:r>
                    <w:rPr>
                      <w:rFonts w:hint="eastAsia" w:ascii="Times New Roman" w:cs="Times New Roman"/>
                      <w:color w:val="auto"/>
                      <w:sz w:val="21"/>
                      <w:szCs w:val="21"/>
                    </w:rPr>
                    <w:t>、</w:t>
                  </w:r>
                  <w:r>
                    <w:rPr>
                      <w:rFonts w:ascii="Times New Roman" w:cs="Times New Roman"/>
                      <w:color w:val="auto"/>
                      <w:sz w:val="21"/>
                      <w:szCs w:val="21"/>
                    </w:rPr>
                    <w:t>二噁英类</w:t>
                  </w:r>
                  <w:r>
                    <w:rPr>
                      <w:rFonts w:hint="eastAsia" w:ascii="Times New Roman" w:cs="Times New Roman"/>
                      <w:color w:val="auto"/>
                      <w:sz w:val="21"/>
                      <w:szCs w:val="21"/>
                      <w:lang w:eastAsia="zh-CN"/>
                    </w:rPr>
                    <w:t>、</w:t>
                  </w:r>
                  <w:r>
                    <w:rPr>
                      <w:rFonts w:hint="eastAsia" w:ascii="Times New Roman" w:cs="Times New Roman"/>
                      <w:color w:val="auto"/>
                      <w:sz w:val="21"/>
                      <w:szCs w:val="21"/>
                      <w:lang w:val="en-US" w:eastAsia="zh-CN"/>
                    </w:rPr>
                    <w:t>氟化物</w:t>
                  </w:r>
                  <w:r>
                    <w:rPr>
                      <w:rFonts w:ascii="Times New Roman" w:cs="Times New Roman"/>
                      <w:color w:val="auto"/>
                      <w:sz w:val="21"/>
                      <w:szCs w:val="21"/>
                    </w:rPr>
                    <w:t>检测</w:t>
                  </w:r>
                  <w:r>
                    <w:rPr>
                      <w:rFonts w:hint="eastAsia" w:ascii="Times New Roman" w:cs="Times New Roman"/>
                      <w:color w:val="auto"/>
                      <w:sz w:val="21"/>
                      <w:szCs w:val="21"/>
                      <w:lang w:val="en-US" w:eastAsia="zh-CN"/>
                    </w:rPr>
                    <w:t>3</w:t>
                  </w:r>
                  <w:r>
                    <w:rPr>
                      <w:rFonts w:ascii="Times New Roman" w:cs="Times New Roman"/>
                      <w:color w:val="auto"/>
                      <w:sz w:val="21"/>
                      <w:szCs w:val="21"/>
                    </w:rPr>
                    <w:t>天</w:t>
                  </w:r>
                  <w:r>
                    <w:rPr>
                      <w:rFonts w:hint="eastAsia" w:ascii="Times New Roman" w:cs="Times New Roman"/>
                      <w:color w:val="auto"/>
                      <w:sz w:val="21"/>
                      <w:szCs w:val="21"/>
                    </w:rPr>
                    <w:t>，</w:t>
                  </w:r>
                  <w:r>
                    <w:rPr>
                      <w:rFonts w:ascii="Times New Roman" w:cs="Times New Roman"/>
                      <w:color w:val="auto"/>
                      <w:sz w:val="21"/>
                      <w:szCs w:val="21"/>
                    </w:rPr>
                    <w:t>1天1次</w:t>
                  </w:r>
                  <w:r>
                    <w:rPr>
                      <w:rFonts w:hint="eastAsia" w:ascii="Times New Roman" w:cs="Times New Roman"/>
                      <w:color w:val="auto"/>
                      <w:sz w:val="21"/>
                      <w:szCs w:val="21"/>
                      <w:lang w:eastAsia="zh-CN"/>
                    </w:rPr>
                    <w:t>；</w:t>
                  </w:r>
                  <w:r>
                    <w:rPr>
                      <w:rFonts w:hint="eastAsia" w:ascii="Times New Roman" w:cs="Times New Roman"/>
                      <w:color w:val="auto"/>
                      <w:sz w:val="21"/>
                      <w:szCs w:val="21"/>
                      <w:lang w:val="en-US" w:eastAsia="zh-CN"/>
                    </w:rPr>
                    <w:t>氟化物、氮氧化物检测3天，1天4次</w:t>
                  </w:r>
                </w:p>
              </w:tc>
            </w:tr>
          </w:tbl>
          <w:p w14:paraId="595AC0A7">
            <w:pPr>
              <w:ind w:firstLine="480"/>
              <w:rPr>
                <w:rFonts w:hint="default" w:ascii="Times New Roman" w:hAnsi="Times New Roman" w:cs="Times New Roman"/>
              </w:rPr>
            </w:pPr>
            <w:r>
              <w:rPr>
                <w:rFonts w:hint="default" w:ascii="Times New Roman" w:hAnsi="Times New Roman" w:cs="Times New Roman"/>
                <w:color w:val="auto"/>
                <w:sz w:val="24"/>
                <w:highlight w:val="none"/>
              </w:rPr>
              <w:t>评价标准：</w:t>
            </w:r>
            <w:r>
              <w:rPr>
                <w:rFonts w:hint="default" w:ascii="Times New Roman" w:hAnsi="Times New Roman" w:cs="Times New Roman"/>
                <w:bCs/>
                <w:snapToGrid w:val="0"/>
                <w:color w:val="auto"/>
                <w:kern w:val="0"/>
                <w:sz w:val="24"/>
                <w:highlight w:val="none"/>
              </w:rPr>
              <w:t>总悬浮颗粒物、</w:t>
            </w:r>
            <w:r>
              <w:rPr>
                <w:rFonts w:hint="default" w:ascii="Times New Roman" w:hAnsi="Times New Roman" w:cs="Times New Roman"/>
                <w:color w:val="auto"/>
                <w:kern w:val="0"/>
                <w:sz w:val="24"/>
                <w:highlight w:val="none"/>
                <w:lang w:bidi="ar"/>
              </w:rPr>
              <w:t>氮氧化物</w:t>
            </w:r>
            <w:r>
              <w:rPr>
                <w:rFonts w:hint="default" w:ascii="Times New Roman" w:hAnsi="Times New Roman" w:cs="Times New Roman"/>
                <w:color w:val="auto"/>
                <w:sz w:val="24"/>
                <w:highlight w:val="none"/>
              </w:rPr>
              <w:t>执行</w:t>
            </w:r>
            <w:r>
              <w:rPr>
                <w:rFonts w:hint="default" w:ascii="Times New Roman" w:hAnsi="Times New Roman" w:cs="Times New Roman"/>
                <w:bCs/>
                <w:snapToGrid w:val="0"/>
                <w:color w:val="auto"/>
                <w:kern w:val="0"/>
                <w:sz w:val="24"/>
                <w:highlight w:val="none"/>
              </w:rPr>
              <w:t>《环境空气质量标准》（GB3095-20</w:t>
            </w:r>
            <w:r>
              <w:rPr>
                <w:rFonts w:hint="eastAsia" w:cs="Times New Roman"/>
                <w:bCs/>
                <w:snapToGrid w:val="0"/>
                <w:color w:val="auto"/>
                <w:kern w:val="0"/>
                <w:sz w:val="24"/>
                <w:highlight w:val="none"/>
                <w:lang w:val="en-US" w:eastAsia="zh-CN"/>
              </w:rPr>
              <w:t>26</w:t>
            </w:r>
            <w:r>
              <w:rPr>
                <w:rFonts w:hint="default" w:ascii="Times New Roman" w:hAnsi="Times New Roman" w:cs="Times New Roman"/>
                <w:bCs/>
                <w:snapToGrid w:val="0"/>
                <w:color w:val="auto"/>
                <w:kern w:val="0"/>
                <w:sz w:val="24"/>
                <w:highlight w:val="none"/>
              </w:rPr>
              <w:t>）</w:t>
            </w:r>
            <w:r>
              <w:rPr>
                <w:rFonts w:hint="eastAsia" w:cs="Times New Roman"/>
                <w:bCs/>
                <w:snapToGrid w:val="0"/>
                <w:color w:val="auto"/>
                <w:kern w:val="0"/>
                <w:sz w:val="24"/>
                <w:highlight w:val="none"/>
                <w:lang w:val="en-US" w:eastAsia="zh-CN"/>
              </w:rPr>
              <w:t>过渡期</w:t>
            </w:r>
            <w:r>
              <w:rPr>
                <w:rFonts w:hint="default" w:ascii="Times New Roman" w:hAnsi="Times New Roman" w:cs="Times New Roman"/>
                <w:bCs/>
                <w:snapToGrid w:val="0"/>
                <w:color w:val="auto"/>
                <w:kern w:val="0"/>
                <w:sz w:val="24"/>
                <w:highlight w:val="none"/>
              </w:rPr>
              <w:t>二级标准；氟化物执行</w:t>
            </w:r>
            <w:bookmarkStart w:id="46" w:name="_Hlk37663701"/>
            <w:r>
              <w:rPr>
                <w:rFonts w:hint="default" w:ascii="Times New Roman" w:hAnsi="Times New Roman" w:cs="Times New Roman"/>
                <w:bCs/>
                <w:snapToGrid w:val="0"/>
                <w:color w:val="auto"/>
                <w:kern w:val="0"/>
                <w:sz w:val="24"/>
                <w:highlight w:val="none"/>
              </w:rPr>
              <w:t>《环境空气质量标准》（GB3095-</w:t>
            </w:r>
            <w:r>
              <w:rPr>
                <w:rFonts w:hint="eastAsia" w:cs="Times New Roman"/>
                <w:bCs/>
                <w:snapToGrid w:val="0"/>
                <w:color w:val="auto"/>
                <w:kern w:val="0"/>
                <w:sz w:val="24"/>
                <w:highlight w:val="none"/>
                <w:lang w:val="en-US" w:eastAsia="zh-CN"/>
              </w:rPr>
              <w:t>2026</w:t>
            </w:r>
            <w:r>
              <w:rPr>
                <w:rFonts w:hint="default" w:ascii="Times New Roman" w:hAnsi="Times New Roman" w:cs="Times New Roman"/>
                <w:bCs/>
                <w:snapToGrid w:val="0"/>
                <w:color w:val="auto"/>
                <w:kern w:val="0"/>
                <w:sz w:val="24"/>
                <w:highlight w:val="none"/>
              </w:rPr>
              <w:t>）附录A参考浓度限值；二噁英类参照执行日本环境质量标准（2002年7月环境省告示第46号）。</w:t>
            </w:r>
            <w:bookmarkEnd w:id="46"/>
          </w:p>
          <w:p w14:paraId="282DD519">
            <w:pPr>
              <w:ind w:left="480" w:firstLine="0" w:firstLineChars="0"/>
              <w:rPr>
                <w:rFonts w:hint="eastAsia" w:ascii="Times New Roman" w:hAnsi="Times New Roman" w:cs="Times New Roman"/>
                <w:b/>
                <w:bCs/>
                <w:lang w:val="en-US" w:eastAsia="zh-CN"/>
              </w:rPr>
            </w:pPr>
            <w:r>
              <w:rPr>
                <w:rFonts w:hint="default" w:ascii="Times New Roman" w:hAnsi="Times New Roman" w:cs="Times New Roman"/>
                <w:b/>
                <w:bCs/>
              </w:rPr>
              <w:t>2）</w:t>
            </w:r>
            <w:r>
              <w:rPr>
                <w:rFonts w:hint="eastAsia" w:ascii="Times New Roman" w:hAnsi="Times New Roman" w:cs="Times New Roman"/>
                <w:b/>
                <w:bCs/>
                <w:lang w:val="en-US" w:eastAsia="zh-CN"/>
              </w:rPr>
              <w:t>检测结果统计与评价</w:t>
            </w:r>
          </w:p>
          <w:p w14:paraId="59F5B4DA">
            <w:pPr>
              <w:pStyle w:val="11"/>
              <w:keepNext/>
              <w:ind w:firstLine="480"/>
              <w:rPr>
                <w:rFonts w:hint="default" w:ascii="Times New Roman" w:hAnsi="Times New Roman" w:cs="Times New Roman"/>
              </w:rPr>
            </w:pPr>
            <w:r>
              <w:rPr>
                <w:rFonts w:hint="default" w:ascii="Times New Roman" w:hAnsi="Times New Roman" w:cs="Times New Roman"/>
              </w:rPr>
              <w:t>表</w:t>
            </w:r>
            <w:r>
              <w:rPr>
                <w:rFonts w:hint="eastAsia" w:cs="Times New Roman"/>
                <w:lang w:val="en-US" w:eastAsia="zh-CN"/>
              </w:rPr>
              <w:t>3</w:t>
            </w:r>
            <w:r>
              <w:rPr>
                <w:rFonts w:hint="default" w:ascii="Times New Roman" w:hAnsi="Times New Roman" w:cs="Times New Roman"/>
              </w:rPr>
              <w:noBreakHyphen/>
            </w:r>
            <w:r>
              <w:rPr>
                <w:rFonts w:hint="default" w:ascii="Times New Roman" w:hAnsi="Times New Roman" w:cs="Times New Roman"/>
              </w:rPr>
              <w:fldChar w:fldCharType="begin"/>
            </w:r>
            <w:r>
              <w:rPr>
                <w:rFonts w:hint="default" w:ascii="Times New Roman" w:hAnsi="Times New Roman" w:cs="Times New Roman"/>
              </w:rPr>
              <w:instrText xml:space="preserve"> SEQ 表 \* ARABIC \s 1 </w:instrText>
            </w:r>
            <w:r>
              <w:rPr>
                <w:rFonts w:hint="default" w:ascii="Times New Roman" w:hAnsi="Times New Roman" w:cs="Times New Roman"/>
              </w:rPr>
              <w:fldChar w:fldCharType="separate"/>
            </w:r>
            <w:r>
              <w:rPr>
                <w:rFonts w:hint="default" w:ascii="Times New Roman" w:hAnsi="Times New Roman" w:cs="Times New Roman"/>
              </w:rPr>
              <w:t>3</w:t>
            </w:r>
            <w:r>
              <w:rPr>
                <w:rFonts w:hint="default" w:ascii="Times New Roman" w:hAnsi="Times New Roman" w:cs="Times New Roman"/>
              </w:rPr>
              <w:fldChar w:fldCharType="end"/>
            </w:r>
            <w:r>
              <w:rPr>
                <w:rFonts w:hint="default" w:ascii="Times New Roman" w:hAnsi="Times New Roman" w:cs="Times New Roman"/>
              </w:rPr>
              <w:t xml:space="preserve"> 环境空气质量现状监测结果统计表（日均值）</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68"/>
              <w:gridCol w:w="1471"/>
              <w:gridCol w:w="1704"/>
              <w:gridCol w:w="1749"/>
              <w:gridCol w:w="1539"/>
              <w:gridCol w:w="1461"/>
            </w:tblGrid>
            <w:tr w14:paraId="0E261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11" w:type="pct"/>
                  <w:vAlign w:val="center"/>
                </w:tcPr>
                <w:p w14:paraId="5ED34330">
                  <w:pPr>
                    <w:pStyle w:val="45"/>
                    <w:rPr>
                      <w:rFonts w:hint="default" w:ascii="Times New Roman" w:hAnsi="Times New Roman" w:cs="Times New Roman"/>
                    </w:rPr>
                  </w:pPr>
                  <w:r>
                    <w:rPr>
                      <w:rFonts w:hint="default" w:ascii="Times New Roman" w:hAnsi="Times New Roman" w:cs="Times New Roman"/>
                    </w:rPr>
                    <w:t>监测点位</w:t>
                  </w:r>
                </w:p>
              </w:tc>
              <w:tc>
                <w:tcPr>
                  <w:tcW w:w="813" w:type="pct"/>
                  <w:vAlign w:val="center"/>
                </w:tcPr>
                <w:p w14:paraId="69C55ED4">
                  <w:pPr>
                    <w:pStyle w:val="45"/>
                    <w:rPr>
                      <w:rFonts w:hint="default" w:ascii="Times New Roman" w:hAnsi="Times New Roman" w:cs="Times New Roman"/>
                    </w:rPr>
                  </w:pPr>
                  <w:r>
                    <w:rPr>
                      <w:rFonts w:hint="default" w:ascii="Times New Roman" w:hAnsi="Times New Roman" w:cs="Times New Roman"/>
                    </w:rPr>
                    <w:t>监测项目</w:t>
                  </w:r>
                </w:p>
              </w:tc>
              <w:tc>
                <w:tcPr>
                  <w:tcW w:w="932" w:type="pct"/>
                  <w:vAlign w:val="center"/>
                </w:tcPr>
                <w:p w14:paraId="53D3D56A">
                  <w:pPr>
                    <w:pStyle w:val="45"/>
                    <w:rPr>
                      <w:rFonts w:hint="default" w:ascii="Times New Roman" w:hAnsi="Times New Roman" w:cs="Times New Roman"/>
                    </w:rPr>
                  </w:pPr>
                  <w:r>
                    <w:rPr>
                      <w:rFonts w:hint="default" w:ascii="Times New Roman" w:hAnsi="Times New Roman" w:cs="Times New Roman"/>
                    </w:rPr>
                    <w:t>采样时间</w:t>
                  </w:r>
                </w:p>
              </w:tc>
              <w:tc>
                <w:tcPr>
                  <w:tcW w:w="814" w:type="pct"/>
                  <w:vAlign w:val="center"/>
                </w:tcPr>
                <w:p w14:paraId="00AF1AA7">
                  <w:pPr>
                    <w:pStyle w:val="45"/>
                    <w:rPr>
                      <w:rFonts w:hint="default" w:ascii="Times New Roman" w:hAnsi="Times New Roman" w:cs="Times New Roman"/>
                    </w:rPr>
                  </w:pPr>
                  <w:r>
                    <w:rPr>
                      <w:rFonts w:hint="default" w:ascii="Times New Roman" w:hAnsi="Times New Roman" w:cs="Times New Roman"/>
                    </w:rPr>
                    <w:t>监测结果（</w:t>
                  </w:r>
                  <w:bookmarkStart w:id="47" w:name="OLE_LINK279"/>
                  <w:bookmarkStart w:id="48" w:name="OLE_LINK278"/>
                  <w:r>
                    <w:rPr>
                      <w:rFonts w:hint="default" w:ascii="Times New Roman" w:hAnsi="Times New Roman" w:cs="Times New Roman"/>
                    </w:rPr>
                    <w:t>μg</w:t>
                  </w:r>
                  <w:bookmarkEnd w:id="47"/>
                  <w:bookmarkEnd w:id="48"/>
                  <w:r>
                    <w:rPr>
                      <w:rFonts w:hint="default" w:ascii="Times New Roman" w:hAnsi="Times New Roman" w:cs="Times New Roman"/>
                    </w:rPr>
                    <w:t>/m</w:t>
                  </w:r>
                  <w:r>
                    <w:rPr>
                      <w:rFonts w:hint="default" w:ascii="Times New Roman" w:hAnsi="Times New Roman" w:cs="Times New Roman"/>
                      <w:vertAlign w:val="superscript"/>
                    </w:rPr>
                    <w:t>3</w:t>
                  </w:r>
                  <w:r>
                    <w:rPr>
                      <w:rFonts w:hint="default" w:ascii="Times New Roman" w:hAnsi="Times New Roman" w:cs="Times New Roman"/>
                    </w:rPr>
                    <w:t>）</w:t>
                  </w:r>
                </w:p>
              </w:tc>
              <w:tc>
                <w:tcPr>
                  <w:tcW w:w="814" w:type="pct"/>
                  <w:vAlign w:val="center"/>
                </w:tcPr>
                <w:p w14:paraId="589E35A9">
                  <w:pPr>
                    <w:pStyle w:val="45"/>
                    <w:rPr>
                      <w:rFonts w:hint="default" w:ascii="Times New Roman" w:hAnsi="Times New Roman" w:cs="Times New Roman"/>
                    </w:rPr>
                  </w:pPr>
                  <w:r>
                    <w:rPr>
                      <w:rFonts w:hint="default" w:ascii="Times New Roman" w:hAnsi="Times New Roman" w:cs="Times New Roman"/>
                    </w:rPr>
                    <w:t>标准值（μg/m</w:t>
                  </w:r>
                  <w:r>
                    <w:rPr>
                      <w:rFonts w:hint="default" w:ascii="Times New Roman" w:hAnsi="Times New Roman" w:cs="Times New Roman"/>
                      <w:vertAlign w:val="superscript"/>
                    </w:rPr>
                    <w:t>3</w:t>
                  </w:r>
                  <w:r>
                    <w:rPr>
                      <w:rFonts w:hint="default" w:ascii="Times New Roman" w:hAnsi="Times New Roman" w:cs="Times New Roman"/>
                    </w:rPr>
                    <w:t>）</w:t>
                  </w:r>
                </w:p>
              </w:tc>
              <w:tc>
                <w:tcPr>
                  <w:tcW w:w="812" w:type="pct"/>
                  <w:vAlign w:val="center"/>
                </w:tcPr>
                <w:p w14:paraId="487D68B1">
                  <w:pPr>
                    <w:pStyle w:val="45"/>
                    <w:rPr>
                      <w:rFonts w:hint="default" w:ascii="Times New Roman" w:hAnsi="Times New Roman" w:cs="Times New Roman"/>
                    </w:rPr>
                  </w:pPr>
                  <w:r>
                    <w:rPr>
                      <w:rFonts w:hint="default" w:ascii="Times New Roman" w:hAnsi="Times New Roman" w:cs="Times New Roman"/>
                    </w:rPr>
                    <w:t>达标情况</w:t>
                  </w:r>
                </w:p>
              </w:tc>
            </w:tr>
            <w:tr w14:paraId="424FA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11" w:type="pct"/>
                  <w:vMerge w:val="restart"/>
                  <w:vAlign w:val="center"/>
                </w:tcPr>
                <w:p w14:paraId="66D39649">
                  <w:pPr>
                    <w:pStyle w:val="12"/>
                    <w:rPr>
                      <w:rFonts w:hint="default" w:ascii="Times New Roman" w:hAnsi="Times New Roman" w:eastAsia="宋体" w:cs="Times New Roman"/>
                      <w:lang w:val="en-US" w:eastAsia="zh-CN"/>
                    </w:rPr>
                  </w:pPr>
                  <w:r>
                    <w:rPr>
                      <w:rFonts w:hint="eastAsia" w:ascii="Times New Roman" w:hAnsi="Times New Roman" w:cs="Times New Roman"/>
                      <w:lang w:val="en-US" w:eastAsia="zh-CN"/>
                    </w:rPr>
                    <w:t>项目厂区内</w:t>
                  </w:r>
                </w:p>
              </w:tc>
              <w:tc>
                <w:tcPr>
                  <w:tcW w:w="813" w:type="pct"/>
                  <w:vMerge w:val="restart"/>
                  <w:vAlign w:val="center"/>
                </w:tcPr>
                <w:p w14:paraId="5E395D0A">
                  <w:pPr>
                    <w:pStyle w:val="12"/>
                    <w:rPr>
                      <w:rFonts w:hint="default" w:ascii="Times New Roman" w:hAnsi="Times New Roman" w:eastAsia="宋体" w:cs="Times New Roman"/>
                      <w:lang w:val="en-US" w:eastAsia="zh-CN"/>
                    </w:rPr>
                  </w:pPr>
                  <w:r>
                    <w:rPr>
                      <w:rFonts w:hint="eastAsia" w:ascii="Times New Roman" w:hAnsi="Times New Roman" w:cs="Times New Roman"/>
                      <w:lang w:val="en-US" w:eastAsia="zh-CN"/>
                    </w:rPr>
                    <w:t>TSP</w:t>
                  </w:r>
                </w:p>
              </w:tc>
              <w:tc>
                <w:tcPr>
                  <w:tcW w:w="932" w:type="pct"/>
                  <w:vAlign w:val="center"/>
                </w:tcPr>
                <w:p w14:paraId="59B31F66">
                  <w:pPr>
                    <w:pStyle w:val="12"/>
                    <w:rPr>
                      <w:rFonts w:hint="default" w:ascii="Times New Roman" w:hAnsi="Times New Roman" w:eastAsia="宋体" w:cs="Times New Roman"/>
                      <w:lang w:val="en-US" w:eastAsia="zh-CN"/>
                    </w:rPr>
                  </w:pPr>
                  <w:bookmarkStart w:id="49" w:name="OLE_LINK276"/>
                  <w:bookmarkStart w:id="50" w:name="OLE_LINK277"/>
                  <w:r>
                    <w:rPr>
                      <w:rFonts w:hint="default" w:ascii="Times New Roman" w:hAnsi="Times New Roman" w:cs="Times New Roman"/>
                    </w:rPr>
                    <w:t>202</w:t>
                  </w:r>
                  <w:r>
                    <w:rPr>
                      <w:rFonts w:hint="eastAsia" w:ascii="Times New Roman" w:hAnsi="Times New Roman" w:cs="Times New Roman"/>
                      <w:lang w:val="en-US" w:eastAsia="zh-CN"/>
                    </w:rPr>
                    <w:t>5</w:t>
                  </w:r>
                  <w:r>
                    <w:rPr>
                      <w:rFonts w:hint="default" w:ascii="Times New Roman" w:hAnsi="Times New Roman" w:cs="Times New Roman"/>
                    </w:rPr>
                    <w:t>.</w:t>
                  </w:r>
                  <w:r>
                    <w:rPr>
                      <w:rFonts w:hint="eastAsia" w:ascii="Times New Roman" w:hAnsi="Times New Roman" w:cs="Times New Roman"/>
                      <w:lang w:val="en-US" w:eastAsia="zh-CN"/>
                    </w:rPr>
                    <w:t>10</w:t>
                  </w:r>
                  <w:r>
                    <w:rPr>
                      <w:rFonts w:hint="default" w:ascii="Times New Roman" w:hAnsi="Times New Roman" w:cs="Times New Roman"/>
                    </w:rPr>
                    <w:t>.0</w:t>
                  </w:r>
                  <w:r>
                    <w:rPr>
                      <w:rFonts w:hint="eastAsia" w:ascii="Times New Roman" w:hAnsi="Times New Roman" w:cs="Times New Roman"/>
                      <w:lang w:val="en-US" w:eastAsia="zh-CN"/>
                    </w:rPr>
                    <w:t>8</w:t>
                  </w:r>
                  <w:r>
                    <w:rPr>
                      <w:rFonts w:hint="default" w:ascii="Times New Roman" w:hAnsi="Times New Roman" w:cs="Times New Roman"/>
                    </w:rPr>
                    <w:t>-10</w:t>
                  </w:r>
                  <w:bookmarkEnd w:id="49"/>
                  <w:bookmarkEnd w:id="50"/>
                  <w:r>
                    <w:rPr>
                      <w:rFonts w:hint="eastAsia" w:ascii="Times New Roman" w:hAnsi="Times New Roman" w:cs="Times New Roman"/>
                      <w:lang w:val="en-US" w:eastAsia="zh-CN"/>
                    </w:rPr>
                    <w:t>.09</w:t>
                  </w:r>
                </w:p>
              </w:tc>
              <w:tc>
                <w:tcPr>
                  <w:tcW w:w="814" w:type="pct"/>
                  <w:vAlign w:val="center"/>
                </w:tcPr>
                <w:p w14:paraId="47C872EE">
                  <w:pPr>
                    <w:pStyle w:val="12"/>
                    <w:rPr>
                      <w:rFonts w:hint="default" w:ascii="Times New Roman" w:hAnsi="Times New Roman" w:eastAsia="宋体" w:cs="Times New Roman"/>
                      <w:lang w:val="en-US" w:eastAsia="zh-CN"/>
                    </w:rPr>
                  </w:pPr>
                  <w:r>
                    <w:rPr>
                      <w:rFonts w:hint="eastAsia" w:ascii="Times New Roman" w:hAnsi="Times New Roman" w:cs="Times New Roman"/>
                      <w:lang w:val="en-US" w:eastAsia="zh-CN"/>
                    </w:rPr>
                    <w:t>84</w:t>
                  </w:r>
                </w:p>
              </w:tc>
              <w:tc>
                <w:tcPr>
                  <w:tcW w:w="814" w:type="pct"/>
                  <w:vMerge w:val="restart"/>
                  <w:vAlign w:val="center"/>
                </w:tcPr>
                <w:p w14:paraId="6FEDFD5C">
                  <w:pPr>
                    <w:pStyle w:val="12"/>
                    <w:rPr>
                      <w:rFonts w:hint="default" w:ascii="Times New Roman" w:hAnsi="Times New Roman" w:cs="Times New Roman"/>
                    </w:rPr>
                  </w:pPr>
                  <w:r>
                    <w:rPr>
                      <w:rFonts w:hint="default" w:ascii="Times New Roman" w:hAnsi="Times New Roman" w:cs="Times New Roman"/>
                    </w:rPr>
                    <w:t>300</w:t>
                  </w:r>
                </w:p>
              </w:tc>
              <w:tc>
                <w:tcPr>
                  <w:tcW w:w="812" w:type="pct"/>
                  <w:vAlign w:val="center"/>
                </w:tcPr>
                <w:p w14:paraId="181D97A7">
                  <w:pPr>
                    <w:pStyle w:val="12"/>
                    <w:rPr>
                      <w:rFonts w:hint="default" w:ascii="Times New Roman" w:hAnsi="Times New Roman" w:cs="Times New Roman"/>
                    </w:rPr>
                  </w:pPr>
                  <w:bookmarkStart w:id="51" w:name="OLE_LINK180"/>
                  <w:bookmarkStart w:id="52" w:name="OLE_LINK181"/>
                  <w:r>
                    <w:rPr>
                      <w:rFonts w:hint="default" w:ascii="Times New Roman" w:hAnsi="Times New Roman" w:cs="Times New Roman"/>
                    </w:rPr>
                    <w:t>达标</w:t>
                  </w:r>
                  <w:bookmarkEnd w:id="51"/>
                  <w:bookmarkEnd w:id="52"/>
                </w:p>
              </w:tc>
            </w:tr>
            <w:tr w14:paraId="297BA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11" w:type="pct"/>
                  <w:vMerge w:val="continue"/>
                  <w:vAlign w:val="center"/>
                </w:tcPr>
                <w:p w14:paraId="0463E3BC">
                  <w:pPr>
                    <w:pStyle w:val="12"/>
                    <w:rPr>
                      <w:rFonts w:hint="default" w:ascii="Times New Roman" w:hAnsi="Times New Roman" w:cs="Times New Roman"/>
                    </w:rPr>
                  </w:pPr>
                </w:p>
              </w:tc>
              <w:tc>
                <w:tcPr>
                  <w:tcW w:w="813" w:type="pct"/>
                  <w:vMerge w:val="continue"/>
                  <w:vAlign w:val="center"/>
                </w:tcPr>
                <w:p w14:paraId="072459A0">
                  <w:pPr>
                    <w:pStyle w:val="12"/>
                    <w:rPr>
                      <w:rFonts w:hint="default" w:ascii="Times New Roman" w:hAnsi="Times New Roman" w:cs="Times New Roman"/>
                    </w:rPr>
                  </w:pPr>
                </w:p>
              </w:tc>
              <w:tc>
                <w:tcPr>
                  <w:tcW w:w="932" w:type="pct"/>
                </w:tcPr>
                <w:p w14:paraId="188EF6B1">
                  <w:pPr>
                    <w:pStyle w:val="12"/>
                    <w:rPr>
                      <w:rFonts w:hint="default" w:ascii="Times New Roman" w:hAnsi="Times New Roman" w:cs="Times New Roman"/>
                      <w:lang w:val="en-US"/>
                    </w:rPr>
                  </w:pPr>
                  <w:r>
                    <w:rPr>
                      <w:rFonts w:hint="default" w:ascii="Times New Roman" w:hAnsi="Times New Roman" w:cs="Times New Roman"/>
                    </w:rPr>
                    <w:t>202</w:t>
                  </w:r>
                  <w:r>
                    <w:rPr>
                      <w:rFonts w:hint="eastAsia" w:ascii="Times New Roman" w:hAnsi="Times New Roman" w:cs="Times New Roman"/>
                      <w:lang w:val="en-US" w:eastAsia="zh-CN"/>
                    </w:rPr>
                    <w:t>5</w:t>
                  </w:r>
                  <w:r>
                    <w:rPr>
                      <w:rFonts w:hint="default" w:ascii="Times New Roman" w:hAnsi="Times New Roman" w:cs="Times New Roman"/>
                    </w:rPr>
                    <w:t>.</w:t>
                  </w:r>
                  <w:r>
                    <w:rPr>
                      <w:rFonts w:hint="eastAsia" w:ascii="Times New Roman" w:hAnsi="Times New Roman" w:cs="Times New Roman"/>
                      <w:lang w:val="en-US" w:eastAsia="zh-CN"/>
                    </w:rPr>
                    <w:t>10</w:t>
                  </w:r>
                  <w:r>
                    <w:rPr>
                      <w:rFonts w:hint="default" w:ascii="Times New Roman" w:hAnsi="Times New Roman" w:cs="Times New Roman"/>
                    </w:rPr>
                    <w:t>.0</w:t>
                  </w:r>
                  <w:r>
                    <w:rPr>
                      <w:rFonts w:hint="eastAsia" w:ascii="Times New Roman" w:hAnsi="Times New Roman" w:cs="Times New Roman"/>
                      <w:lang w:val="en-US" w:eastAsia="zh-CN"/>
                    </w:rPr>
                    <w:t>9</w:t>
                  </w:r>
                  <w:r>
                    <w:rPr>
                      <w:rFonts w:hint="default" w:ascii="Times New Roman" w:hAnsi="Times New Roman" w:cs="Times New Roman"/>
                    </w:rPr>
                    <w:t>-10</w:t>
                  </w:r>
                  <w:r>
                    <w:rPr>
                      <w:rFonts w:hint="eastAsia" w:ascii="Times New Roman" w:hAnsi="Times New Roman" w:cs="Times New Roman"/>
                      <w:lang w:val="en-US" w:eastAsia="zh-CN"/>
                    </w:rPr>
                    <w:t>.10</w:t>
                  </w:r>
                </w:p>
              </w:tc>
              <w:tc>
                <w:tcPr>
                  <w:tcW w:w="814" w:type="pct"/>
                  <w:vAlign w:val="center"/>
                </w:tcPr>
                <w:p w14:paraId="3F9A942E">
                  <w:pPr>
                    <w:pStyle w:val="12"/>
                    <w:rPr>
                      <w:rFonts w:hint="default" w:ascii="Times New Roman" w:hAnsi="Times New Roman" w:eastAsia="宋体" w:cs="Times New Roman"/>
                      <w:lang w:val="en-US" w:eastAsia="zh-CN"/>
                    </w:rPr>
                  </w:pPr>
                  <w:r>
                    <w:rPr>
                      <w:rFonts w:hint="eastAsia" w:ascii="Times New Roman" w:hAnsi="Times New Roman" w:cs="Times New Roman"/>
                      <w:lang w:val="en-US" w:eastAsia="zh-CN"/>
                    </w:rPr>
                    <w:t>81</w:t>
                  </w:r>
                </w:p>
              </w:tc>
              <w:tc>
                <w:tcPr>
                  <w:tcW w:w="814" w:type="pct"/>
                  <w:vMerge w:val="continue"/>
                  <w:vAlign w:val="center"/>
                </w:tcPr>
                <w:p w14:paraId="2833852D">
                  <w:pPr>
                    <w:pStyle w:val="12"/>
                    <w:rPr>
                      <w:rFonts w:hint="default" w:ascii="Times New Roman" w:hAnsi="Times New Roman" w:cs="Times New Roman"/>
                    </w:rPr>
                  </w:pPr>
                </w:p>
              </w:tc>
              <w:tc>
                <w:tcPr>
                  <w:tcW w:w="812" w:type="pct"/>
                  <w:vAlign w:val="center"/>
                </w:tcPr>
                <w:p w14:paraId="5B88C85E">
                  <w:pPr>
                    <w:pStyle w:val="12"/>
                    <w:rPr>
                      <w:rFonts w:hint="default" w:ascii="Times New Roman" w:hAnsi="Times New Roman" w:cs="Times New Roman"/>
                    </w:rPr>
                  </w:pPr>
                  <w:r>
                    <w:rPr>
                      <w:rFonts w:hint="default" w:ascii="Times New Roman" w:hAnsi="Times New Roman" w:cs="Times New Roman"/>
                    </w:rPr>
                    <w:t>达标</w:t>
                  </w:r>
                </w:p>
              </w:tc>
            </w:tr>
            <w:tr w14:paraId="36A7A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11" w:type="pct"/>
                  <w:vMerge w:val="continue"/>
                  <w:vAlign w:val="center"/>
                </w:tcPr>
                <w:p w14:paraId="06D2E774">
                  <w:pPr>
                    <w:pStyle w:val="12"/>
                    <w:rPr>
                      <w:rFonts w:hint="default" w:ascii="Times New Roman" w:hAnsi="Times New Roman" w:cs="Times New Roman"/>
                    </w:rPr>
                  </w:pPr>
                </w:p>
              </w:tc>
              <w:tc>
                <w:tcPr>
                  <w:tcW w:w="813" w:type="pct"/>
                  <w:vMerge w:val="continue"/>
                  <w:vAlign w:val="center"/>
                </w:tcPr>
                <w:p w14:paraId="640610B9">
                  <w:pPr>
                    <w:pStyle w:val="12"/>
                    <w:rPr>
                      <w:rFonts w:hint="default" w:ascii="Times New Roman" w:hAnsi="Times New Roman" w:cs="Times New Roman"/>
                    </w:rPr>
                  </w:pPr>
                </w:p>
              </w:tc>
              <w:tc>
                <w:tcPr>
                  <w:tcW w:w="932" w:type="pct"/>
                </w:tcPr>
                <w:p w14:paraId="57BC8344">
                  <w:pPr>
                    <w:pStyle w:val="12"/>
                    <w:rPr>
                      <w:rFonts w:hint="default" w:ascii="Times New Roman" w:hAnsi="Times New Roman" w:cs="Times New Roman"/>
                      <w:lang w:val="en-US"/>
                    </w:rPr>
                  </w:pPr>
                  <w:r>
                    <w:rPr>
                      <w:rFonts w:hint="default" w:ascii="Times New Roman" w:hAnsi="Times New Roman" w:cs="Times New Roman"/>
                    </w:rPr>
                    <w:t>202</w:t>
                  </w:r>
                  <w:r>
                    <w:rPr>
                      <w:rFonts w:hint="eastAsia" w:ascii="Times New Roman" w:hAnsi="Times New Roman" w:cs="Times New Roman"/>
                      <w:lang w:val="en-US" w:eastAsia="zh-CN"/>
                    </w:rPr>
                    <w:t>5</w:t>
                  </w:r>
                  <w:r>
                    <w:rPr>
                      <w:rFonts w:hint="default" w:ascii="Times New Roman" w:hAnsi="Times New Roman" w:cs="Times New Roman"/>
                    </w:rPr>
                    <w:t>.</w:t>
                  </w:r>
                  <w:r>
                    <w:rPr>
                      <w:rFonts w:hint="eastAsia" w:ascii="Times New Roman" w:hAnsi="Times New Roman" w:cs="Times New Roman"/>
                      <w:lang w:val="en-US" w:eastAsia="zh-CN"/>
                    </w:rPr>
                    <w:t>10</w:t>
                  </w:r>
                  <w:r>
                    <w:rPr>
                      <w:rFonts w:hint="default" w:ascii="Times New Roman" w:hAnsi="Times New Roman" w:cs="Times New Roman"/>
                    </w:rPr>
                    <w:t>.</w:t>
                  </w:r>
                  <w:r>
                    <w:rPr>
                      <w:rFonts w:hint="eastAsia" w:ascii="Times New Roman" w:hAnsi="Times New Roman" w:cs="Times New Roman"/>
                      <w:lang w:val="en-US" w:eastAsia="zh-CN"/>
                    </w:rPr>
                    <w:t>10</w:t>
                  </w:r>
                  <w:r>
                    <w:rPr>
                      <w:rFonts w:hint="default" w:ascii="Times New Roman" w:hAnsi="Times New Roman" w:cs="Times New Roman"/>
                    </w:rPr>
                    <w:t>-10</w:t>
                  </w:r>
                  <w:r>
                    <w:rPr>
                      <w:rFonts w:hint="eastAsia" w:ascii="Times New Roman" w:hAnsi="Times New Roman" w:cs="Times New Roman"/>
                      <w:lang w:val="en-US" w:eastAsia="zh-CN"/>
                    </w:rPr>
                    <w:t>.11</w:t>
                  </w:r>
                </w:p>
              </w:tc>
              <w:tc>
                <w:tcPr>
                  <w:tcW w:w="814" w:type="pct"/>
                  <w:vAlign w:val="center"/>
                </w:tcPr>
                <w:p w14:paraId="76049D6B">
                  <w:pPr>
                    <w:pStyle w:val="12"/>
                    <w:rPr>
                      <w:rFonts w:hint="default" w:ascii="Times New Roman" w:hAnsi="Times New Roman" w:eastAsia="宋体" w:cs="Times New Roman"/>
                      <w:lang w:val="en-US" w:eastAsia="zh-CN"/>
                    </w:rPr>
                  </w:pPr>
                  <w:r>
                    <w:rPr>
                      <w:rFonts w:hint="eastAsia" w:ascii="Times New Roman" w:hAnsi="Times New Roman" w:cs="Times New Roman"/>
                      <w:lang w:val="en-US" w:eastAsia="zh-CN"/>
                    </w:rPr>
                    <w:t>83</w:t>
                  </w:r>
                </w:p>
              </w:tc>
              <w:tc>
                <w:tcPr>
                  <w:tcW w:w="814" w:type="pct"/>
                  <w:vMerge w:val="continue"/>
                  <w:vAlign w:val="center"/>
                </w:tcPr>
                <w:p w14:paraId="2A180A48">
                  <w:pPr>
                    <w:pStyle w:val="12"/>
                    <w:rPr>
                      <w:rFonts w:hint="default" w:ascii="Times New Roman" w:hAnsi="Times New Roman" w:cs="Times New Roman"/>
                    </w:rPr>
                  </w:pPr>
                </w:p>
              </w:tc>
              <w:tc>
                <w:tcPr>
                  <w:tcW w:w="812" w:type="pct"/>
                  <w:vAlign w:val="center"/>
                </w:tcPr>
                <w:p w14:paraId="774F4219">
                  <w:pPr>
                    <w:pStyle w:val="12"/>
                    <w:rPr>
                      <w:rFonts w:hint="default" w:ascii="Times New Roman" w:hAnsi="Times New Roman" w:cs="Times New Roman"/>
                    </w:rPr>
                  </w:pPr>
                  <w:r>
                    <w:rPr>
                      <w:rFonts w:hint="default" w:ascii="Times New Roman" w:hAnsi="Times New Roman" w:cs="Times New Roman"/>
                    </w:rPr>
                    <w:t>达标</w:t>
                  </w:r>
                </w:p>
              </w:tc>
            </w:tr>
            <w:tr w14:paraId="6021B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11" w:type="pct"/>
                  <w:vMerge w:val="continue"/>
                  <w:vAlign w:val="center"/>
                </w:tcPr>
                <w:p w14:paraId="5271ACEC">
                  <w:pPr>
                    <w:pStyle w:val="12"/>
                    <w:rPr>
                      <w:rFonts w:hint="default" w:ascii="Times New Roman" w:hAnsi="Times New Roman" w:cs="Times New Roman"/>
                    </w:rPr>
                  </w:pPr>
                  <w:bookmarkStart w:id="53" w:name="_Hlk208418452"/>
                </w:p>
              </w:tc>
              <w:tc>
                <w:tcPr>
                  <w:tcW w:w="813" w:type="pct"/>
                  <w:vMerge w:val="restart"/>
                  <w:vAlign w:val="center"/>
                </w:tcPr>
                <w:p w14:paraId="6E03AE8D">
                  <w:pPr>
                    <w:pStyle w:val="12"/>
                    <w:rPr>
                      <w:rFonts w:hint="eastAsia" w:ascii="Times New Roman" w:hAnsi="Times New Roman" w:eastAsia="宋体" w:cs="Times New Roman"/>
                      <w:lang w:eastAsia="zh-CN"/>
                    </w:rPr>
                  </w:pPr>
                  <w:r>
                    <w:rPr>
                      <w:rFonts w:hint="eastAsia" w:ascii="Times New Roman" w:hAnsi="Times New Roman" w:cs="Times New Roman"/>
                      <w:lang w:val="en-US" w:eastAsia="zh-CN"/>
                    </w:rPr>
                    <w:t>氟化物</w:t>
                  </w:r>
                </w:p>
              </w:tc>
              <w:tc>
                <w:tcPr>
                  <w:tcW w:w="932" w:type="pct"/>
                  <w:vAlign w:val="center"/>
                </w:tcPr>
                <w:p w14:paraId="1E4C48BE">
                  <w:pPr>
                    <w:pStyle w:val="12"/>
                    <w:ind w:firstLine="0" w:firstLineChars="0"/>
                    <w:rPr>
                      <w:rFonts w:hint="default" w:ascii="Times New Roman" w:hAnsi="Times New Roman" w:cs="Times New Roman"/>
                    </w:rPr>
                  </w:pPr>
                  <w:r>
                    <w:rPr>
                      <w:rFonts w:hint="default" w:ascii="Times New Roman" w:hAnsi="Times New Roman" w:cs="Times New Roman"/>
                    </w:rPr>
                    <w:t>202</w:t>
                  </w:r>
                  <w:r>
                    <w:rPr>
                      <w:rFonts w:hint="eastAsia" w:ascii="Times New Roman" w:hAnsi="Times New Roman" w:cs="Times New Roman"/>
                      <w:lang w:val="en-US" w:eastAsia="zh-CN"/>
                    </w:rPr>
                    <w:t>5</w:t>
                  </w:r>
                  <w:r>
                    <w:rPr>
                      <w:rFonts w:hint="default" w:ascii="Times New Roman" w:hAnsi="Times New Roman" w:cs="Times New Roman"/>
                    </w:rPr>
                    <w:t>.</w:t>
                  </w:r>
                  <w:r>
                    <w:rPr>
                      <w:rFonts w:hint="eastAsia" w:ascii="Times New Roman" w:hAnsi="Times New Roman" w:cs="Times New Roman"/>
                      <w:lang w:val="en-US" w:eastAsia="zh-CN"/>
                    </w:rPr>
                    <w:t>10</w:t>
                  </w:r>
                  <w:r>
                    <w:rPr>
                      <w:rFonts w:hint="default" w:ascii="Times New Roman" w:hAnsi="Times New Roman" w:cs="Times New Roman"/>
                    </w:rPr>
                    <w:t>.0</w:t>
                  </w:r>
                  <w:r>
                    <w:rPr>
                      <w:rFonts w:hint="eastAsia" w:ascii="Times New Roman" w:hAnsi="Times New Roman" w:cs="Times New Roman"/>
                      <w:lang w:val="en-US" w:eastAsia="zh-CN"/>
                    </w:rPr>
                    <w:t>8</w:t>
                  </w:r>
                  <w:r>
                    <w:rPr>
                      <w:rFonts w:hint="default" w:ascii="Times New Roman" w:hAnsi="Times New Roman" w:cs="Times New Roman"/>
                    </w:rPr>
                    <w:t>-10</w:t>
                  </w:r>
                  <w:r>
                    <w:rPr>
                      <w:rFonts w:hint="eastAsia" w:ascii="Times New Roman" w:hAnsi="Times New Roman" w:cs="Times New Roman"/>
                      <w:lang w:val="en-US" w:eastAsia="zh-CN"/>
                    </w:rPr>
                    <w:t>.09</w:t>
                  </w:r>
                </w:p>
              </w:tc>
              <w:tc>
                <w:tcPr>
                  <w:tcW w:w="814" w:type="pct"/>
                  <w:vAlign w:val="center"/>
                </w:tcPr>
                <w:p w14:paraId="6F8F5BB1">
                  <w:pPr>
                    <w:pStyle w:val="12"/>
                    <w:rPr>
                      <w:rFonts w:hint="default" w:ascii="Times New Roman" w:hAnsi="Times New Roman" w:eastAsia="宋体" w:cs="Times New Roman"/>
                      <w:lang w:val="en-US" w:eastAsia="zh-CN"/>
                    </w:rPr>
                  </w:pPr>
                  <w:r>
                    <w:rPr>
                      <w:rFonts w:hint="eastAsia" w:ascii="Times New Roman" w:hAnsi="Times New Roman" w:cs="Times New Roman"/>
                      <w:lang w:val="en-US" w:eastAsia="zh-CN"/>
                    </w:rPr>
                    <w:t>ND</w:t>
                  </w:r>
                </w:p>
              </w:tc>
              <w:tc>
                <w:tcPr>
                  <w:tcW w:w="814" w:type="pct"/>
                  <w:vMerge w:val="restart"/>
                  <w:vAlign w:val="center"/>
                </w:tcPr>
                <w:p w14:paraId="69BD77C1">
                  <w:pPr>
                    <w:pStyle w:val="12"/>
                    <w:rPr>
                      <w:rFonts w:hint="eastAsia" w:ascii="Times New Roman" w:hAnsi="Times New Roman" w:eastAsia="宋体" w:cs="Times New Roman"/>
                      <w:lang w:val="en-US" w:eastAsia="zh-CN"/>
                    </w:rPr>
                  </w:pPr>
                  <w:r>
                    <w:rPr>
                      <w:rFonts w:hint="eastAsia" w:ascii="Times New Roman" w:hAnsi="Times New Roman" w:cs="Times New Roman"/>
                      <w:lang w:val="en-US" w:eastAsia="zh-CN"/>
                    </w:rPr>
                    <w:t>7</w:t>
                  </w:r>
                </w:p>
              </w:tc>
              <w:tc>
                <w:tcPr>
                  <w:tcW w:w="812" w:type="pct"/>
                  <w:vAlign w:val="center"/>
                </w:tcPr>
                <w:p w14:paraId="24A81B08">
                  <w:pPr>
                    <w:pStyle w:val="12"/>
                    <w:rPr>
                      <w:rFonts w:hint="default" w:ascii="Times New Roman" w:hAnsi="Times New Roman" w:cs="Times New Roman"/>
                    </w:rPr>
                  </w:pPr>
                  <w:r>
                    <w:rPr>
                      <w:rFonts w:hint="default" w:ascii="Times New Roman" w:hAnsi="Times New Roman" w:cs="Times New Roman"/>
                    </w:rPr>
                    <w:t>达标</w:t>
                  </w:r>
                </w:p>
              </w:tc>
            </w:tr>
            <w:tr w14:paraId="25532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11" w:type="pct"/>
                  <w:vMerge w:val="continue"/>
                  <w:vAlign w:val="center"/>
                </w:tcPr>
                <w:p w14:paraId="6876D662">
                  <w:pPr>
                    <w:pStyle w:val="12"/>
                    <w:rPr>
                      <w:rFonts w:hint="default" w:ascii="Times New Roman" w:hAnsi="Times New Roman" w:cs="Times New Roman"/>
                    </w:rPr>
                  </w:pPr>
                </w:p>
              </w:tc>
              <w:tc>
                <w:tcPr>
                  <w:tcW w:w="813" w:type="pct"/>
                  <w:vMerge w:val="continue"/>
                  <w:vAlign w:val="center"/>
                </w:tcPr>
                <w:p w14:paraId="320B54B4">
                  <w:pPr>
                    <w:pStyle w:val="12"/>
                    <w:rPr>
                      <w:rFonts w:hint="default" w:ascii="Times New Roman" w:hAnsi="Times New Roman" w:cs="Times New Roman"/>
                    </w:rPr>
                  </w:pPr>
                </w:p>
              </w:tc>
              <w:tc>
                <w:tcPr>
                  <w:tcW w:w="932" w:type="pct"/>
                  <w:vAlign w:val="top"/>
                </w:tcPr>
                <w:p w14:paraId="77BD54D4">
                  <w:pPr>
                    <w:pStyle w:val="12"/>
                    <w:ind w:firstLine="0" w:firstLineChars="0"/>
                    <w:rPr>
                      <w:rFonts w:hint="default" w:ascii="Times New Roman" w:hAnsi="Times New Roman" w:cs="Times New Roman"/>
                    </w:rPr>
                  </w:pPr>
                  <w:r>
                    <w:rPr>
                      <w:rFonts w:hint="default" w:ascii="Times New Roman" w:hAnsi="Times New Roman" w:cs="Times New Roman"/>
                    </w:rPr>
                    <w:t>202</w:t>
                  </w:r>
                  <w:r>
                    <w:rPr>
                      <w:rFonts w:hint="eastAsia" w:ascii="Times New Roman" w:hAnsi="Times New Roman" w:cs="Times New Roman"/>
                      <w:lang w:val="en-US" w:eastAsia="zh-CN"/>
                    </w:rPr>
                    <w:t>5</w:t>
                  </w:r>
                  <w:r>
                    <w:rPr>
                      <w:rFonts w:hint="default" w:ascii="Times New Roman" w:hAnsi="Times New Roman" w:cs="Times New Roman"/>
                    </w:rPr>
                    <w:t>.</w:t>
                  </w:r>
                  <w:r>
                    <w:rPr>
                      <w:rFonts w:hint="eastAsia" w:ascii="Times New Roman" w:hAnsi="Times New Roman" w:cs="Times New Roman"/>
                      <w:lang w:val="en-US" w:eastAsia="zh-CN"/>
                    </w:rPr>
                    <w:t>10</w:t>
                  </w:r>
                  <w:r>
                    <w:rPr>
                      <w:rFonts w:hint="default" w:ascii="Times New Roman" w:hAnsi="Times New Roman" w:cs="Times New Roman"/>
                    </w:rPr>
                    <w:t>.0</w:t>
                  </w:r>
                  <w:r>
                    <w:rPr>
                      <w:rFonts w:hint="eastAsia" w:ascii="Times New Roman" w:hAnsi="Times New Roman" w:cs="Times New Roman"/>
                      <w:lang w:val="en-US" w:eastAsia="zh-CN"/>
                    </w:rPr>
                    <w:t>9</w:t>
                  </w:r>
                  <w:r>
                    <w:rPr>
                      <w:rFonts w:hint="default" w:ascii="Times New Roman" w:hAnsi="Times New Roman" w:cs="Times New Roman"/>
                    </w:rPr>
                    <w:t>-10</w:t>
                  </w:r>
                  <w:r>
                    <w:rPr>
                      <w:rFonts w:hint="eastAsia" w:ascii="Times New Roman" w:hAnsi="Times New Roman" w:cs="Times New Roman"/>
                      <w:lang w:val="en-US" w:eastAsia="zh-CN"/>
                    </w:rPr>
                    <w:t>.10</w:t>
                  </w:r>
                </w:p>
              </w:tc>
              <w:tc>
                <w:tcPr>
                  <w:tcW w:w="814" w:type="pct"/>
                  <w:vAlign w:val="center"/>
                </w:tcPr>
                <w:p w14:paraId="356C483F">
                  <w:pPr>
                    <w:pStyle w:val="12"/>
                    <w:rPr>
                      <w:rFonts w:hint="default" w:ascii="Times New Roman" w:hAnsi="Times New Roman" w:cs="Times New Roman"/>
                    </w:rPr>
                  </w:pPr>
                  <w:r>
                    <w:rPr>
                      <w:rFonts w:hint="eastAsia" w:ascii="Times New Roman" w:hAnsi="Times New Roman" w:cs="Times New Roman"/>
                      <w:lang w:val="en-US" w:eastAsia="zh-CN"/>
                    </w:rPr>
                    <w:t>ND</w:t>
                  </w:r>
                </w:p>
              </w:tc>
              <w:tc>
                <w:tcPr>
                  <w:tcW w:w="814" w:type="pct"/>
                  <w:vMerge w:val="continue"/>
                  <w:vAlign w:val="center"/>
                </w:tcPr>
                <w:p w14:paraId="161C5CD9">
                  <w:pPr>
                    <w:pStyle w:val="12"/>
                    <w:rPr>
                      <w:rFonts w:hint="default" w:ascii="Times New Roman" w:hAnsi="Times New Roman" w:cs="Times New Roman"/>
                    </w:rPr>
                  </w:pPr>
                </w:p>
              </w:tc>
              <w:tc>
                <w:tcPr>
                  <w:tcW w:w="812" w:type="pct"/>
                  <w:vAlign w:val="center"/>
                </w:tcPr>
                <w:p w14:paraId="5922C101">
                  <w:pPr>
                    <w:pStyle w:val="12"/>
                    <w:rPr>
                      <w:rFonts w:hint="default" w:ascii="Times New Roman" w:hAnsi="Times New Roman" w:cs="Times New Roman"/>
                    </w:rPr>
                  </w:pPr>
                  <w:r>
                    <w:rPr>
                      <w:rFonts w:hint="default" w:ascii="Times New Roman" w:hAnsi="Times New Roman" w:cs="Times New Roman"/>
                    </w:rPr>
                    <w:t>达标</w:t>
                  </w:r>
                </w:p>
              </w:tc>
            </w:tr>
            <w:tr w14:paraId="4F6DB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11" w:type="pct"/>
                  <w:vMerge w:val="continue"/>
                  <w:vAlign w:val="center"/>
                </w:tcPr>
                <w:p w14:paraId="029F4E07">
                  <w:pPr>
                    <w:pStyle w:val="12"/>
                    <w:rPr>
                      <w:rFonts w:hint="default" w:ascii="Times New Roman" w:hAnsi="Times New Roman" w:cs="Times New Roman"/>
                    </w:rPr>
                  </w:pPr>
                </w:p>
              </w:tc>
              <w:tc>
                <w:tcPr>
                  <w:tcW w:w="813" w:type="pct"/>
                  <w:vMerge w:val="continue"/>
                  <w:vAlign w:val="center"/>
                </w:tcPr>
                <w:p w14:paraId="348126CE">
                  <w:pPr>
                    <w:pStyle w:val="12"/>
                    <w:rPr>
                      <w:rFonts w:hint="default" w:ascii="Times New Roman" w:hAnsi="Times New Roman" w:cs="Times New Roman"/>
                    </w:rPr>
                  </w:pPr>
                </w:p>
              </w:tc>
              <w:tc>
                <w:tcPr>
                  <w:tcW w:w="932" w:type="pct"/>
                  <w:vAlign w:val="top"/>
                </w:tcPr>
                <w:p w14:paraId="59BA7285">
                  <w:pPr>
                    <w:pStyle w:val="12"/>
                    <w:ind w:firstLine="0" w:firstLineChars="0"/>
                    <w:rPr>
                      <w:rFonts w:hint="default" w:ascii="Times New Roman" w:hAnsi="Times New Roman" w:cs="Times New Roman"/>
                    </w:rPr>
                  </w:pPr>
                  <w:r>
                    <w:rPr>
                      <w:rFonts w:hint="default" w:ascii="Times New Roman" w:hAnsi="Times New Roman" w:cs="Times New Roman"/>
                    </w:rPr>
                    <w:t>202</w:t>
                  </w:r>
                  <w:r>
                    <w:rPr>
                      <w:rFonts w:hint="eastAsia" w:ascii="Times New Roman" w:hAnsi="Times New Roman" w:cs="Times New Roman"/>
                      <w:lang w:val="en-US" w:eastAsia="zh-CN"/>
                    </w:rPr>
                    <w:t>5</w:t>
                  </w:r>
                  <w:r>
                    <w:rPr>
                      <w:rFonts w:hint="default" w:ascii="Times New Roman" w:hAnsi="Times New Roman" w:cs="Times New Roman"/>
                    </w:rPr>
                    <w:t>.</w:t>
                  </w:r>
                  <w:r>
                    <w:rPr>
                      <w:rFonts w:hint="eastAsia" w:ascii="Times New Roman" w:hAnsi="Times New Roman" w:cs="Times New Roman"/>
                      <w:lang w:val="en-US" w:eastAsia="zh-CN"/>
                    </w:rPr>
                    <w:t>10</w:t>
                  </w:r>
                  <w:r>
                    <w:rPr>
                      <w:rFonts w:hint="default" w:ascii="Times New Roman" w:hAnsi="Times New Roman" w:cs="Times New Roman"/>
                    </w:rPr>
                    <w:t>.</w:t>
                  </w:r>
                  <w:r>
                    <w:rPr>
                      <w:rFonts w:hint="eastAsia" w:ascii="Times New Roman" w:hAnsi="Times New Roman" w:cs="Times New Roman"/>
                      <w:lang w:val="en-US" w:eastAsia="zh-CN"/>
                    </w:rPr>
                    <w:t>10</w:t>
                  </w:r>
                  <w:r>
                    <w:rPr>
                      <w:rFonts w:hint="default" w:ascii="Times New Roman" w:hAnsi="Times New Roman" w:cs="Times New Roman"/>
                    </w:rPr>
                    <w:t>-10</w:t>
                  </w:r>
                  <w:r>
                    <w:rPr>
                      <w:rFonts w:hint="eastAsia" w:ascii="Times New Roman" w:hAnsi="Times New Roman" w:cs="Times New Roman"/>
                      <w:lang w:val="en-US" w:eastAsia="zh-CN"/>
                    </w:rPr>
                    <w:t>.11</w:t>
                  </w:r>
                </w:p>
              </w:tc>
              <w:tc>
                <w:tcPr>
                  <w:tcW w:w="814" w:type="pct"/>
                  <w:vAlign w:val="center"/>
                </w:tcPr>
                <w:p w14:paraId="60C8464F">
                  <w:pPr>
                    <w:pStyle w:val="12"/>
                    <w:rPr>
                      <w:rFonts w:hint="default" w:ascii="Times New Roman" w:hAnsi="Times New Roman" w:cs="Times New Roman"/>
                    </w:rPr>
                  </w:pPr>
                  <w:r>
                    <w:rPr>
                      <w:rFonts w:hint="eastAsia" w:ascii="Times New Roman" w:hAnsi="Times New Roman" w:cs="Times New Roman"/>
                      <w:lang w:val="en-US" w:eastAsia="zh-CN"/>
                    </w:rPr>
                    <w:t>ND</w:t>
                  </w:r>
                </w:p>
              </w:tc>
              <w:tc>
                <w:tcPr>
                  <w:tcW w:w="814" w:type="pct"/>
                  <w:vMerge w:val="continue"/>
                  <w:vAlign w:val="center"/>
                </w:tcPr>
                <w:p w14:paraId="7E3E3769">
                  <w:pPr>
                    <w:pStyle w:val="12"/>
                    <w:rPr>
                      <w:rFonts w:hint="default" w:ascii="Times New Roman" w:hAnsi="Times New Roman" w:cs="Times New Roman"/>
                    </w:rPr>
                  </w:pPr>
                </w:p>
              </w:tc>
              <w:tc>
                <w:tcPr>
                  <w:tcW w:w="812" w:type="pct"/>
                  <w:vAlign w:val="center"/>
                </w:tcPr>
                <w:p w14:paraId="33E0BADF">
                  <w:pPr>
                    <w:pStyle w:val="12"/>
                    <w:rPr>
                      <w:rFonts w:hint="default" w:ascii="Times New Roman" w:hAnsi="Times New Roman" w:cs="Times New Roman"/>
                    </w:rPr>
                  </w:pPr>
                  <w:r>
                    <w:rPr>
                      <w:rFonts w:hint="default" w:ascii="Times New Roman" w:hAnsi="Times New Roman" w:cs="Times New Roman"/>
                    </w:rPr>
                    <w:t>达标</w:t>
                  </w:r>
                </w:p>
              </w:tc>
            </w:tr>
            <w:tr w14:paraId="57684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11" w:type="pct"/>
                  <w:vMerge w:val="continue"/>
                  <w:vAlign w:val="center"/>
                </w:tcPr>
                <w:p w14:paraId="15889071">
                  <w:pPr>
                    <w:pStyle w:val="12"/>
                    <w:rPr>
                      <w:rFonts w:hint="default" w:ascii="Times New Roman" w:hAnsi="Times New Roman" w:cs="Times New Roman"/>
                    </w:rPr>
                  </w:pPr>
                </w:p>
              </w:tc>
              <w:tc>
                <w:tcPr>
                  <w:tcW w:w="813" w:type="pct"/>
                  <w:vMerge w:val="restart"/>
                  <w:vAlign w:val="center"/>
                </w:tcPr>
                <w:p w14:paraId="7A95072D">
                  <w:pPr>
                    <w:pStyle w:val="12"/>
                    <w:rPr>
                      <w:rFonts w:hint="eastAsia" w:ascii="Times New Roman" w:hAnsi="Times New Roman" w:eastAsia="宋体" w:cs="Times New Roman"/>
                      <w:lang w:val="en-US" w:eastAsia="zh-CN"/>
                    </w:rPr>
                  </w:pPr>
                  <w:r>
                    <w:rPr>
                      <w:rFonts w:hint="eastAsia" w:ascii="Times New Roman" w:hAnsi="Times New Roman" w:cs="Times New Roman"/>
                      <w:lang w:val="en-US" w:eastAsia="zh-CN"/>
                    </w:rPr>
                    <w:t>二噁英类</w:t>
                  </w:r>
                  <w:r>
                    <w:rPr>
                      <w:rFonts w:hint="default" w:ascii="Times New Roman" w:hAnsi="Times New Roman" w:eastAsia="宋体" w:cs="Times New Roman"/>
                      <w:color w:val="auto"/>
                      <w:kern w:val="0"/>
                      <w:sz w:val="21"/>
                      <w:szCs w:val="21"/>
                      <w:highlight w:val="none"/>
                      <w:lang w:val="en-US" w:eastAsia="zh-CN" w:bidi="ar-SA"/>
                    </w:rPr>
                    <w:t>(pgTEQ/Nm</w:t>
                  </w:r>
                  <w:r>
                    <w:rPr>
                      <w:rFonts w:hint="default" w:ascii="Times New Roman" w:hAnsi="Times New Roman" w:eastAsia="宋体" w:cs="Times New Roman"/>
                      <w:color w:val="auto"/>
                      <w:kern w:val="0"/>
                      <w:sz w:val="21"/>
                      <w:szCs w:val="21"/>
                      <w:highlight w:val="none"/>
                      <w:vertAlign w:val="superscript"/>
                      <w:lang w:val="en-US" w:eastAsia="zh-CN" w:bidi="ar-SA"/>
                    </w:rPr>
                    <w:t>3</w:t>
                  </w:r>
                  <w:r>
                    <w:rPr>
                      <w:rFonts w:hint="default" w:ascii="Times New Roman" w:hAnsi="Times New Roman" w:eastAsia="宋体" w:cs="Times New Roman"/>
                      <w:color w:val="auto"/>
                      <w:kern w:val="0"/>
                      <w:sz w:val="21"/>
                      <w:szCs w:val="21"/>
                      <w:highlight w:val="none"/>
                      <w:lang w:val="en-US" w:eastAsia="zh-CN" w:bidi="ar-SA"/>
                    </w:rPr>
                    <w:t>)</w:t>
                  </w:r>
                </w:p>
              </w:tc>
              <w:tc>
                <w:tcPr>
                  <w:tcW w:w="932" w:type="pct"/>
                  <w:vAlign w:val="center"/>
                </w:tcPr>
                <w:p w14:paraId="0A9DE9CA">
                  <w:pPr>
                    <w:pStyle w:val="12"/>
                    <w:ind w:firstLine="0" w:firstLineChars="0"/>
                    <w:rPr>
                      <w:rFonts w:hint="default" w:ascii="Times New Roman" w:hAnsi="Times New Roman" w:cs="Times New Roman"/>
                    </w:rPr>
                  </w:pPr>
                  <w:r>
                    <w:rPr>
                      <w:rFonts w:hint="default" w:ascii="Times New Roman" w:hAnsi="Times New Roman" w:cs="Times New Roman"/>
                    </w:rPr>
                    <w:t>202</w:t>
                  </w:r>
                  <w:r>
                    <w:rPr>
                      <w:rFonts w:hint="eastAsia" w:ascii="Times New Roman" w:hAnsi="Times New Roman" w:cs="Times New Roman"/>
                      <w:lang w:val="en-US" w:eastAsia="zh-CN"/>
                    </w:rPr>
                    <w:t>5</w:t>
                  </w:r>
                  <w:r>
                    <w:rPr>
                      <w:rFonts w:hint="default" w:ascii="Times New Roman" w:hAnsi="Times New Roman" w:cs="Times New Roman"/>
                    </w:rPr>
                    <w:t>.</w:t>
                  </w:r>
                  <w:r>
                    <w:rPr>
                      <w:rFonts w:hint="eastAsia" w:ascii="Times New Roman" w:hAnsi="Times New Roman" w:cs="Times New Roman"/>
                      <w:lang w:val="en-US" w:eastAsia="zh-CN"/>
                    </w:rPr>
                    <w:t>10</w:t>
                  </w:r>
                  <w:r>
                    <w:rPr>
                      <w:rFonts w:hint="default" w:ascii="Times New Roman" w:hAnsi="Times New Roman" w:cs="Times New Roman"/>
                    </w:rPr>
                    <w:t>.0</w:t>
                  </w:r>
                  <w:r>
                    <w:rPr>
                      <w:rFonts w:hint="eastAsia" w:ascii="Times New Roman" w:hAnsi="Times New Roman" w:cs="Times New Roman"/>
                      <w:lang w:val="en-US" w:eastAsia="zh-CN"/>
                    </w:rPr>
                    <w:t>9</w:t>
                  </w:r>
                </w:p>
              </w:tc>
              <w:tc>
                <w:tcPr>
                  <w:tcW w:w="814" w:type="pct"/>
                  <w:vAlign w:val="center"/>
                </w:tcPr>
                <w:p w14:paraId="7737A00A">
                  <w:pPr>
                    <w:numPr>
                      <w:ilvl w:val="0"/>
                      <w:numId w:val="0"/>
                    </w:numPr>
                    <w:spacing w:line="240" w:lineRule="auto"/>
                    <w:ind w:left="0" w:leftChars="0" w:firstLine="0" w:firstLineChars="0"/>
                    <w:jc w:val="center"/>
                    <w:rPr>
                      <w:rFonts w:hint="eastAsia" w:ascii="Times New Roman" w:hAnsi="Times New Roman" w:cs="Times New Roman"/>
                      <w:lang w:val="en-US" w:eastAsia="zh-CN"/>
                    </w:rPr>
                  </w:pPr>
                  <w:r>
                    <w:rPr>
                      <w:rFonts w:hint="eastAsia" w:ascii="Times New Roman" w:hAnsi="Times New Roman" w:eastAsia="宋体" w:cs="Times New Roman"/>
                      <w:b w:val="0"/>
                      <w:bCs w:val="0"/>
                      <w:kern w:val="2"/>
                      <w:sz w:val="21"/>
                      <w:szCs w:val="21"/>
                      <w:highlight w:val="none"/>
                      <w:vertAlign w:val="baseline"/>
                      <w:lang w:val="en-US" w:eastAsia="zh-CN" w:bidi="ar-SA"/>
                    </w:rPr>
                    <w:t>0.042</w:t>
                  </w:r>
                  <w:r>
                    <w:rPr>
                      <w:rFonts w:hint="default" w:ascii="Times New Roman" w:hAnsi="Times New Roman" w:eastAsia="宋体" w:cs="Times New Roman"/>
                      <w:color w:val="auto"/>
                      <w:kern w:val="0"/>
                      <w:sz w:val="21"/>
                      <w:szCs w:val="21"/>
                      <w:highlight w:val="none"/>
                      <w:lang w:val="en-US" w:eastAsia="zh-CN" w:bidi="ar-SA"/>
                    </w:rPr>
                    <w:t>pgTEQ/Nm</w:t>
                  </w:r>
                  <w:r>
                    <w:rPr>
                      <w:rFonts w:hint="default" w:ascii="Times New Roman" w:hAnsi="Times New Roman" w:eastAsia="宋体" w:cs="Times New Roman"/>
                      <w:color w:val="auto"/>
                      <w:kern w:val="0"/>
                      <w:sz w:val="21"/>
                      <w:szCs w:val="21"/>
                      <w:highlight w:val="none"/>
                      <w:vertAlign w:val="superscript"/>
                      <w:lang w:val="en-US" w:eastAsia="zh-CN" w:bidi="ar-SA"/>
                    </w:rPr>
                    <w:t>3</w:t>
                  </w:r>
                </w:p>
              </w:tc>
              <w:tc>
                <w:tcPr>
                  <w:tcW w:w="814" w:type="pct"/>
                  <w:vMerge w:val="restart"/>
                  <w:vAlign w:val="center"/>
                </w:tcPr>
                <w:p w14:paraId="18857775">
                  <w:pPr>
                    <w:pStyle w:val="12"/>
                    <w:rPr>
                      <w:rFonts w:hint="default" w:ascii="Times New Roman" w:hAnsi="Times New Roman" w:eastAsia="宋体" w:cs="Times New Roman"/>
                      <w:lang w:val="en-US" w:eastAsia="zh-CN"/>
                    </w:rPr>
                  </w:pPr>
                  <w:r>
                    <w:rPr>
                      <w:rFonts w:hint="eastAsia" w:ascii="Times New Roman" w:hAnsi="Times New Roman" w:cs="Times New Roman"/>
                      <w:lang w:val="en-US" w:eastAsia="zh-CN"/>
                    </w:rPr>
                    <w:t>0.6</w:t>
                  </w:r>
                  <w:r>
                    <w:rPr>
                      <w:rFonts w:hint="default" w:ascii="Times New Roman" w:hAnsi="Times New Roman" w:eastAsia="宋体" w:cs="Times New Roman"/>
                      <w:color w:val="auto"/>
                      <w:kern w:val="0"/>
                      <w:sz w:val="21"/>
                      <w:szCs w:val="21"/>
                      <w:highlight w:val="none"/>
                      <w:lang w:val="en-US" w:eastAsia="zh-CN" w:bidi="ar-SA"/>
                    </w:rPr>
                    <w:t>pgTEQ/Nm</w:t>
                  </w:r>
                  <w:r>
                    <w:rPr>
                      <w:rFonts w:hint="default" w:ascii="Times New Roman" w:hAnsi="Times New Roman" w:eastAsia="宋体" w:cs="Times New Roman"/>
                      <w:color w:val="auto"/>
                      <w:kern w:val="0"/>
                      <w:sz w:val="21"/>
                      <w:szCs w:val="21"/>
                      <w:highlight w:val="none"/>
                      <w:vertAlign w:val="superscript"/>
                      <w:lang w:val="en-US" w:eastAsia="zh-CN" w:bidi="ar-SA"/>
                    </w:rPr>
                    <w:t>3</w:t>
                  </w:r>
                </w:p>
              </w:tc>
              <w:tc>
                <w:tcPr>
                  <w:tcW w:w="1472" w:type="dxa"/>
                  <w:vAlign w:val="center"/>
                </w:tcPr>
                <w:p w14:paraId="4ACC021C">
                  <w:pPr>
                    <w:pStyle w:val="12"/>
                    <w:ind w:firstLine="0" w:firstLineChars="0"/>
                    <w:rPr>
                      <w:rFonts w:hint="default" w:ascii="Times New Roman" w:hAnsi="Times New Roman" w:cs="Times New Roman"/>
                    </w:rPr>
                  </w:pPr>
                  <w:r>
                    <w:rPr>
                      <w:rFonts w:hint="default" w:ascii="Times New Roman" w:hAnsi="Times New Roman" w:cs="Times New Roman"/>
                    </w:rPr>
                    <w:t>达标</w:t>
                  </w:r>
                </w:p>
              </w:tc>
            </w:tr>
            <w:tr w14:paraId="29C93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11" w:type="pct"/>
                  <w:vMerge w:val="continue"/>
                  <w:vAlign w:val="center"/>
                </w:tcPr>
                <w:p w14:paraId="733C6899">
                  <w:pPr>
                    <w:pStyle w:val="12"/>
                    <w:rPr>
                      <w:rFonts w:hint="default" w:ascii="Times New Roman" w:hAnsi="Times New Roman" w:cs="Times New Roman"/>
                    </w:rPr>
                  </w:pPr>
                </w:p>
              </w:tc>
              <w:tc>
                <w:tcPr>
                  <w:tcW w:w="813" w:type="pct"/>
                  <w:vMerge w:val="continue"/>
                  <w:vAlign w:val="center"/>
                </w:tcPr>
                <w:p w14:paraId="5ACFB6FA">
                  <w:pPr>
                    <w:pStyle w:val="12"/>
                    <w:rPr>
                      <w:rFonts w:hint="default" w:ascii="Times New Roman" w:hAnsi="Times New Roman" w:cs="Times New Roman"/>
                    </w:rPr>
                  </w:pPr>
                </w:p>
              </w:tc>
              <w:tc>
                <w:tcPr>
                  <w:tcW w:w="932" w:type="pct"/>
                  <w:vAlign w:val="top"/>
                </w:tcPr>
                <w:p w14:paraId="46A7CA45">
                  <w:pPr>
                    <w:pStyle w:val="12"/>
                    <w:ind w:firstLine="0" w:firstLineChars="0"/>
                    <w:rPr>
                      <w:rFonts w:hint="default" w:ascii="Times New Roman" w:hAnsi="Times New Roman" w:cs="Times New Roman"/>
                    </w:rPr>
                  </w:pPr>
                  <w:r>
                    <w:rPr>
                      <w:rFonts w:hint="default" w:ascii="Times New Roman" w:hAnsi="Times New Roman" w:cs="Times New Roman"/>
                    </w:rPr>
                    <w:t>202</w:t>
                  </w:r>
                  <w:r>
                    <w:rPr>
                      <w:rFonts w:hint="eastAsia" w:ascii="Times New Roman" w:hAnsi="Times New Roman" w:cs="Times New Roman"/>
                      <w:lang w:val="en-US" w:eastAsia="zh-CN"/>
                    </w:rPr>
                    <w:t>5</w:t>
                  </w:r>
                  <w:r>
                    <w:rPr>
                      <w:rFonts w:hint="default" w:ascii="Times New Roman" w:hAnsi="Times New Roman" w:cs="Times New Roman"/>
                    </w:rPr>
                    <w:t>.</w:t>
                  </w:r>
                  <w:r>
                    <w:rPr>
                      <w:rFonts w:hint="eastAsia" w:ascii="Times New Roman" w:hAnsi="Times New Roman" w:cs="Times New Roman"/>
                      <w:lang w:val="en-US" w:eastAsia="zh-CN"/>
                    </w:rPr>
                    <w:t>10</w:t>
                  </w:r>
                  <w:r>
                    <w:rPr>
                      <w:rFonts w:hint="default" w:ascii="Times New Roman" w:hAnsi="Times New Roman" w:cs="Times New Roman"/>
                    </w:rPr>
                    <w:t>.</w:t>
                  </w:r>
                  <w:r>
                    <w:rPr>
                      <w:rFonts w:hint="eastAsia" w:ascii="Times New Roman" w:hAnsi="Times New Roman" w:cs="Times New Roman"/>
                      <w:lang w:val="en-US" w:eastAsia="zh-CN"/>
                    </w:rPr>
                    <w:t>10</w:t>
                  </w:r>
                </w:p>
              </w:tc>
              <w:tc>
                <w:tcPr>
                  <w:tcW w:w="814" w:type="pct"/>
                  <w:vAlign w:val="center"/>
                </w:tcPr>
                <w:p w14:paraId="4591216A">
                  <w:pPr>
                    <w:numPr>
                      <w:ilvl w:val="0"/>
                      <w:numId w:val="0"/>
                    </w:numPr>
                    <w:spacing w:line="240" w:lineRule="auto"/>
                    <w:ind w:left="0" w:leftChars="0" w:firstLine="0" w:firstLineChars="0"/>
                    <w:jc w:val="center"/>
                    <w:rPr>
                      <w:rFonts w:hint="eastAsia" w:ascii="Times New Roman" w:hAnsi="Times New Roman" w:cs="Times New Roman"/>
                      <w:lang w:val="en-US" w:eastAsia="zh-CN"/>
                    </w:rPr>
                  </w:pPr>
                  <w:r>
                    <w:rPr>
                      <w:rFonts w:hint="eastAsia" w:ascii="Times New Roman" w:hAnsi="Times New Roman" w:eastAsia="宋体" w:cs="Times New Roman"/>
                      <w:b w:val="0"/>
                      <w:bCs w:val="0"/>
                      <w:kern w:val="2"/>
                      <w:sz w:val="21"/>
                      <w:szCs w:val="21"/>
                      <w:highlight w:val="none"/>
                      <w:vertAlign w:val="baseline"/>
                      <w:lang w:val="en-US" w:eastAsia="zh-CN" w:bidi="ar-SA"/>
                    </w:rPr>
                    <w:t>0.020</w:t>
                  </w:r>
                  <w:r>
                    <w:rPr>
                      <w:rFonts w:hint="default" w:ascii="Times New Roman" w:hAnsi="Times New Roman" w:eastAsia="宋体" w:cs="Times New Roman"/>
                      <w:color w:val="auto"/>
                      <w:kern w:val="0"/>
                      <w:sz w:val="21"/>
                      <w:szCs w:val="21"/>
                      <w:highlight w:val="none"/>
                      <w:lang w:val="en-US" w:eastAsia="zh-CN" w:bidi="ar-SA"/>
                    </w:rPr>
                    <w:t>pgTEQ/Nm</w:t>
                  </w:r>
                  <w:r>
                    <w:rPr>
                      <w:rFonts w:hint="default" w:ascii="Times New Roman" w:hAnsi="Times New Roman" w:eastAsia="宋体" w:cs="Times New Roman"/>
                      <w:color w:val="auto"/>
                      <w:kern w:val="0"/>
                      <w:sz w:val="21"/>
                      <w:szCs w:val="21"/>
                      <w:highlight w:val="none"/>
                      <w:vertAlign w:val="superscript"/>
                      <w:lang w:val="en-US" w:eastAsia="zh-CN" w:bidi="ar-SA"/>
                    </w:rPr>
                    <w:t>3</w:t>
                  </w:r>
                </w:p>
              </w:tc>
              <w:tc>
                <w:tcPr>
                  <w:tcW w:w="814" w:type="pct"/>
                  <w:vMerge w:val="continue"/>
                  <w:vAlign w:val="center"/>
                </w:tcPr>
                <w:p w14:paraId="142DFA82">
                  <w:pPr>
                    <w:pStyle w:val="12"/>
                    <w:rPr>
                      <w:rFonts w:hint="default" w:ascii="Times New Roman" w:hAnsi="Times New Roman" w:cs="Times New Roman"/>
                    </w:rPr>
                  </w:pPr>
                </w:p>
              </w:tc>
              <w:tc>
                <w:tcPr>
                  <w:tcW w:w="1472" w:type="dxa"/>
                  <w:vAlign w:val="center"/>
                </w:tcPr>
                <w:p w14:paraId="6D349B60">
                  <w:pPr>
                    <w:pStyle w:val="12"/>
                    <w:ind w:firstLine="0" w:firstLineChars="0"/>
                    <w:rPr>
                      <w:rFonts w:hint="default" w:ascii="Times New Roman" w:hAnsi="Times New Roman" w:cs="Times New Roman"/>
                    </w:rPr>
                  </w:pPr>
                  <w:r>
                    <w:rPr>
                      <w:rFonts w:hint="default" w:ascii="Times New Roman" w:hAnsi="Times New Roman" w:cs="Times New Roman"/>
                    </w:rPr>
                    <w:t>达标</w:t>
                  </w:r>
                </w:p>
              </w:tc>
            </w:tr>
            <w:tr w14:paraId="453A1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11" w:type="pct"/>
                  <w:vMerge w:val="continue"/>
                  <w:vAlign w:val="center"/>
                </w:tcPr>
                <w:p w14:paraId="665CF3D9">
                  <w:pPr>
                    <w:pStyle w:val="12"/>
                    <w:rPr>
                      <w:rFonts w:hint="default" w:ascii="Times New Roman" w:hAnsi="Times New Roman" w:cs="Times New Roman"/>
                    </w:rPr>
                  </w:pPr>
                </w:p>
              </w:tc>
              <w:tc>
                <w:tcPr>
                  <w:tcW w:w="813" w:type="pct"/>
                  <w:vMerge w:val="continue"/>
                  <w:vAlign w:val="center"/>
                </w:tcPr>
                <w:p w14:paraId="77C31E14">
                  <w:pPr>
                    <w:pStyle w:val="12"/>
                    <w:rPr>
                      <w:rFonts w:hint="default" w:ascii="Times New Roman" w:hAnsi="Times New Roman" w:cs="Times New Roman"/>
                    </w:rPr>
                  </w:pPr>
                </w:p>
              </w:tc>
              <w:tc>
                <w:tcPr>
                  <w:tcW w:w="932" w:type="pct"/>
                  <w:vAlign w:val="top"/>
                </w:tcPr>
                <w:p w14:paraId="7DB05F43">
                  <w:pPr>
                    <w:pStyle w:val="12"/>
                    <w:ind w:firstLine="0" w:firstLineChars="0"/>
                    <w:rPr>
                      <w:rFonts w:hint="default" w:ascii="Times New Roman" w:hAnsi="Times New Roman" w:cs="Times New Roman"/>
                    </w:rPr>
                  </w:pPr>
                  <w:r>
                    <w:rPr>
                      <w:rFonts w:hint="default" w:ascii="Times New Roman" w:hAnsi="Times New Roman" w:cs="Times New Roman"/>
                    </w:rPr>
                    <w:t>202</w:t>
                  </w:r>
                  <w:r>
                    <w:rPr>
                      <w:rFonts w:hint="eastAsia" w:ascii="Times New Roman" w:hAnsi="Times New Roman" w:cs="Times New Roman"/>
                      <w:lang w:val="en-US" w:eastAsia="zh-CN"/>
                    </w:rPr>
                    <w:t>5</w:t>
                  </w:r>
                  <w:r>
                    <w:rPr>
                      <w:rFonts w:hint="default" w:ascii="Times New Roman" w:hAnsi="Times New Roman" w:cs="Times New Roman"/>
                    </w:rPr>
                    <w:t>.</w:t>
                  </w:r>
                  <w:r>
                    <w:rPr>
                      <w:rFonts w:hint="eastAsia" w:ascii="Times New Roman" w:hAnsi="Times New Roman" w:cs="Times New Roman"/>
                      <w:lang w:val="en-US" w:eastAsia="zh-CN"/>
                    </w:rPr>
                    <w:t>10.11</w:t>
                  </w:r>
                </w:p>
              </w:tc>
              <w:tc>
                <w:tcPr>
                  <w:tcW w:w="814" w:type="pct"/>
                  <w:vAlign w:val="center"/>
                </w:tcPr>
                <w:p w14:paraId="5E0DD2C8">
                  <w:pPr>
                    <w:numPr>
                      <w:ilvl w:val="0"/>
                      <w:numId w:val="0"/>
                    </w:numPr>
                    <w:spacing w:line="240" w:lineRule="auto"/>
                    <w:ind w:left="0" w:leftChars="0" w:firstLine="0" w:firstLineChars="0"/>
                    <w:jc w:val="center"/>
                    <w:rPr>
                      <w:rFonts w:hint="eastAsia" w:ascii="Times New Roman" w:hAnsi="Times New Roman" w:cs="Times New Roman"/>
                      <w:lang w:val="en-US" w:eastAsia="zh-CN"/>
                    </w:rPr>
                  </w:pPr>
                  <w:r>
                    <w:rPr>
                      <w:rFonts w:hint="eastAsia" w:ascii="Times New Roman" w:hAnsi="Times New Roman" w:eastAsia="宋体" w:cs="Times New Roman"/>
                      <w:b w:val="0"/>
                      <w:bCs w:val="0"/>
                      <w:kern w:val="2"/>
                      <w:sz w:val="21"/>
                      <w:szCs w:val="21"/>
                      <w:highlight w:val="none"/>
                      <w:vertAlign w:val="baseline"/>
                      <w:lang w:val="en-US" w:eastAsia="zh-CN" w:bidi="ar-SA"/>
                    </w:rPr>
                    <w:t>0.022</w:t>
                  </w:r>
                  <w:r>
                    <w:rPr>
                      <w:rFonts w:hint="default" w:ascii="Times New Roman" w:hAnsi="Times New Roman" w:eastAsia="宋体" w:cs="Times New Roman"/>
                      <w:color w:val="auto"/>
                      <w:kern w:val="0"/>
                      <w:sz w:val="21"/>
                      <w:szCs w:val="21"/>
                      <w:highlight w:val="none"/>
                      <w:lang w:val="en-US" w:eastAsia="zh-CN" w:bidi="ar-SA"/>
                    </w:rPr>
                    <w:t>pgTEQ/Nm</w:t>
                  </w:r>
                  <w:r>
                    <w:rPr>
                      <w:rFonts w:hint="default" w:ascii="Times New Roman" w:hAnsi="Times New Roman" w:eastAsia="宋体" w:cs="Times New Roman"/>
                      <w:color w:val="auto"/>
                      <w:kern w:val="0"/>
                      <w:sz w:val="21"/>
                      <w:szCs w:val="21"/>
                      <w:highlight w:val="none"/>
                      <w:vertAlign w:val="superscript"/>
                      <w:lang w:val="en-US" w:eastAsia="zh-CN" w:bidi="ar-SA"/>
                    </w:rPr>
                    <w:t>3</w:t>
                  </w:r>
                </w:p>
              </w:tc>
              <w:tc>
                <w:tcPr>
                  <w:tcW w:w="814" w:type="pct"/>
                  <w:vMerge w:val="continue"/>
                  <w:vAlign w:val="center"/>
                </w:tcPr>
                <w:p w14:paraId="4DEF6ECD">
                  <w:pPr>
                    <w:pStyle w:val="12"/>
                    <w:rPr>
                      <w:rFonts w:hint="default" w:ascii="Times New Roman" w:hAnsi="Times New Roman" w:cs="Times New Roman"/>
                    </w:rPr>
                  </w:pPr>
                </w:p>
              </w:tc>
              <w:tc>
                <w:tcPr>
                  <w:tcW w:w="1472" w:type="dxa"/>
                  <w:vAlign w:val="center"/>
                </w:tcPr>
                <w:p w14:paraId="2AB048BF">
                  <w:pPr>
                    <w:pStyle w:val="12"/>
                    <w:ind w:firstLine="0" w:firstLineChars="0"/>
                    <w:rPr>
                      <w:rFonts w:hint="default" w:ascii="Times New Roman" w:hAnsi="Times New Roman" w:cs="Times New Roman"/>
                    </w:rPr>
                  </w:pPr>
                  <w:r>
                    <w:rPr>
                      <w:rFonts w:hint="default" w:ascii="Times New Roman" w:hAnsi="Times New Roman" w:cs="Times New Roman"/>
                    </w:rPr>
                    <w:t>达标</w:t>
                  </w:r>
                </w:p>
              </w:tc>
            </w:tr>
            <w:bookmarkEnd w:id="53"/>
          </w:tbl>
          <w:p w14:paraId="146538E1">
            <w:pPr>
              <w:pStyle w:val="11"/>
              <w:keepNext/>
              <w:ind w:firstLine="480"/>
              <w:rPr>
                <w:rFonts w:hint="default" w:ascii="Times New Roman" w:hAnsi="Times New Roman" w:cs="Times New Roman"/>
              </w:rPr>
            </w:pPr>
            <w:r>
              <w:rPr>
                <w:rFonts w:hint="default" w:ascii="Times New Roman" w:hAnsi="Times New Roman" w:cs="Times New Roman"/>
              </w:rPr>
              <w:t>表</w:t>
            </w:r>
            <w:r>
              <w:rPr>
                <w:rFonts w:hint="eastAsia" w:cs="Times New Roman"/>
                <w:lang w:val="en-US" w:eastAsia="zh-CN"/>
              </w:rPr>
              <w:t>3</w:t>
            </w:r>
            <w:r>
              <w:rPr>
                <w:rFonts w:hint="default" w:ascii="Times New Roman" w:hAnsi="Times New Roman" w:cs="Times New Roman"/>
              </w:rPr>
              <w:noBreakHyphen/>
            </w:r>
            <w:r>
              <w:rPr>
                <w:rFonts w:hint="default" w:ascii="Times New Roman" w:hAnsi="Times New Roman" w:cs="Times New Roman"/>
              </w:rPr>
              <w:fldChar w:fldCharType="begin"/>
            </w:r>
            <w:r>
              <w:rPr>
                <w:rFonts w:hint="default" w:ascii="Times New Roman" w:hAnsi="Times New Roman" w:cs="Times New Roman"/>
              </w:rPr>
              <w:instrText xml:space="preserve"> SEQ 表 \* ARABIC \s 1 </w:instrText>
            </w:r>
            <w:r>
              <w:rPr>
                <w:rFonts w:hint="default" w:ascii="Times New Roman" w:hAnsi="Times New Roman" w:cs="Times New Roman"/>
              </w:rPr>
              <w:fldChar w:fldCharType="separate"/>
            </w:r>
            <w:r>
              <w:rPr>
                <w:rFonts w:hint="default" w:ascii="Times New Roman" w:hAnsi="Times New Roman" w:cs="Times New Roman"/>
              </w:rPr>
              <w:t>4</w:t>
            </w:r>
            <w:r>
              <w:rPr>
                <w:rFonts w:hint="default" w:ascii="Times New Roman" w:hAnsi="Times New Roman" w:cs="Times New Roman"/>
              </w:rPr>
              <w:fldChar w:fldCharType="end"/>
            </w:r>
            <w:r>
              <w:rPr>
                <w:rFonts w:hint="default" w:ascii="Times New Roman" w:hAnsi="Times New Roman" w:cs="Times New Roman"/>
              </w:rPr>
              <w:t xml:space="preserve"> 环境空气质量现状监测结果统计表（小时值）</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9"/>
              <w:gridCol w:w="675"/>
              <w:gridCol w:w="1554"/>
              <w:gridCol w:w="787"/>
              <w:gridCol w:w="791"/>
              <w:gridCol w:w="787"/>
              <w:gridCol w:w="793"/>
              <w:gridCol w:w="1486"/>
              <w:gridCol w:w="1480"/>
            </w:tblGrid>
            <w:tr w14:paraId="66A14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53" w:type="pct"/>
                  <w:vMerge w:val="restart"/>
                  <w:vAlign w:val="center"/>
                </w:tcPr>
                <w:p w14:paraId="0A43BDAC">
                  <w:pPr>
                    <w:pStyle w:val="45"/>
                    <w:rPr>
                      <w:rFonts w:hint="default" w:ascii="Times New Roman" w:hAnsi="Times New Roman" w:cs="Times New Roman"/>
                    </w:rPr>
                  </w:pPr>
                  <w:r>
                    <w:rPr>
                      <w:rFonts w:hint="default" w:ascii="Times New Roman" w:hAnsi="Times New Roman" w:cs="Times New Roman"/>
                    </w:rPr>
                    <w:t>监测点位</w:t>
                  </w:r>
                </w:p>
              </w:tc>
              <w:tc>
                <w:tcPr>
                  <w:tcW w:w="359" w:type="pct"/>
                  <w:vMerge w:val="restart"/>
                  <w:vAlign w:val="center"/>
                </w:tcPr>
                <w:p w14:paraId="63D03038">
                  <w:pPr>
                    <w:pStyle w:val="45"/>
                    <w:rPr>
                      <w:rFonts w:hint="default" w:ascii="Times New Roman" w:hAnsi="Times New Roman" w:cs="Times New Roman"/>
                    </w:rPr>
                  </w:pPr>
                  <w:r>
                    <w:rPr>
                      <w:rFonts w:hint="default" w:ascii="Times New Roman" w:hAnsi="Times New Roman" w:cs="Times New Roman"/>
                    </w:rPr>
                    <w:t>监测项目</w:t>
                  </w:r>
                </w:p>
              </w:tc>
              <w:tc>
                <w:tcPr>
                  <w:tcW w:w="827" w:type="pct"/>
                  <w:vMerge w:val="restart"/>
                  <w:vAlign w:val="center"/>
                </w:tcPr>
                <w:p w14:paraId="44D6D226">
                  <w:pPr>
                    <w:pStyle w:val="45"/>
                    <w:rPr>
                      <w:rFonts w:hint="default" w:ascii="Times New Roman" w:hAnsi="Times New Roman" w:cs="Times New Roman"/>
                    </w:rPr>
                  </w:pPr>
                  <w:r>
                    <w:rPr>
                      <w:rFonts w:hint="default" w:ascii="Times New Roman" w:hAnsi="Times New Roman" w:cs="Times New Roman"/>
                    </w:rPr>
                    <w:t>检测日期</w:t>
                  </w:r>
                </w:p>
              </w:tc>
              <w:tc>
                <w:tcPr>
                  <w:tcW w:w="1681" w:type="pct"/>
                  <w:gridSpan w:val="4"/>
                  <w:vAlign w:val="center"/>
                </w:tcPr>
                <w:p w14:paraId="0048D4AD">
                  <w:pPr>
                    <w:pStyle w:val="45"/>
                    <w:rPr>
                      <w:rFonts w:hint="default" w:ascii="Times New Roman" w:hAnsi="Times New Roman" w:cs="Times New Roman"/>
                    </w:rPr>
                  </w:pPr>
                  <w:r>
                    <w:rPr>
                      <w:rFonts w:hint="default" w:ascii="Times New Roman" w:hAnsi="Times New Roman" w:cs="Times New Roman"/>
                    </w:rPr>
                    <w:t>监测结果（mg/m</w:t>
                  </w:r>
                  <w:r>
                    <w:rPr>
                      <w:rFonts w:hint="default" w:ascii="Times New Roman" w:hAnsi="Times New Roman" w:cs="Times New Roman"/>
                      <w:vertAlign w:val="superscript"/>
                    </w:rPr>
                    <w:t>3</w:t>
                  </w:r>
                  <w:r>
                    <w:rPr>
                      <w:rFonts w:hint="default" w:ascii="Times New Roman" w:hAnsi="Times New Roman" w:cs="Times New Roman"/>
                    </w:rPr>
                    <w:t>）</w:t>
                  </w:r>
                </w:p>
              </w:tc>
              <w:tc>
                <w:tcPr>
                  <w:tcW w:w="791" w:type="pct"/>
                  <w:vMerge w:val="restart"/>
                  <w:vAlign w:val="center"/>
                </w:tcPr>
                <w:p w14:paraId="05138E4C">
                  <w:pPr>
                    <w:pStyle w:val="45"/>
                    <w:rPr>
                      <w:rFonts w:hint="default" w:ascii="Times New Roman" w:hAnsi="Times New Roman" w:cs="Times New Roman"/>
                    </w:rPr>
                  </w:pPr>
                  <w:r>
                    <w:rPr>
                      <w:rFonts w:hint="default" w:ascii="Times New Roman" w:hAnsi="Times New Roman" w:cs="Times New Roman"/>
                    </w:rPr>
                    <w:t>标准值（mg/m</w:t>
                  </w:r>
                  <w:r>
                    <w:rPr>
                      <w:rFonts w:hint="default" w:ascii="Times New Roman" w:hAnsi="Times New Roman" w:cs="Times New Roman"/>
                      <w:vertAlign w:val="superscript"/>
                    </w:rPr>
                    <w:t>3</w:t>
                  </w:r>
                  <w:r>
                    <w:rPr>
                      <w:rFonts w:hint="default" w:ascii="Times New Roman" w:hAnsi="Times New Roman" w:cs="Times New Roman"/>
                    </w:rPr>
                    <w:t>）</w:t>
                  </w:r>
                </w:p>
              </w:tc>
              <w:tc>
                <w:tcPr>
                  <w:tcW w:w="787" w:type="pct"/>
                  <w:vMerge w:val="restart"/>
                  <w:vAlign w:val="center"/>
                </w:tcPr>
                <w:p w14:paraId="5A46BBD9">
                  <w:pPr>
                    <w:pStyle w:val="45"/>
                    <w:rPr>
                      <w:rFonts w:hint="default" w:ascii="Times New Roman" w:hAnsi="Times New Roman" w:cs="Times New Roman"/>
                    </w:rPr>
                  </w:pPr>
                  <w:r>
                    <w:rPr>
                      <w:rFonts w:hint="default" w:ascii="Times New Roman" w:hAnsi="Times New Roman" w:cs="Times New Roman"/>
                    </w:rPr>
                    <w:t>达标情况</w:t>
                  </w:r>
                </w:p>
              </w:tc>
            </w:tr>
            <w:tr w14:paraId="4AF1D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53" w:type="pct"/>
                  <w:vMerge w:val="continue"/>
                  <w:vAlign w:val="center"/>
                </w:tcPr>
                <w:p w14:paraId="6FCD75B1">
                  <w:pPr>
                    <w:pStyle w:val="45"/>
                    <w:rPr>
                      <w:rFonts w:hint="default" w:ascii="Times New Roman" w:hAnsi="Times New Roman" w:cs="Times New Roman"/>
                    </w:rPr>
                  </w:pPr>
                </w:p>
              </w:tc>
              <w:tc>
                <w:tcPr>
                  <w:tcW w:w="359" w:type="pct"/>
                  <w:vMerge w:val="continue"/>
                  <w:vAlign w:val="center"/>
                </w:tcPr>
                <w:p w14:paraId="3828F226">
                  <w:pPr>
                    <w:pStyle w:val="45"/>
                    <w:rPr>
                      <w:rFonts w:hint="default" w:ascii="Times New Roman" w:hAnsi="Times New Roman" w:cs="Times New Roman"/>
                    </w:rPr>
                  </w:pPr>
                </w:p>
              </w:tc>
              <w:tc>
                <w:tcPr>
                  <w:tcW w:w="827" w:type="pct"/>
                  <w:vMerge w:val="continue"/>
                  <w:vAlign w:val="center"/>
                </w:tcPr>
                <w:p w14:paraId="15DE768C">
                  <w:pPr>
                    <w:pStyle w:val="45"/>
                    <w:rPr>
                      <w:rFonts w:hint="default" w:ascii="Times New Roman" w:hAnsi="Times New Roman" w:cs="Times New Roman"/>
                    </w:rPr>
                  </w:pPr>
                </w:p>
              </w:tc>
              <w:tc>
                <w:tcPr>
                  <w:tcW w:w="419" w:type="pct"/>
                  <w:vAlign w:val="center"/>
                </w:tcPr>
                <w:p w14:paraId="4B98140F">
                  <w:pPr>
                    <w:pStyle w:val="45"/>
                    <w:rPr>
                      <w:rFonts w:hint="default" w:ascii="Times New Roman" w:hAnsi="Times New Roman" w:cs="Times New Roman"/>
                    </w:rPr>
                  </w:pPr>
                  <w:r>
                    <w:rPr>
                      <w:rFonts w:hint="default" w:ascii="Times New Roman" w:hAnsi="Times New Roman" w:cs="Times New Roman"/>
                    </w:rPr>
                    <w:t>第一次</w:t>
                  </w:r>
                </w:p>
              </w:tc>
              <w:tc>
                <w:tcPr>
                  <w:tcW w:w="421" w:type="pct"/>
                  <w:vAlign w:val="center"/>
                </w:tcPr>
                <w:p w14:paraId="24466E13">
                  <w:pPr>
                    <w:pStyle w:val="45"/>
                    <w:rPr>
                      <w:rFonts w:hint="default" w:ascii="Times New Roman" w:hAnsi="Times New Roman" w:cs="Times New Roman"/>
                    </w:rPr>
                  </w:pPr>
                  <w:r>
                    <w:rPr>
                      <w:rFonts w:hint="default" w:ascii="Times New Roman" w:hAnsi="Times New Roman" w:cs="Times New Roman"/>
                    </w:rPr>
                    <w:t>第二次</w:t>
                  </w:r>
                </w:p>
              </w:tc>
              <w:tc>
                <w:tcPr>
                  <w:tcW w:w="419" w:type="pct"/>
                  <w:vAlign w:val="center"/>
                </w:tcPr>
                <w:p w14:paraId="3CF99496">
                  <w:pPr>
                    <w:pStyle w:val="45"/>
                    <w:rPr>
                      <w:rFonts w:hint="default" w:ascii="Times New Roman" w:hAnsi="Times New Roman" w:cs="Times New Roman"/>
                    </w:rPr>
                  </w:pPr>
                  <w:r>
                    <w:rPr>
                      <w:rFonts w:hint="default" w:ascii="Times New Roman" w:hAnsi="Times New Roman" w:cs="Times New Roman"/>
                    </w:rPr>
                    <w:t>第三次</w:t>
                  </w:r>
                </w:p>
              </w:tc>
              <w:tc>
                <w:tcPr>
                  <w:tcW w:w="422" w:type="pct"/>
                  <w:vAlign w:val="center"/>
                </w:tcPr>
                <w:p w14:paraId="12768B10">
                  <w:pPr>
                    <w:pStyle w:val="45"/>
                    <w:rPr>
                      <w:rFonts w:hint="default" w:ascii="Times New Roman" w:hAnsi="Times New Roman" w:cs="Times New Roman"/>
                    </w:rPr>
                  </w:pPr>
                  <w:r>
                    <w:rPr>
                      <w:rFonts w:hint="default" w:ascii="Times New Roman" w:hAnsi="Times New Roman" w:cs="Times New Roman"/>
                    </w:rPr>
                    <w:t>第四次</w:t>
                  </w:r>
                </w:p>
              </w:tc>
              <w:tc>
                <w:tcPr>
                  <w:tcW w:w="791" w:type="pct"/>
                  <w:vMerge w:val="continue"/>
                  <w:vAlign w:val="center"/>
                </w:tcPr>
                <w:p w14:paraId="68C1B31C">
                  <w:pPr>
                    <w:pStyle w:val="45"/>
                    <w:rPr>
                      <w:rFonts w:hint="default" w:ascii="Times New Roman" w:hAnsi="Times New Roman" w:cs="Times New Roman"/>
                    </w:rPr>
                  </w:pPr>
                </w:p>
              </w:tc>
              <w:tc>
                <w:tcPr>
                  <w:tcW w:w="787" w:type="pct"/>
                  <w:vMerge w:val="continue"/>
                  <w:vAlign w:val="center"/>
                </w:tcPr>
                <w:p w14:paraId="6A013241">
                  <w:pPr>
                    <w:pStyle w:val="45"/>
                    <w:rPr>
                      <w:rFonts w:hint="default" w:ascii="Times New Roman" w:hAnsi="Times New Roman" w:cs="Times New Roman"/>
                    </w:rPr>
                  </w:pPr>
                </w:p>
              </w:tc>
            </w:tr>
            <w:tr w14:paraId="1832D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53" w:type="pct"/>
                  <w:vMerge w:val="restart"/>
                  <w:vAlign w:val="center"/>
                </w:tcPr>
                <w:p w14:paraId="54DC8AD5">
                  <w:pPr>
                    <w:pStyle w:val="12"/>
                    <w:rPr>
                      <w:rFonts w:hint="default" w:ascii="Times New Roman" w:hAnsi="Times New Roman" w:cs="Times New Roman"/>
                    </w:rPr>
                  </w:pPr>
                  <w:r>
                    <w:rPr>
                      <w:rFonts w:hint="eastAsia" w:ascii="Times New Roman" w:hAnsi="Times New Roman" w:cs="Times New Roman"/>
                      <w:lang w:val="en-US" w:eastAsia="zh-CN"/>
                    </w:rPr>
                    <w:t>项目厂区内</w:t>
                  </w:r>
                </w:p>
              </w:tc>
              <w:tc>
                <w:tcPr>
                  <w:tcW w:w="359" w:type="pct"/>
                  <w:vMerge w:val="restart"/>
                  <w:vAlign w:val="center"/>
                </w:tcPr>
                <w:p w14:paraId="2BC6FE13">
                  <w:pPr>
                    <w:pStyle w:val="12"/>
                    <w:rPr>
                      <w:rFonts w:hint="default" w:ascii="Times New Roman" w:hAnsi="Times New Roman" w:eastAsia="宋体" w:cs="Times New Roman"/>
                      <w:lang w:val="en-US" w:eastAsia="zh-CN"/>
                    </w:rPr>
                  </w:pPr>
                  <w:r>
                    <w:rPr>
                      <w:rFonts w:hint="eastAsia" w:ascii="Times New Roman" w:hAnsi="Times New Roman" w:cs="Times New Roman"/>
                      <w:lang w:val="en-US" w:eastAsia="zh-CN"/>
                    </w:rPr>
                    <w:t>氟化物</w:t>
                  </w:r>
                </w:p>
              </w:tc>
              <w:tc>
                <w:tcPr>
                  <w:tcW w:w="827" w:type="pct"/>
                  <w:vAlign w:val="center"/>
                </w:tcPr>
                <w:p w14:paraId="0C0DD993">
                  <w:pPr>
                    <w:pStyle w:val="12"/>
                    <w:ind w:firstLine="0" w:firstLineChars="0"/>
                    <w:rPr>
                      <w:rFonts w:hint="eastAsia" w:ascii="Times New Roman" w:hAnsi="Times New Roman" w:eastAsia="宋体" w:cs="Times New Roman"/>
                      <w:lang w:val="en-US" w:eastAsia="zh-CN"/>
                    </w:rPr>
                  </w:pPr>
                  <w:r>
                    <w:rPr>
                      <w:rFonts w:hint="default" w:ascii="Times New Roman" w:hAnsi="Times New Roman" w:cs="Times New Roman"/>
                    </w:rPr>
                    <w:t>202</w:t>
                  </w:r>
                  <w:r>
                    <w:rPr>
                      <w:rFonts w:hint="eastAsia" w:ascii="Times New Roman" w:hAnsi="Times New Roman" w:cs="Times New Roman"/>
                      <w:lang w:val="en-US" w:eastAsia="zh-CN"/>
                    </w:rPr>
                    <w:t>5</w:t>
                  </w:r>
                  <w:r>
                    <w:rPr>
                      <w:rFonts w:hint="default" w:ascii="Times New Roman" w:hAnsi="Times New Roman" w:cs="Times New Roman"/>
                    </w:rPr>
                    <w:t>.</w:t>
                  </w:r>
                  <w:r>
                    <w:rPr>
                      <w:rFonts w:hint="eastAsia" w:ascii="Times New Roman" w:hAnsi="Times New Roman" w:cs="Times New Roman"/>
                      <w:lang w:val="en-US" w:eastAsia="zh-CN"/>
                    </w:rPr>
                    <w:t>10</w:t>
                  </w:r>
                  <w:r>
                    <w:rPr>
                      <w:rFonts w:hint="default" w:ascii="Times New Roman" w:hAnsi="Times New Roman" w:cs="Times New Roman"/>
                    </w:rPr>
                    <w:t>.0</w:t>
                  </w:r>
                  <w:r>
                    <w:rPr>
                      <w:rFonts w:hint="eastAsia" w:ascii="Times New Roman" w:hAnsi="Times New Roman" w:cs="Times New Roman"/>
                      <w:lang w:val="en-US" w:eastAsia="zh-CN"/>
                    </w:rPr>
                    <w:t>8</w:t>
                  </w:r>
                </w:p>
              </w:tc>
              <w:tc>
                <w:tcPr>
                  <w:tcW w:w="419" w:type="pct"/>
                  <w:vAlign w:val="center"/>
                </w:tcPr>
                <w:p w14:paraId="1B44EDB5">
                  <w:pPr>
                    <w:pStyle w:val="12"/>
                    <w:rPr>
                      <w:rFonts w:hint="default" w:ascii="Times New Roman" w:hAnsi="Times New Roman" w:eastAsia="宋体" w:cs="Times New Roman"/>
                      <w:lang w:val="en-US" w:eastAsia="zh-CN"/>
                    </w:rPr>
                  </w:pPr>
                  <w:r>
                    <w:rPr>
                      <w:rFonts w:hint="eastAsia" w:ascii="Times New Roman" w:hAnsi="Times New Roman" w:cs="Times New Roman"/>
                      <w:lang w:val="en-US" w:eastAsia="zh-CN"/>
                    </w:rPr>
                    <w:t>ND</w:t>
                  </w:r>
                </w:p>
              </w:tc>
              <w:tc>
                <w:tcPr>
                  <w:tcW w:w="421" w:type="pct"/>
                  <w:vAlign w:val="center"/>
                </w:tcPr>
                <w:p w14:paraId="3E600B53">
                  <w:pPr>
                    <w:pStyle w:val="12"/>
                    <w:rPr>
                      <w:rFonts w:hint="default" w:ascii="Times New Roman" w:hAnsi="Times New Roman" w:cs="Times New Roman"/>
                    </w:rPr>
                  </w:pPr>
                  <w:r>
                    <w:rPr>
                      <w:rFonts w:hint="eastAsia" w:ascii="Times New Roman" w:hAnsi="Times New Roman" w:cs="Times New Roman"/>
                      <w:lang w:val="en-US" w:eastAsia="zh-CN"/>
                    </w:rPr>
                    <w:t>ND</w:t>
                  </w:r>
                </w:p>
              </w:tc>
              <w:tc>
                <w:tcPr>
                  <w:tcW w:w="419" w:type="pct"/>
                  <w:vAlign w:val="center"/>
                </w:tcPr>
                <w:p w14:paraId="059F4F70">
                  <w:pPr>
                    <w:pStyle w:val="12"/>
                    <w:rPr>
                      <w:rFonts w:hint="default" w:ascii="Times New Roman" w:hAnsi="Times New Roman" w:cs="Times New Roman"/>
                    </w:rPr>
                  </w:pPr>
                  <w:r>
                    <w:rPr>
                      <w:rFonts w:hint="eastAsia" w:ascii="Times New Roman" w:hAnsi="Times New Roman" w:cs="Times New Roman"/>
                      <w:lang w:val="en-US" w:eastAsia="zh-CN"/>
                    </w:rPr>
                    <w:t>ND</w:t>
                  </w:r>
                </w:p>
              </w:tc>
              <w:tc>
                <w:tcPr>
                  <w:tcW w:w="422" w:type="pct"/>
                  <w:vAlign w:val="center"/>
                </w:tcPr>
                <w:p w14:paraId="0A609880">
                  <w:pPr>
                    <w:pStyle w:val="12"/>
                    <w:rPr>
                      <w:rFonts w:hint="default" w:ascii="Times New Roman" w:hAnsi="Times New Roman" w:cs="Times New Roman"/>
                    </w:rPr>
                  </w:pPr>
                  <w:r>
                    <w:rPr>
                      <w:rFonts w:hint="eastAsia" w:ascii="Times New Roman" w:hAnsi="Times New Roman" w:cs="Times New Roman"/>
                      <w:lang w:val="en-US" w:eastAsia="zh-CN"/>
                    </w:rPr>
                    <w:t>ND</w:t>
                  </w:r>
                </w:p>
              </w:tc>
              <w:tc>
                <w:tcPr>
                  <w:tcW w:w="791" w:type="pct"/>
                  <w:vMerge w:val="restart"/>
                  <w:vAlign w:val="center"/>
                </w:tcPr>
                <w:p w14:paraId="36C70D8A">
                  <w:pPr>
                    <w:pStyle w:val="12"/>
                    <w:rPr>
                      <w:rFonts w:hint="default" w:ascii="Times New Roman" w:hAnsi="Times New Roman" w:eastAsia="宋体" w:cs="Times New Roman"/>
                      <w:lang w:val="en-US" w:eastAsia="zh-CN"/>
                    </w:rPr>
                  </w:pPr>
                  <w:r>
                    <w:rPr>
                      <w:rFonts w:hint="eastAsia" w:ascii="Times New Roman" w:hAnsi="Times New Roman" w:cs="Times New Roman"/>
                      <w:lang w:val="en-US" w:eastAsia="zh-CN"/>
                    </w:rPr>
                    <w:t>0.02</w:t>
                  </w:r>
                </w:p>
              </w:tc>
              <w:tc>
                <w:tcPr>
                  <w:tcW w:w="787" w:type="pct"/>
                  <w:vAlign w:val="center"/>
                </w:tcPr>
                <w:p w14:paraId="0D5F32F7">
                  <w:pPr>
                    <w:pStyle w:val="12"/>
                    <w:rPr>
                      <w:rFonts w:hint="default" w:ascii="Times New Roman" w:hAnsi="Times New Roman" w:cs="Times New Roman"/>
                    </w:rPr>
                  </w:pPr>
                  <w:r>
                    <w:rPr>
                      <w:rFonts w:hint="default" w:ascii="Times New Roman" w:hAnsi="Times New Roman" w:cs="Times New Roman"/>
                    </w:rPr>
                    <w:t>达标</w:t>
                  </w:r>
                </w:p>
              </w:tc>
            </w:tr>
            <w:tr w14:paraId="2E1AB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53" w:type="pct"/>
                  <w:vMerge w:val="continue"/>
                  <w:vAlign w:val="center"/>
                </w:tcPr>
                <w:p w14:paraId="71EE0BD2">
                  <w:pPr>
                    <w:pStyle w:val="12"/>
                    <w:rPr>
                      <w:rFonts w:hint="default" w:ascii="Times New Roman" w:hAnsi="Times New Roman" w:cs="Times New Roman"/>
                    </w:rPr>
                  </w:pPr>
                </w:p>
              </w:tc>
              <w:tc>
                <w:tcPr>
                  <w:tcW w:w="359" w:type="pct"/>
                  <w:vMerge w:val="continue"/>
                  <w:vAlign w:val="center"/>
                </w:tcPr>
                <w:p w14:paraId="5448728C">
                  <w:pPr>
                    <w:pStyle w:val="12"/>
                    <w:rPr>
                      <w:rFonts w:hint="default" w:ascii="Times New Roman" w:hAnsi="Times New Roman" w:cs="Times New Roman"/>
                    </w:rPr>
                  </w:pPr>
                </w:p>
              </w:tc>
              <w:tc>
                <w:tcPr>
                  <w:tcW w:w="827" w:type="pct"/>
                  <w:vAlign w:val="top"/>
                </w:tcPr>
                <w:p w14:paraId="7A5F370D">
                  <w:pPr>
                    <w:pStyle w:val="12"/>
                    <w:ind w:firstLine="0" w:firstLineChars="0"/>
                    <w:rPr>
                      <w:rFonts w:hint="default" w:ascii="Times New Roman" w:hAnsi="Times New Roman" w:eastAsia="宋体" w:cs="Times New Roman"/>
                      <w:lang w:val="en-US" w:eastAsia="zh-CN"/>
                    </w:rPr>
                  </w:pPr>
                  <w:r>
                    <w:rPr>
                      <w:rFonts w:hint="default" w:ascii="Times New Roman" w:hAnsi="Times New Roman" w:cs="Times New Roman"/>
                    </w:rPr>
                    <w:t>202</w:t>
                  </w:r>
                  <w:r>
                    <w:rPr>
                      <w:rFonts w:hint="eastAsia" w:ascii="Times New Roman" w:hAnsi="Times New Roman" w:cs="Times New Roman"/>
                      <w:lang w:val="en-US" w:eastAsia="zh-CN"/>
                    </w:rPr>
                    <w:t>5</w:t>
                  </w:r>
                  <w:r>
                    <w:rPr>
                      <w:rFonts w:hint="default" w:ascii="Times New Roman" w:hAnsi="Times New Roman" w:cs="Times New Roman"/>
                    </w:rPr>
                    <w:t>.</w:t>
                  </w:r>
                  <w:r>
                    <w:rPr>
                      <w:rFonts w:hint="eastAsia" w:ascii="Times New Roman" w:hAnsi="Times New Roman" w:cs="Times New Roman"/>
                      <w:lang w:val="en-US" w:eastAsia="zh-CN"/>
                    </w:rPr>
                    <w:t>10</w:t>
                  </w:r>
                  <w:r>
                    <w:rPr>
                      <w:rFonts w:hint="default" w:ascii="Times New Roman" w:hAnsi="Times New Roman" w:cs="Times New Roman"/>
                    </w:rPr>
                    <w:t>.</w:t>
                  </w:r>
                  <w:r>
                    <w:rPr>
                      <w:rFonts w:hint="eastAsia" w:ascii="Times New Roman" w:hAnsi="Times New Roman" w:cs="Times New Roman"/>
                      <w:lang w:val="en-US" w:eastAsia="zh-CN"/>
                    </w:rPr>
                    <w:t>09</w:t>
                  </w:r>
                </w:p>
              </w:tc>
              <w:tc>
                <w:tcPr>
                  <w:tcW w:w="419" w:type="pct"/>
                  <w:vAlign w:val="center"/>
                </w:tcPr>
                <w:p w14:paraId="66342F72">
                  <w:pPr>
                    <w:pStyle w:val="12"/>
                    <w:ind w:firstLine="0" w:firstLineChars="0"/>
                    <w:rPr>
                      <w:rFonts w:hint="default" w:ascii="Times New Roman" w:hAnsi="Times New Roman" w:cs="Times New Roman"/>
                    </w:rPr>
                  </w:pPr>
                  <w:r>
                    <w:rPr>
                      <w:rFonts w:hint="eastAsia" w:ascii="Times New Roman" w:hAnsi="Times New Roman" w:cs="Times New Roman"/>
                      <w:lang w:val="en-US" w:eastAsia="zh-CN"/>
                    </w:rPr>
                    <w:t>ND</w:t>
                  </w:r>
                </w:p>
              </w:tc>
              <w:tc>
                <w:tcPr>
                  <w:tcW w:w="421" w:type="pct"/>
                  <w:vAlign w:val="center"/>
                </w:tcPr>
                <w:p w14:paraId="7B0D26F7">
                  <w:pPr>
                    <w:pStyle w:val="12"/>
                    <w:ind w:firstLine="0" w:firstLineChars="0"/>
                    <w:rPr>
                      <w:rFonts w:hint="default" w:ascii="Times New Roman" w:hAnsi="Times New Roman" w:cs="Times New Roman"/>
                    </w:rPr>
                  </w:pPr>
                  <w:r>
                    <w:rPr>
                      <w:rFonts w:hint="eastAsia" w:ascii="Times New Roman" w:hAnsi="Times New Roman" w:cs="Times New Roman"/>
                      <w:lang w:val="en-US" w:eastAsia="zh-CN"/>
                    </w:rPr>
                    <w:t>ND</w:t>
                  </w:r>
                </w:p>
              </w:tc>
              <w:tc>
                <w:tcPr>
                  <w:tcW w:w="419" w:type="pct"/>
                  <w:vAlign w:val="center"/>
                </w:tcPr>
                <w:p w14:paraId="429CC9EA">
                  <w:pPr>
                    <w:pStyle w:val="12"/>
                    <w:ind w:firstLine="0" w:firstLineChars="0"/>
                    <w:rPr>
                      <w:rFonts w:hint="default" w:ascii="Times New Roman" w:hAnsi="Times New Roman" w:cs="Times New Roman"/>
                    </w:rPr>
                  </w:pPr>
                  <w:r>
                    <w:rPr>
                      <w:rFonts w:hint="eastAsia" w:ascii="Times New Roman" w:hAnsi="Times New Roman" w:cs="Times New Roman"/>
                      <w:lang w:val="en-US" w:eastAsia="zh-CN"/>
                    </w:rPr>
                    <w:t>ND</w:t>
                  </w:r>
                </w:p>
              </w:tc>
              <w:tc>
                <w:tcPr>
                  <w:tcW w:w="422" w:type="pct"/>
                  <w:vAlign w:val="center"/>
                </w:tcPr>
                <w:p w14:paraId="31CFF7E4">
                  <w:pPr>
                    <w:pStyle w:val="12"/>
                    <w:ind w:firstLine="0" w:firstLineChars="0"/>
                    <w:rPr>
                      <w:rFonts w:hint="default" w:ascii="Times New Roman" w:hAnsi="Times New Roman" w:cs="Times New Roman"/>
                    </w:rPr>
                  </w:pPr>
                  <w:r>
                    <w:rPr>
                      <w:rFonts w:hint="eastAsia" w:ascii="Times New Roman" w:hAnsi="Times New Roman" w:cs="Times New Roman"/>
                      <w:lang w:val="en-US" w:eastAsia="zh-CN"/>
                    </w:rPr>
                    <w:t>ND</w:t>
                  </w:r>
                </w:p>
              </w:tc>
              <w:tc>
                <w:tcPr>
                  <w:tcW w:w="791" w:type="pct"/>
                  <w:vMerge w:val="continue"/>
                  <w:vAlign w:val="center"/>
                </w:tcPr>
                <w:p w14:paraId="1265BD92">
                  <w:pPr>
                    <w:pStyle w:val="12"/>
                    <w:rPr>
                      <w:rFonts w:hint="default" w:ascii="Times New Roman" w:hAnsi="Times New Roman" w:cs="Times New Roman"/>
                    </w:rPr>
                  </w:pPr>
                </w:p>
              </w:tc>
              <w:tc>
                <w:tcPr>
                  <w:tcW w:w="787" w:type="pct"/>
                  <w:vAlign w:val="center"/>
                </w:tcPr>
                <w:p w14:paraId="6426586A">
                  <w:pPr>
                    <w:pStyle w:val="12"/>
                    <w:rPr>
                      <w:rFonts w:hint="default" w:ascii="Times New Roman" w:hAnsi="Times New Roman" w:cs="Times New Roman"/>
                    </w:rPr>
                  </w:pPr>
                  <w:r>
                    <w:rPr>
                      <w:rFonts w:hint="default" w:ascii="Times New Roman" w:hAnsi="Times New Roman" w:cs="Times New Roman"/>
                    </w:rPr>
                    <w:t>达标</w:t>
                  </w:r>
                </w:p>
              </w:tc>
            </w:tr>
            <w:tr w14:paraId="37291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53" w:type="pct"/>
                  <w:vMerge w:val="continue"/>
                  <w:vAlign w:val="center"/>
                </w:tcPr>
                <w:p w14:paraId="517FCC43">
                  <w:pPr>
                    <w:pStyle w:val="12"/>
                    <w:rPr>
                      <w:rFonts w:hint="default" w:ascii="Times New Roman" w:hAnsi="Times New Roman" w:cs="Times New Roman"/>
                    </w:rPr>
                  </w:pPr>
                </w:p>
              </w:tc>
              <w:tc>
                <w:tcPr>
                  <w:tcW w:w="359" w:type="pct"/>
                  <w:vMerge w:val="continue"/>
                  <w:vAlign w:val="center"/>
                </w:tcPr>
                <w:p w14:paraId="2ECC07F9">
                  <w:pPr>
                    <w:pStyle w:val="12"/>
                    <w:rPr>
                      <w:rFonts w:hint="default" w:ascii="Times New Roman" w:hAnsi="Times New Roman" w:cs="Times New Roman"/>
                    </w:rPr>
                  </w:pPr>
                </w:p>
              </w:tc>
              <w:tc>
                <w:tcPr>
                  <w:tcW w:w="827" w:type="pct"/>
                  <w:vAlign w:val="top"/>
                </w:tcPr>
                <w:p w14:paraId="645AA8EE">
                  <w:pPr>
                    <w:pStyle w:val="12"/>
                    <w:ind w:firstLine="0" w:firstLineChars="0"/>
                    <w:rPr>
                      <w:rFonts w:hint="default" w:ascii="Times New Roman" w:hAnsi="Times New Roman" w:cs="Times New Roman"/>
                      <w:lang w:val="en-US"/>
                    </w:rPr>
                  </w:pPr>
                  <w:r>
                    <w:rPr>
                      <w:rFonts w:hint="default" w:ascii="Times New Roman" w:hAnsi="Times New Roman" w:cs="Times New Roman"/>
                    </w:rPr>
                    <w:t>202</w:t>
                  </w:r>
                  <w:r>
                    <w:rPr>
                      <w:rFonts w:hint="eastAsia" w:ascii="Times New Roman" w:hAnsi="Times New Roman" w:cs="Times New Roman"/>
                      <w:lang w:val="en-US" w:eastAsia="zh-CN"/>
                    </w:rPr>
                    <w:t>5</w:t>
                  </w:r>
                  <w:r>
                    <w:rPr>
                      <w:rFonts w:hint="default" w:ascii="Times New Roman" w:hAnsi="Times New Roman" w:cs="Times New Roman"/>
                    </w:rPr>
                    <w:t>.</w:t>
                  </w:r>
                  <w:r>
                    <w:rPr>
                      <w:rFonts w:hint="eastAsia" w:ascii="Times New Roman" w:hAnsi="Times New Roman" w:cs="Times New Roman"/>
                      <w:lang w:val="en-US" w:eastAsia="zh-CN"/>
                    </w:rPr>
                    <w:t>10.10</w:t>
                  </w:r>
                </w:p>
              </w:tc>
              <w:tc>
                <w:tcPr>
                  <w:tcW w:w="419" w:type="pct"/>
                  <w:vAlign w:val="center"/>
                </w:tcPr>
                <w:p w14:paraId="2E095319">
                  <w:pPr>
                    <w:pStyle w:val="12"/>
                    <w:ind w:firstLine="0" w:firstLineChars="0"/>
                    <w:rPr>
                      <w:rFonts w:hint="default" w:ascii="Times New Roman" w:hAnsi="Times New Roman" w:cs="Times New Roman"/>
                    </w:rPr>
                  </w:pPr>
                  <w:r>
                    <w:rPr>
                      <w:rFonts w:hint="eastAsia" w:ascii="Times New Roman" w:hAnsi="Times New Roman" w:cs="Times New Roman"/>
                      <w:lang w:val="en-US" w:eastAsia="zh-CN"/>
                    </w:rPr>
                    <w:t>ND</w:t>
                  </w:r>
                </w:p>
              </w:tc>
              <w:tc>
                <w:tcPr>
                  <w:tcW w:w="421" w:type="pct"/>
                  <w:vAlign w:val="center"/>
                </w:tcPr>
                <w:p w14:paraId="36C5BB93">
                  <w:pPr>
                    <w:pStyle w:val="12"/>
                    <w:ind w:firstLine="0" w:firstLineChars="0"/>
                    <w:rPr>
                      <w:rFonts w:hint="default" w:ascii="Times New Roman" w:hAnsi="Times New Roman" w:cs="Times New Roman"/>
                    </w:rPr>
                  </w:pPr>
                  <w:r>
                    <w:rPr>
                      <w:rFonts w:hint="eastAsia" w:ascii="Times New Roman" w:hAnsi="Times New Roman" w:cs="Times New Roman"/>
                      <w:lang w:val="en-US" w:eastAsia="zh-CN"/>
                    </w:rPr>
                    <w:t>ND</w:t>
                  </w:r>
                </w:p>
              </w:tc>
              <w:tc>
                <w:tcPr>
                  <w:tcW w:w="419" w:type="pct"/>
                  <w:vAlign w:val="center"/>
                </w:tcPr>
                <w:p w14:paraId="5AB9D9E8">
                  <w:pPr>
                    <w:pStyle w:val="12"/>
                    <w:ind w:firstLine="0" w:firstLineChars="0"/>
                    <w:rPr>
                      <w:rFonts w:hint="default" w:ascii="Times New Roman" w:hAnsi="Times New Roman" w:cs="Times New Roman"/>
                    </w:rPr>
                  </w:pPr>
                  <w:r>
                    <w:rPr>
                      <w:rFonts w:hint="eastAsia" w:ascii="Times New Roman" w:hAnsi="Times New Roman" w:cs="Times New Roman"/>
                      <w:lang w:val="en-US" w:eastAsia="zh-CN"/>
                    </w:rPr>
                    <w:t>ND</w:t>
                  </w:r>
                </w:p>
              </w:tc>
              <w:tc>
                <w:tcPr>
                  <w:tcW w:w="422" w:type="pct"/>
                  <w:vAlign w:val="center"/>
                </w:tcPr>
                <w:p w14:paraId="050FABA0">
                  <w:pPr>
                    <w:pStyle w:val="12"/>
                    <w:ind w:firstLine="0" w:firstLineChars="0"/>
                    <w:rPr>
                      <w:rFonts w:hint="default" w:ascii="Times New Roman" w:hAnsi="Times New Roman" w:cs="Times New Roman"/>
                    </w:rPr>
                  </w:pPr>
                  <w:r>
                    <w:rPr>
                      <w:rFonts w:hint="eastAsia" w:ascii="Times New Roman" w:hAnsi="Times New Roman" w:cs="Times New Roman"/>
                      <w:lang w:val="en-US" w:eastAsia="zh-CN"/>
                    </w:rPr>
                    <w:t>ND</w:t>
                  </w:r>
                </w:p>
              </w:tc>
              <w:tc>
                <w:tcPr>
                  <w:tcW w:w="791" w:type="pct"/>
                  <w:vMerge w:val="continue"/>
                  <w:vAlign w:val="center"/>
                </w:tcPr>
                <w:p w14:paraId="4537C196">
                  <w:pPr>
                    <w:pStyle w:val="12"/>
                    <w:rPr>
                      <w:rFonts w:hint="default" w:ascii="Times New Roman" w:hAnsi="Times New Roman" w:cs="Times New Roman"/>
                    </w:rPr>
                  </w:pPr>
                </w:p>
              </w:tc>
              <w:tc>
                <w:tcPr>
                  <w:tcW w:w="787" w:type="pct"/>
                  <w:vAlign w:val="center"/>
                </w:tcPr>
                <w:p w14:paraId="070A74A2">
                  <w:pPr>
                    <w:pStyle w:val="12"/>
                    <w:rPr>
                      <w:rFonts w:hint="default" w:ascii="Times New Roman" w:hAnsi="Times New Roman" w:cs="Times New Roman"/>
                    </w:rPr>
                  </w:pPr>
                  <w:r>
                    <w:rPr>
                      <w:rFonts w:hint="default" w:ascii="Times New Roman" w:hAnsi="Times New Roman" w:cs="Times New Roman"/>
                    </w:rPr>
                    <w:t>达标</w:t>
                  </w:r>
                </w:p>
              </w:tc>
            </w:tr>
            <w:tr w14:paraId="62A2F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53" w:type="pct"/>
                  <w:vMerge w:val="continue"/>
                  <w:vAlign w:val="center"/>
                </w:tcPr>
                <w:p w14:paraId="11AC5209">
                  <w:pPr>
                    <w:pStyle w:val="12"/>
                    <w:rPr>
                      <w:rFonts w:hint="default" w:ascii="Times New Roman" w:hAnsi="Times New Roman" w:cs="Times New Roman"/>
                    </w:rPr>
                  </w:pPr>
                </w:p>
              </w:tc>
              <w:tc>
                <w:tcPr>
                  <w:tcW w:w="359" w:type="pct"/>
                  <w:vMerge w:val="restart"/>
                  <w:vAlign w:val="center"/>
                </w:tcPr>
                <w:p w14:paraId="2EC9D34B">
                  <w:pPr>
                    <w:pStyle w:val="12"/>
                    <w:rPr>
                      <w:rFonts w:hint="default" w:ascii="Times New Roman" w:hAnsi="Times New Roman" w:cs="Times New Roman"/>
                    </w:rPr>
                  </w:pPr>
                  <w:r>
                    <w:rPr>
                      <w:rFonts w:hint="default" w:ascii="Times New Roman" w:hAnsi="Times New Roman" w:cs="Times New Roman"/>
                    </w:rPr>
                    <w:t>氮氧化物</w:t>
                  </w:r>
                </w:p>
              </w:tc>
              <w:tc>
                <w:tcPr>
                  <w:tcW w:w="827" w:type="pct"/>
                  <w:vAlign w:val="center"/>
                </w:tcPr>
                <w:p w14:paraId="0FBBAE34">
                  <w:pPr>
                    <w:pStyle w:val="12"/>
                    <w:ind w:firstLine="0" w:firstLineChars="0"/>
                    <w:rPr>
                      <w:rFonts w:hint="default" w:ascii="Times New Roman" w:hAnsi="Times New Roman" w:cs="Times New Roman"/>
                    </w:rPr>
                  </w:pPr>
                  <w:r>
                    <w:rPr>
                      <w:rFonts w:hint="default" w:ascii="Times New Roman" w:hAnsi="Times New Roman" w:cs="Times New Roman"/>
                    </w:rPr>
                    <w:t>202</w:t>
                  </w:r>
                  <w:r>
                    <w:rPr>
                      <w:rFonts w:hint="eastAsia" w:ascii="Times New Roman" w:hAnsi="Times New Roman" w:cs="Times New Roman"/>
                      <w:lang w:val="en-US" w:eastAsia="zh-CN"/>
                    </w:rPr>
                    <w:t>5</w:t>
                  </w:r>
                  <w:r>
                    <w:rPr>
                      <w:rFonts w:hint="default" w:ascii="Times New Roman" w:hAnsi="Times New Roman" w:cs="Times New Roman"/>
                    </w:rPr>
                    <w:t>.</w:t>
                  </w:r>
                  <w:r>
                    <w:rPr>
                      <w:rFonts w:hint="eastAsia" w:ascii="Times New Roman" w:hAnsi="Times New Roman" w:cs="Times New Roman"/>
                      <w:lang w:val="en-US" w:eastAsia="zh-CN"/>
                    </w:rPr>
                    <w:t>10</w:t>
                  </w:r>
                  <w:r>
                    <w:rPr>
                      <w:rFonts w:hint="default" w:ascii="Times New Roman" w:hAnsi="Times New Roman" w:cs="Times New Roman"/>
                    </w:rPr>
                    <w:t>.0</w:t>
                  </w:r>
                  <w:r>
                    <w:rPr>
                      <w:rFonts w:hint="eastAsia" w:ascii="Times New Roman" w:hAnsi="Times New Roman" w:cs="Times New Roman"/>
                      <w:lang w:val="en-US" w:eastAsia="zh-CN"/>
                    </w:rPr>
                    <w:t>8</w:t>
                  </w:r>
                </w:p>
              </w:tc>
              <w:tc>
                <w:tcPr>
                  <w:tcW w:w="419" w:type="pct"/>
                  <w:vAlign w:val="center"/>
                </w:tcPr>
                <w:p w14:paraId="6F2F3576">
                  <w:pPr>
                    <w:numPr>
                      <w:ilvl w:val="0"/>
                      <w:numId w:val="0"/>
                    </w:numPr>
                    <w:spacing w:line="240" w:lineRule="auto"/>
                    <w:ind w:left="0" w:leftChars="0" w:firstLine="0" w:firstLineChars="0"/>
                    <w:jc w:val="center"/>
                    <w:rPr>
                      <w:rFonts w:hint="default" w:ascii="Times New Roman" w:hAnsi="Times New Roman" w:cs="Times New Roman"/>
                    </w:rPr>
                  </w:pPr>
                  <w:r>
                    <w:rPr>
                      <w:rFonts w:hint="eastAsia" w:ascii="Times New Roman" w:hAnsi="Times New Roman" w:eastAsia="宋体" w:cs="Times New Roman"/>
                      <w:b w:val="0"/>
                      <w:bCs w:val="0"/>
                      <w:kern w:val="2"/>
                      <w:sz w:val="21"/>
                      <w:szCs w:val="21"/>
                      <w:highlight w:val="none"/>
                      <w:vertAlign w:val="baseline"/>
                      <w:lang w:val="en-US" w:eastAsia="zh-CN" w:bidi="ar-SA"/>
                    </w:rPr>
                    <w:t>0.024</w:t>
                  </w:r>
                </w:p>
              </w:tc>
              <w:tc>
                <w:tcPr>
                  <w:tcW w:w="421" w:type="pct"/>
                  <w:vAlign w:val="center"/>
                </w:tcPr>
                <w:p w14:paraId="0122F2C6">
                  <w:pPr>
                    <w:numPr>
                      <w:ilvl w:val="0"/>
                      <w:numId w:val="0"/>
                    </w:numPr>
                    <w:spacing w:line="240" w:lineRule="auto"/>
                    <w:ind w:left="0" w:leftChars="0" w:firstLine="0" w:firstLineChars="0"/>
                    <w:jc w:val="center"/>
                    <w:rPr>
                      <w:rFonts w:hint="default" w:ascii="Times New Roman" w:hAnsi="Times New Roman" w:cs="Times New Roman"/>
                    </w:rPr>
                  </w:pPr>
                  <w:r>
                    <w:rPr>
                      <w:rFonts w:hint="eastAsia" w:ascii="Times New Roman" w:hAnsi="Times New Roman" w:eastAsia="宋体" w:cs="Times New Roman"/>
                      <w:b w:val="0"/>
                      <w:bCs w:val="0"/>
                      <w:kern w:val="2"/>
                      <w:sz w:val="21"/>
                      <w:szCs w:val="21"/>
                      <w:highlight w:val="none"/>
                      <w:vertAlign w:val="baseline"/>
                      <w:lang w:val="en-US" w:eastAsia="zh-CN" w:bidi="ar-SA"/>
                    </w:rPr>
                    <w:t>0.022</w:t>
                  </w:r>
                </w:p>
              </w:tc>
              <w:tc>
                <w:tcPr>
                  <w:tcW w:w="419" w:type="pct"/>
                  <w:vAlign w:val="center"/>
                </w:tcPr>
                <w:p w14:paraId="34C83E04">
                  <w:pPr>
                    <w:numPr>
                      <w:ilvl w:val="0"/>
                      <w:numId w:val="0"/>
                    </w:numPr>
                    <w:spacing w:line="240" w:lineRule="auto"/>
                    <w:ind w:left="0" w:leftChars="0" w:firstLine="0" w:firstLineChars="0"/>
                    <w:jc w:val="center"/>
                    <w:rPr>
                      <w:rFonts w:hint="default" w:ascii="Times New Roman" w:hAnsi="Times New Roman" w:cs="Times New Roman"/>
                    </w:rPr>
                  </w:pPr>
                  <w:r>
                    <w:rPr>
                      <w:rFonts w:hint="eastAsia" w:ascii="Times New Roman" w:hAnsi="Times New Roman" w:eastAsia="宋体" w:cs="Times New Roman"/>
                      <w:b w:val="0"/>
                      <w:bCs w:val="0"/>
                      <w:kern w:val="2"/>
                      <w:sz w:val="21"/>
                      <w:szCs w:val="21"/>
                      <w:highlight w:val="none"/>
                      <w:vertAlign w:val="baseline"/>
                      <w:lang w:val="en-US" w:eastAsia="zh-CN" w:bidi="ar-SA"/>
                    </w:rPr>
                    <w:t>0.022</w:t>
                  </w:r>
                </w:p>
              </w:tc>
              <w:tc>
                <w:tcPr>
                  <w:tcW w:w="422" w:type="pct"/>
                  <w:vAlign w:val="center"/>
                </w:tcPr>
                <w:p w14:paraId="2E16BF15">
                  <w:pPr>
                    <w:numPr>
                      <w:ilvl w:val="0"/>
                      <w:numId w:val="0"/>
                    </w:numPr>
                    <w:spacing w:line="240" w:lineRule="auto"/>
                    <w:ind w:left="0" w:leftChars="0" w:firstLine="0" w:firstLineChars="0"/>
                    <w:jc w:val="center"/>
                    <w:rPr>
                      <w:rFonts w:hint="default" w:ascii="Times New Roman" w:hAnsi="Times New Roman" w:cs="Times New Roman"/>
                    </w:rPr>
                  </w:pPr>
                  <w:r>
                    <w:rPr>
                      <w:rFonts w:hint="eastAsia" w:ascii="Times New Roman" w:hAnsi="Times New Roman" w:eastAsia="宋体" w:cs="Times New Roman"/>
                      <w:b w:val="0"/>
                      <w:bCs w:val="0"/>
                      <w:kern w:val="2"/>
                      <w:sz w:val="21"/>
                      <w:szCs w:val="21"/>
                      <w:highlight w:val="none"/>
                      <w:vertAlign w:val="baseline"/>
                      <w:lang w:val="en-US" w:eastAsia="zh-CN" w:bidi="ar-SA"/>
                    </w:rPr>
                    <w:t>0.024</w:t>
                  </w:r>
                </w:p>
              </w:tc>
              <w:tc>
                <w:tcPr>
                  <w:tcW w:w="791" w:type="pct"/>
                  <w:vMerge w:val="restart"/>
                  <w:vAlign w:val="center"/>
                </w:tcPr>
                <w:p w14:paraId="39AD5954">
                  <w:pPr>
                    <w:pStyle w:val="12"/>
                    <w:rPr>
                      <w:rFonts w:hint="default" w:ascii="Times New Roman" w:hAnsi="Times New Roman" w:eastAsia="宋体" w:cs="Times New Roman"/>
                      <w:lang w:val="en-US" w:eastAsia="zh-CN"/>
                    </w:rPr>
                  </w:pPr>
                  <w:r>
                    <w:rPr>
                      <w:rFonts w:hint="eastAsia" w:ascii="Times New Roman" w:hAnsi="Times New Roman" w:cs="Times New Roman"/>
                      <w:lang w:val="en-US" w:eastAsia="zh-CN"/>
                    </w:rPr>
                    <w:t>0.</w:t>
                  </w:r>
                  <w:r>
                    <w:rPr>
                      <w:rFonts w:hint="eastAsia" w:cs="Times New Roman"/>
                      <w:lang w:val="en-US" w:eastAsia="zh-CN"/>
                    </w:rPr>
                    <w:t>2</w:t>
                  </w:r>
                  <w:r>
                    <w:rPr>
                      <w:rFonts w:hint="eastAsia" w:ascii="Times New Roman" w:hAnsi="Times New Roman" w:cs="Times New Roman"/>
                      <w:lang w:val="en-US" w:eastAsia="zh-CN"/>
                    </w:rPr>
                    <w:t>5</w:t>
                  </w:r>
                </w:p>
              </w:tc>
              <w:tc>
                <w:tcPr>
                  <w:tcW w:w="787" w:type="pct"/>
                  <w:vAlign w:val="center"/>
                </w:tcPr>
                <w:p w14:paraId="4A48B70B">
                  <w:pPr>
                    <w:pStyle w:val="12"/>
                    <w:rPr>
                      <w:rFonts w:hint="default" w:ascii="Times New Roman" w:hAnsi="Times New Roman" w:cs="Times New Roman"/>
                    </w:rPr>
                  </w:pPr>
                  <w:r>
                    <w:rPr>
                      <w:rFonts w:hint="default" w:ascii="Times New Roman" w:hAnsi="Times New Roman" w:cs="Times New Roman"/>
                    </w:rPr>
                    <w:t>达标</w:t>
                  </w:r>
                </w:p>
              </w:tc>
            </w:tr>
            <w:tr w14:paraId="6EEDA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53" w:type="pct"/>
                  <w:vMerge w:val="continue"/>
                  <w:vAlign w:val="center"/>
                </w:tcPr>
                <w:p w14:paraId="2207AF35">
                  <w:pPr>
                    <w:pStyle w:val="12"/>
                    <w:rPr>
                      <w:rFonts w:hint="default" w:ascii="Times New Roman" w:hAnsi="Times New Roman" w:cs="Times New Roman"/>
                    </w:rPr>
                  </w:pPr>
                </w:p>
              </w:tc>
              <w:tc>
                <w:tcPr>
                  <w:tcW w:w="359" w:type="pct"/>
                  <w:vMerge w:val="continue"/>
                  <w:vAlign w:val="center"/>
                </w:tcPr>
                <w:p w14:paraId="1BD957A7">
                  <w:pPr>
                    <w:pStyle w:val="12"/>
                    <w:rPr>
                      <w:rFonts w:hint="default" w:ascii="Times New Roman" w:hAnsi="Times New Roman" w:cs="Times New Roman"/>
                    </w:rPr>
                  </w:pPr>
                </w:p>
              </w:tc>
              <w:tc>
                <w:tcPr>
                  <w:tcW w:w="827" w:type="pct"/>
                  <w:vAlign w:val="top"/>
                </w:tcPr>
                <w:p w14:paraId="7C045B82">
                  <w:pPr>
                    <w:pStyle w:val="12"/>
                    <w:ind w:firstLine="0" w:firstLineChars="0"/>
                    <w:rPr>
                      <w:rFonts w:hint="default" w:ascii="Times New Roman" w:hAnsi="Times New Roman" w:cs="Times New Roman"/>
                    </w:rPr>
                  </w:pPr>
                  <w:r>
                    <w:rPr>
                      <w:rFonts w:hint="default" w:ascii="Times New Roman" w:hAnsi="Times New Roman" w:cs="Times New Roman"/>
                    </w:rPr>
                    <w:t>202</w:t>
                  </w:r>
                  <w:r>
                    <w:rPr>
                      <w:rFonts w:hint="eastAsia" w:ascii="Times New Roman" w:hAnsi="Times New Roman" w:cs="Times New Roman"/>
                      <w:lang w:val="en-US" w:eastAsia="zh-CN"/>
                    </w:rPr>
                    <w:t>5</w:t>
                  </w:r>
                  <w:r>
                    <w:rPr>
                      <w:rFonts w:hint="default" w:ascii="Times New Roman" w:hAnsi="Times New Roman" w:cs="Times New Roman"/>
                    </w:rPr>
                    <w:t>.</w:t>
                  </w:r>
                  <w:r>
                    <w:rPr>
                      <w:rFonts w:hint="eastAsia" w:ascii="Times New Roman" w:hAnsi="Times New Roman" w:cs="Times New Roman"/>
                      <w:lang w:val="en-US" w:eastAsia="zh-CN"/>
                    </w:rPr>
                    <w:t>10</w:t>
                  </w:r>
                  <w:r>
                    <w:rPr>
                      <w:rFonts w:hint="default" w:ascii="Times New Roman" w:hAnsi="Times New Roman" w:cs="Times New Roman"/>
                    </w:rPr>
                    <w:t>.</w:t>
                  </w:r>
                  <w:r>
                    <w:rPr>
                      <w:rFonts w:hint="eastAsia" w:ascii="Times New Roman" w:hAnsi="Times New Roman" w:cs="Times New Roman"/>
                      <w:lang w:val="en-US" w:eastAsia="zh-CN"/>
                    </w:rPr>
                    <w:t>09</w:t>
                  </w:r>
                </w:p>
              </w:tc>
              <w:tc>
                <w:tcPr>
                  <w:tcW w:w="419" w:type="pct"/>
                  <w:vAlign w:val="center"/>
                </w:tcPr>
                <w:p w14:paraId="65C29099">
                  <w:pPr>
                    <w:numPr>
                      <w:ilvl w:val="0"/>
                      <w:numId w:val="0"/>
                    </w:numPr>
                    <w:spacing w:line="240" w:lineRule="auto"/>
                    <w:ind w:left="0" w:leftChars="0" w:firstLine="0" w:firstLineChars="0"/>
                    <w:jc w:val="center"/>
                    <w:rPr>
                      <w:rFonts w:hint="default" w:ascii="Times New Roman" w:hAnsi="Times New Roman" w:cs="Times New Roman"/>
                    </w:rPr>
                  </w:pPr>
                  <w:r>
                    <w:rPr>
                      <w:rFonts w:hint="eastAsia" w:ascii="Times New Roman" w:hAnsi="Times New Roman" w:eastAsia="宋体" w:cs="Times New Roman"/>
                      <w:b w:val="0"/>
                      <w:bCs w:val="0"/>
                      <w:kern w:val="2"/>
                      <w:sz w:val="21"/>
                      <w:szCs w:val="21"/>
                      <w:highlight w:val="none"/>
                      <w:vertAlign w:val="baseline"/>
                      <w:lang w:val="en-US" w:eastAsia="zh-CN" w:bidi="ar-SA"/>
                    </w:rPr>
                    <w:t>0.023</w:t>
                  </w:r>
                </w:p>
              </w:tc>
              <w:tc>
                <w:tcPr>
                  <w:tcW w:w="421" w:type="pct"/>
                  <w:vAlign w:val="center"/>
                </w:tcPr>
                <w:p w14:paraId="74321F23">
                  <w:pPr>
                    <w:numPr>
                      <w:ilvl w:val="0"/>
                      <w:numId w:val="0"/>
                    </w:numPr>
                    <w:spacing w:line="240" w:lineRule="auto"/>
                    <w:ind w:left="0" w:leftChars="0" w:firstLine="0" w:firstLineChars="0"/>
                    <w:jc w:val="center"/>
                    <w:rPr>
                      <w:rFonts w:hint="default" w:ascii="Times New Roman" w:hAnsi="Times New Roman" w:cs="Times New Roman"/>
                    </w:rPr>
                  </w:pPr>
                  <w:r>
                    <w:rPr>
                      <w:rFonts w:hint="eastAsia" w:ascii="Times New Roman" w:hAnsi="Times New Roman" w:eastAsia="宋体" w:cs="Times New Roman"/>
                      <w:b w:val="0"/>
                      <w:bCs w:val="0"/>
                      <w:kern w:val="2"/>
                      <w:sz w:val="21"/>
                      <w:szCs w:val="21"/>
                      <w:highlight w:val="none"/>
                      <w:vertAlign w:val="baseline"/>
                      <w:lang w:val="en-US" w:eastAsia="zh-CN" w:bidi="ar-SA"/>
                    </w:rPr>
                    <w:t>0.021</w:t>
                  </w:r>
                </w:p>
              </w:tc>
              <w:tc>
                <w:tcPr>
                  <w:tcW w:w="419" w:type="pct"/>
                  <w:vAlign w:val="center"/>
                </w:tcPr>
                <w:p w14:paraId="41E16E96">
                  <w:pPr>
                    <w:numPr>
                      <w:ilvl w:val="0"/>
                      <w:numId w:val="0"/>
                    </w:numPr>
                    <w:spacing w:line="240" w:lineRule="auto"/>
                    <w:ind w:left="0" w:leftChars="0" w:firstLine="0" w:firstLineChars="0"/>
                    <w:jc w:val="center"/>
                    <w:rPr>
                      <w:rFonts w:hint="default" w:ascii="Times New Roman" w:hAnsi="Times New Roman" w:cs="Times New Roman"/>
                    </w:rPr>
                  </w:pPr>
                  <w:r>
                    <w:rPr>
                      <w:rFonts w:hint="eastAsia" w:ascii="Times New Roman" w:hAnsi="Times New Roman" w:eastAsia="宋体" w:cs="Times New Roman"/>
                      <w:b w:val="0"/>
                      <w:bCs w:val="0"/>
                      <w:kern w:val="2"/>
                      <w:sz w:val="21"/>
                      <w:szCs w:val="21"/>
                      <w:highlight w:val="none"/>
                      <w:vertAlign w:val="baseline"/>
                      <w:lang w:val="en-US" w:eastAsia="zh-CN" w:bidi="ar-SA"/>
                    </w:rPr>
                    <w:t>0.024</w:t>
                  </w:r>
                </w:p>
              </w:tc>
              <w:tc>
                <w:tcPr>
                  <w:tcW w:w="422" w:type="pct"/>
                  <w:vAlign w:val="center"/>
                </w:tcPr>
                <w:p w14:paraId="4E37931F">
                  <w:pPr>
                    <w:numPr>
                      <w:ilvl w:val="0"/>
                      <w:numId w:val="0"/>
                    </w:numPr>
                    <w:spacing w:line="240" w:lineRule="auto"/>
                    <w:ind w:left="0" w:leftChars="0" w:firstLine="0" w:firstLineChars="0"/>
                    <w:jc w:val="center"/>
                    <w:rPr>
                      <w:rFonts w:hint="default" w:ascii="Times New Roman" w:hAnsi="Times New Roman" w:cs="Times New Roman"/>
                    </w:rPr>
                  </w:pPr>
                  <w:r>
                    <w:rPr>
                      <w:rFonts w:hint="eastAsia" w:ascii="Times New Roman" w:hAnsi="Times New Roman" w:eastAsia="宋体" w:cs="Times New Roman"/>
                      <w:b w:val="0"/>
                      <w:bCs w:val="0"/>
                      <w:kern w:val="2"/>
                      <w:sz w:val="21"/>
                      <w:szCs w:val="21"/>
                      <w:highlight w:val="none"/>
                      <w:vertAlign w:val="baseline"/>
                      <w:lang w:val="en-US" w:eastAsia="zh-CN" w:bidi="ar-SA"/>
                    </w:rPr>
                    <w:t>0.021</w:t>
                  </w:r>
                </w:p>
              </w:tc>
              <w:tc>
                <w:tcPr>
                  <w:tcW w:w="791" w:type="pct"/>
                  <w:vMerge w:val="continue"/>
                  <w:vAlign w:val="center"/>
                </w:tcPr>
                <w:p w14:paraId="4513E0B5">
                  <w:pPr>
                    <w:pStyle w:val="12"/>
                    <w:rPr>
                      <w:rFonts w:hint="default" w:ascii="Times New Roman" w:hAnsi="Times New Roman" w:cs="Times New Roman"/>
                    </w:rPr>
                  </w:pPr>
                </w:p>
              </w:tc>
              <w:tc>
                <w:tcPr>
                  <w:tcW w:w="787" w:type="pct"/>
                  <w:vAlign w:val="center"/>
                </w:tcPr>
                <w:p w14:paraId="26A04E6E">
                  <w:pPr>
                    <w:pStyle w:val="12"/>
                    <w:rPr>
                      <w:rFonts w:hint="default" w:ascii="Times New Roman" w:hAnsi="Times New Roman" w:cs="Times New Roman"/>
                    </w:rPr>
                  </w:pPr>
                  <w:r>
                    <w:rPr>
                      <w:rFonts w:hint="default" w:ascii="Times New Roman" w:hAnsi="Times New Roman" w:cs="Times New Roman"/>
                    </w:rPr>
                    <w:t>达标</w:t>
                  </w:r>
                </w:p>
              </w:tc>
            </w:tr>
            <w:tr w14:paraId="64419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53" w:type="pct"/>
                  <w:vMerge w:val="continue"/>
                  <w:vAlign w:val="center"/>
                </w:tcPr>
                <w:p w14:paraId="2D4C7B83">
                  <w:pPr>
                    <w:pStyle w:val="12"/>
                    <w:rPr>
                      <w:rFonts w:hint="default" w:ascii="Times New Roman" w:hAnsi="Times New Roman" w:cs="Times New Roman"/>
                    </w:rPr>
                  </w:pPr>
                </w:p>
              </w:tc>
              <w:tc>
                <w:tcPr>
                  <w:tcW w:w="359" w:type="pct"/>
                  <w:vMerge w:val="continue"/>
                  <w:vAlign w:val="center"/>
                </w:tcPr>
                <w:p w14:paraId="6A2B0D5B">
                  <w:pPr>
                    <w:pStyle w:val="12"/>
                    <w:rPr>
                      <w:rFonts w:hint="default" w:ascii="Times New Roman" w:hAnsi="Times New Roman" w:cs="Times New Roman"/>
                    </w:rPr>
                  </w:pPr>
                </w:p>
              </w:tc>
              <w:tc>
                <w:tcPr>
                  <w:tcW w:w="827" w:type="pct"/>
                  <w:vAlign w:val="top"/>
                </w:tcPr>
                <w:p w14:paraId="10AC41D0">
                  <w:pPr>
                    <w:pStyle w:val="12"/>
                    <w:ind w:firstLine="0" w:firstLineChars="0"/>
                    <w:rPr>
                      <w:rFonts w:hint="default" w:ascii="Times New Roman" w:hAnsi="Times New Roman" w:cs="Times New Roman"/>
                    </w:rPr>
                  </w:pPr>
                  <w:r>
                    <w:rPr>
                      <w:rFonts w:hint="default" w:ascii="Times New Roman" w:hAnsi="Times New Roman" w:cs="Times New Roman"/>
                    </w:rPr>
                    <w:t>202</w:t>
                  </w:r>
                  <w:r>
                    <w:rPr>
                      <w:rFonts w:hint="eastAsia" w:ascii="Times New Roman" w:hAnsi="Times New Roman" w:cs="Times New Roman"/>
                      <w:lang w:val="en-US" w:eastAsia="zh-CN"/>
                    </w:rPr>
                    <w:t>5</w:t>
                  </w:r>
                  <w:r>
                    <w:rPr>
                      <w:rFonts w:hint="default" w:ascii="Times New Roman" w:hAnsi="Times New Roman" w:cs="Times New Roman"/>
                    </w:rPr>
                    <w:t>.</w:t>
                  </w:r>
                  <w:r>
                    <w:rPr>
                      <w:rFonts w:hint="eastAsia" w:ascii="Times New Roman" w:hAnsi="Times New Roman" w:cs="Times New Roman"/>
                      <w:lang w:val="en-US" w:eastAsia="zh-CN"/>
                    </w:rPr>
                    <w:t>10.10</w:t>
                  </w:r>
                </w:p>
              </w:tc>
              <w:tc>
                <w:tcPr>
                  <w:tcW w:w="419" w:type="pct"/>
                  <w:vAlign w:val="center"/>
                </w:tcPr>
                <w:p w14:paraId="693840B1">
                  <w:pPr>
                    <w:numPr>
                      <w:ilvl w:val="0"/>
                      <w:numId w:val="0"/>
                    </w:numPr>
                    <w:spacing w:line="240" w:lineRule="auto"/>
                    <w:ind w:left="0" w:leftChars="0" w:firstLine="0" w:firstLineChars="0"/>
                    <w:jc w:val="center"/>
                    <w:rPr>
                      <w:rFonts w:hint="default" w:ascii="Times New Roman" w:hAnsi="Times New Roman" w:cs="Times New Roman"/>
                    </w:rPr>
                  </w:pPr>
                  <w:r>
                    <w:rPr>
                      <w:rFonts w:hint="eastAsia" w:ascii="Times New Roman" w:hAnsi="Times New Roman" w:eastAsia="宋体" w:cs="Times New Roman"/>
                      <w:b w:val="0"/>
                      <w:bCs w:val="0"/>
                      <w:kern w:val="2"/>
                      <w:sz w:val="21"/>
                      <w:szCs w:val="21"/>
                      <w:highlight w:val="none"/>
                      <w:vertAlign w:val="baseline"/>
                      <w:lang w:val="en-US" w:eastAsia="zh-CN" w:bidi="ar-SA"/>
                    </w:rPr>
                    <w:t>0.022</w:t>
                  </w:r>
                </w:p>
              </w:tc>
              <w:tc>
                <w:tcPr>
                  <w:tcW w:w="421" w:type="pct"/>
                  <w:vAlign w:val="center"/>
                </w:tcPr>
                <w:p w14:paraId="2E16AD8E">
                  <w:pPr>
                    <w:numPr>
                      <w:ilvl w:val="0"/>
                      <w:numId w:val="0"/>
                    </w:numPr>
                    <w:spacing w:line="240" w:lineRule="auto"/>
                    <w:ind w:left="0" w:leftChars="0" w:firstLine="0" w:firstLineChars="0"/>
                    <w:jc w:val="center"/>
                    <w:rPr>
                      <w:rFonts w:hint="default" w:ascii="Times New Roman" w:hAnsi="Times New Roman" w:cs="Times New Roman"/>
                    </w:rPr>
                  </w:pPr>
                  <w:r>
                    <w:rPr>
                      <w:rFonts w:hint="eastAsia" w:ascii="Times New Roman" w:hAnsi="Times New Roman" w:eastAsia="宋体" w:cs="Times New Roman"/>
                      <w:b w:val="0"/>
                      <w:bCs w:val="0"/>
                      <w:kern w:val="2"/>
                      <w:sz w:val="21"/>
                      <w:szCs w:val="21"/>
                      <w:highlight w:val="none"/>
                      <w:vertAlign w:val="baseline"/>
                      <w:lang w:val="en-US" w:eastAsia="zh-CN" w:bidi="ar-SA"/>
                    </w:rPr>
                    <w:t>0.023</w:t>
                  </w:r>
                </w:p>
              </w:tc>
              <w:tc>
                <w:tcPr>
                  <w:tcW w:w="419" w:type="pct"/>
                  <w:vAlign w:val="center"/>
                </w:tcPr>
                <w:p w14:paraId="370CDF9A">
                  <w:pPr>
                    <w:numPr>
                      <w:ilvl w:val="0"/>
                      <w:numId w:val="0"/>
                    </w:numPr>
                    <w:spacing w:line="240" w:lineRule="auto"/>
                    <w:ind w:left="0" w:leftChars="0" w:firstLine="0" w:firstLineChars="0"/>
                    <w:jc w:val="center"/>
                    <w:rPr>
                      <w:rFonts w:hint="default" w:ascii="Times New Roman" w:hAnsi="Times New Roman" w:cs="Times New Roman"/>
                    </w:rPr>
                  </w:pPr>
                  <w:r>
                    <w:rPr>
                      <w:rFonts w:hint="eastAsia" w:ascii="Times New Roman" w:hAnsi="Times New Roman" w:eastAsia="宋体" w:cs="Times New Roman"/>
                      <w:b w:val="0"/>
                      <w:bCs w:val="0"/>
                      <w:kern w:val="2"/>
                      <w:sz w:val="21"/>
                      <w:szCs w:val="21"/>
                      <w:highlight w:val="none"/>
                      <w:vertAlign w:val="baseline"/>
                      <w:lang w:val="en-US" w:eastAsia="zh-CN" w:bidi="ar-SA"/>
                    </w:rPr>
                    <w:t>0.021</w:t>
                  </w:r>
                </w:p>
              </w:tc>
              <w:tc>
                <w:tcPr>
                  <w:tcW w:w="422" w:type="pct"/>
                  <w:vAlign w:val="center"/>
                </w:tcPr>
                <w:p w14:paraId="3B6595AA">
                  <w:pPr>
                    <w:numPr>
                      <w:ilvl w:val="0"/>
                      <w:numId w:val="0"/>
                    </w:numPr>
                    <w:spacing w:line="240" w:lineRule="auto"/>
                    <w:ind w:left="0" w:leftChars="0" w:firstLine="0" w:firstLineChars="0"/>
                    <w:jc w:val="center"/>
                    <w:rPr>
                      <w:rFonts w:hint="default" w:ascii="Times New Roman" w:hAnsi="Times New Roman" w:cs="Times New Roman"/>
                    </w:rPr>
                  </w:pPr>
                  <w:r>
                    <w:rPr>
                      <w:rFonts w:hint="eastAsia" w:ascii="Times New Roman" w:hAnsi="Times New Roman" w:eastAsia="宋体" w:cs="Times New Roman"/>
                      <w:b w:val="0"/>
                      <w:bCs w:val="0"/>
                      <w:kern w:val="2"/>
                      <w:sz w:val="21"/>
                      <w:szCs w:val="21"/>
                      <w:highlight w:val="none"/>
                      <w:vertAlign w:val="baseline"/>
                      <w:lang w:val="en-US" w:eastAsia="zh-CN" w:bidi="ar-SA"/>
                    </w:rPr>
                    <w:t>0.022</w:t>
                  </w:r>
                </w:p>
              </w:tc>
              <w:tc>
                <w:tcPr>
                  <w:tcW w:w="791" w:type="pct"/>
                  <w:vMerge w:val="continue"/>
                  <w:vAlign w:val="center"/>
                </w:tcPr>
                <w:p w14:paraId="432B7113">
                  <w:pPr>
                    <w:pStyle w:val="12"/>
                    <w:rPr>
                      <w:rFonts w:hint="default" w:ascii="Times New Roman" w:hAnsi="Times New Roman" w:cs="Times New Roman"/>
                    </w:rPr>
                  </w:pPr>
                </w:p>
              </w:tc>
              <w:tc>
                <w:tcPr>
                  <w:tcW w:w="787" w:type="pct"/>
                  <w:vAlign w:val="center"/>
                </w:tcPr>
                <w:p w14:paraId="749DC954">
                  <w:pPr>
                    <w:pStyle w:val="12"/>
                    <w:rPr>
                      <w:rFonts w:hint="default" w:ascii="Times New Roman" w:hAnsi="Times New Roman" w:cs="Times New Roman"/>
                    </w:rPr>
                  </w:pPr>
                  <w:r>
                    <w:rPr>
                      <w:rFonts w:hint="default" w:ascii="Times New Roman" w:hAnsi="Times New Roman" w:cs="Times New Roman"/>
                    </w:rPr>
                    <w:t>达标</w:t>
                  </w:r>
                </w:p>
              </w:tc>
            </w:tr>
          </w:tbl>
          <w:p w14:paraId="6962741E">
            <w:pPr>
              <w:keepNext w:val="0"/>
              <w:keepLines w:val="0"/>
              <w:pageBreakBefore w:val="0"/>
              <w:widowControl w:val="0"/>
              <w:kinsoku w:val="0"/>
              <w:wordWrap/>
              <w:overflowPunct w:val="0"/>
              <w:topLinePunct w:val="0"/>
              <w:autoSpaceDE/>
              <w:autoSpaceDN/>
              <w:bidi w:val="0"/>
              <w:adjustRightInd/>
              <w:snapToGrid/>
              <w:ind w:firstLine="480"/>
              <w:textAlignment w:val="auto"/>
              <w:rPr>
                <w:rFonts w:hint="default" w:ascii="Times New Roman" w:hAnsi="Times New Roman" w:cs="Times New Roman"/>
              </w:rPr>
            </w:pPr>
            <w:r>
              <w:rPr>
                <w:rFonts w:hint="default" w:ascii="Times New Roman" w:hAnsi="Times New Roman" w:cs="Times New Roman"/>
              </w:rPr>
              <w:t>由上述表格的监测评价结果可以得出，本次环境空气现状监测点位总悬浮颗粒物、氮氧化物满足《环境空气质量标准》（GB3095-2012）中的二级标准，</w:t>
            </w:r>
            <w:r>
              <w:rPr>
                <w:rFonts w:hint="default" w:ascii="Times New Roman" w:hAnsi="Times New Roman" w:cs="Times New Roman"/>
                <w:bCs/>
                <w:snapToGrid w:val="0"/>
                <w:color w:val="auto"/>
                <w:kern w:val="0"/>
                <w:sz w:val="24"/>
                <w:highlight w:val="none"/>
              </w:rPr>
              <w:t>氟化物</w:t>
            </w:r>
            <w:r>
              <w:rPr>
                <w:rFonts w:hint="eastAsia" w:ascii="Times New Roman" w:hAnsi="Times New Roman" w:cs="Times New Roman"/>
                <w:bCs/>
                <w:snapToGrid w:val="0"/>
                <w:color w:val="auto"/>
                <w:kern w:val="0"/>
                <w:sz w:val="24"/>
                <w:highlight w:val="none"/>
                <w:lang w:val="en-US" w:eastAsia="zh-CN"/>
              </w:rPr>
              <w:t>满足</w:t>
            </w:r>
            <w:r>
              <w:rPr>
                <w:rFonts w:hint="default" w:ascii="Times New Roman" w:hAnsi="Times New Roman" w:cs="Times New Roman"/>
                <w:bCs/>
                <w:snapToGrid w:val="0"/>
                <w:color w:val="auto"/>
                <w:kern w:val="0"/>
                <w:sz w:val="24"/>
                <w:highlight w:val="none"/>
              </w:rPr>
              <w:t>《环境空气质量标准》（GB3095-2012）附录A参考浓度限值；二噁英类参照执行日本环境质量标准（2002年7月环境省告示第46号）</w:t>
            </w:r>
            <w:r>
              <w:rPr>
                <w:rFonts w:hint="default" w:ascii="Times New Roman" w:hAnsi="Times New Roman" w:cs="Times New Roman"/>
              </w:rPr>
              <w:t>。</w:t>
            </w:r>
          </w:p>
          <w:p w14:paraId="0F66BE57">
            <w:pPr>
              <w:keepNext w:val="0"/>
              <w:keepLines w:val="0"/>
              <w:pageBreakBefore w:val="0"/>
              <w:widowControl w:val="0"/>
              <w:kinsoku w:val="0"/>
              <w:wordWrap/>
              <w:overflowPunct w:val="0"/>
              <w:topLinePunct w:val="0"/>
              <w:autoSpaceDE/>
              <w:autoSpaceDN/>
              <w:bidi w:val="0"/>
              <w:adjustRightInd/>
              <w:snapToGrid/>
              <w:ind w:firstLine="480"/>
              <w:textAlignment w:val="auto"/>
              <w:rPr>
                <w:rFonts w:hint="default" w:ascii="Times New Roman" w:hAnsi="Times New Roman" w:eastAsia="宋体" w:cs="Times New Roman"/>
                <w:lang w:val="en-US" w:eastAsia="zh-CN"/>
              </w:rPr>
            </w:pPr>
            <w:r>
              <w:rPr>
                <w:rFonts w:hint="eastAsia" w:ascii="Times New Roman" w:hAnsi="Times New Roman" w:cs="Times New Roman"/>
                <w:lang w:val="en-US" w:eastAsia="zh-CN"/>
              </w:rPr>
              <w:t>综上所述，区域环境空气质量现状良好。</w:t>
            </w:r>
          </w:p>
          <w:p w14:paraId="5053FF1C">
            <w:pPr>
              <w:pStyle w:val="3"/>
              <w:spacing w:before="163"/>
              <w:rPr>
                <w:rFonts w:hint="default" w:ascii="Times New Roman" w:hAnsi="Times New Roman" w:cs="Times New Roman"/>
              </w:rPr>
            </w:pPr>
            <w:r>
              <w:rPr>
                <w:rFonts w:hint="default" w:ascii="Times New Roman" w:hAnsi="Times New Roman" w:cs="Times New Roman"/>
              </w:rPr>
              <w:t>2、地表水环境质量现状</w:t>
            </w:r>
          </w:p>
          <w:p w14:paraId="71F48DE6">
            <w:pPr>
              <w:ind w:firstLine="480"/>
              <w:rPr>
                <w:rFonts w:hint="default" w:ascii="Times New Roman" w:hAnsi="Times New Roman" w:cs="Times New Roman"/>
              </w:rPr>
            </w:pPr>
            <w:r>
              <w:rPr>
                <w:rFonts w:hint="default" w:ascii="Times New Roman" w:hAnsi="Times New Roman" w:cs="Times New Roman"/>
              </w:rPr>
              <w:t>本项目废水主要为生活污水</w:t>
            </w:r>
            <w:r>
              <w:rPr>
                <w:rFonts w:hint="eastAsia" w:ascii="Times New Roman" w:hAnsi="Times New Roman" w:cs="Times New Roman"/>
                <w:lang w:val="en-US" w:eastAsia="zh-CN"/>
              </w:rPr>
              <w:t>和压滤废水</w:t>
            </w:r>
            <w:r>
              <w:rPr>
                <w:rFonts w:hint="eastAsia" w:cs="Times New Roman"/>
                <w:lang w:val="en-US" w:eastAsia="zh-CN"/>
              </w:rPr>
              <w:t>。压滤废水部分回用于生产，剩余部分委托四川洁安环境科技有限公司清运处理；仅外排</w:t>
            </w:r>
            <w:r>
              <w:rPr>
                <w:rFonts w:hint="eastAsia" w:ascii="Times New Roman" w:hAnsi="Times New Roman" w:cs="Times New Roman"/>
                <w:lang w:val="en-US" w:eastAsia="zh-CN"/>
              </w:rPr>
              <w:t>生活污水</w:t>
            </w:r>
            <w:r>
              <w:rPr>
                <w:rFonts w:hint="eastAsia" w:cs="Times New Roman"/>
                <w:lang w:val="en-US" w:eastAsia="zh-CN"/>
              </w:rPr>
              <w:t>，经</w:t>
            </w:r>
            <w:r>
              <w:rPr>
                <w:rFonts w:hint="eastAsia" w:ascii="Times New Roman" w:hAnsi="Times New Roman" w:cs="Times New Roman"/>
                <w:lang w:val="en-US" w:eastAsia="zh-CN"/>
              </w:rPr>
              <w:t>预处理后排入园区污水管网，送星光工业园区污水处理厂处理，达标后排入巴河。</w:t>
            </w:r>
          </w:p>
          <w:p w14:paraId="71F99AF2">
            <w:pPr>
              <w:ind w:firstLine="480"/>
              <w:rPr>
                <w:rFonts w:hint="default" w:ascii="Times New Roman" w:hAnsi="Times New Roman" w:cs="Times New Roman"/>
              </w:rPr>
            </w:pPr>
            <w:r>
              <w:rPr>
                <w:rFonts w:hint="default" w:ascii="Times New Roman" w:hAnsi="Times New Roman" w:cs="Times New Roman"/>
              </w:rPr>
              <w:t>根据《环境影响评价技术导则-地面水环境》（HJ/2.3-2018）中水质调查时期要求：</w:t>
            </w:r>
            <w:r>
              <w:rPr>
                <w:rFonts w:hint="eastAsia" w:ascii="宋体" w:hAnsi="宋体" w:eastAsia="宋体" w:cs="宋体"/>
              </w:rPr>
              <w:t>“</w:t>
            </w:r>
            <w:r>
              <w:rPr>
                <w:rFonts w:hint="default" w:ascii="Times New Roman" w:hAnsi="Times New Roman" w:cs="Times New Roman"/>
              </w:rPr>
              <w:t>三级B评</w:t>
            </w:r>
            <w:r>
              <w:rPr>
                <w:rFonts w:hint="eastAsia" w:ascii="宋体" w:hAnsi="宋体" w:eastAsia="宋体" w:cs="宋体"/>
              </w:rPr>
              <w:t>价，可不考虑评价时期”。</w:t>
            </w:r>
            <w:r>
              <w:rPr>
                <w:rFonts w:hint="default" w:ascii="Times New Roman" w:hAnsi="Times New Roman" w:cs="Times New Roman"/>
              </w:rPr>
              <w:t>根据《建设项目环境影响报告表编制技术指南（污染影响类）（试行）》，区域地表水环境常规污染物引用与建设项目距离近的有效数据，包括近3年的规划环境影响评价的监测数据，所在流域控制单元内国家、地方控制断面监测数据，生态环境主管部门发布的水环境质量数据或地表水达标情况的结论。本项目位于四川巴中经济开发区，因此，本次评价引用</w:t>
            </w:r>
            <w:r>
              <w:rPr>
                <w:rFonts w:hint="eastAsia"/>
                <w:color w:val="auto"/>
                <w:lang w:eastAsia="zh-CN"/>
              </w:rPr>
              <w:t>《平昌县202</w:t>
            </w:r>
            <w:r>
              <w:rPr>
                <w:rFonts w:hint="eastAsia"/>
                <w:color w:val="auto"/>
                <w:lang w:val="en-US" w:eastAsia="zh-CN"/>
              </w:rPr>
              <w:t>5</w:t>
            </w:r>
            <w:r>
              <w:rPr>
                <w:rFonts w:hint="eastAsia"/>
                <w:color w:val="auto"/>
                <w:lang w:eastAsia="zh-CN"/>
              </w:rPr>
              <w:t>年度生态环境质量状况公报》</w:t>
            </w:r>
            <w:r>
              <w:rPr>
                <w:rFonts w:hint="default" w:ascii="Times New Roman" w:hAnsi="Times New Roman" w:cs="Times New Roman"/>
              </w:rPr>
              <w:t>满足指南要求。</w:t>
            </w:r>
          </w:p>
          <w:p w14:paraId="7DAD9E78">
            <w:pPr>
              <w:ind w:firstLine="480"/>
              <w:rPr>
                <w:rFonts w:hint="default" w:ascii="Times New Roman" w:hAnsi="Times New Roman" w:cs="Times New Roman"/>
              </w:rPr>
            </w:pPr>
            <w:r>
              <w:rPr>
                <w:rFonts w:hint="default" w:ascii="Times New Roman" w:hAnsi="Times New Roman" w:cs="Times New Roman"/>
              </w:rPr>
              <w:t>根据</w:t>
            </w:r>
            <w:r>
              <w:rPr>
                <w:rFonts w:hint="eastAsia"/>
                <w:color w:val="auto"/>
                <w:lang w:eastAsia="zh-CN"/>
              </w:rPr>
              <w:t>《平昌县202</w:t>
            </w:r>
            <w:r>
              <w:rPr>
                <w:rFonts w:hint="eastAsia"/>
                <w:color w:val="auto"/>
                <w:lang w:val="en-US" w:eastAsia="zh-CN"/>
              </w:rPr>
              <w:t>5</w:t>
            </w:r>
            <w:r>
              <w:rPr>
                <w:rFonts w:hint="eastAsia"/>
                <w:color w:val="auto"/>
                <w:lang w:eastAsia="zh-CN"/>
              </w:rPr>
              <w:t>年度生态环境质量状况公报》</w:t>
            </w:r>
            <w:r>
              <w:rPr>
                <w:rFonts w:hint="default" w:ascii="Times New Roman" w:hAnsi="Times New Roman" w:eastAsia="宋体" w:cs="Times New Roman"/>
              </w:rPr>
              <w:t>，</w:t>
            </w:r>
            <w:r>
              <w:rPr>
                <w:rFonts w:hint="eastAsia" w:ascii="Times New Roman" w:hAnsi="Times New Roman" w:eastAsia="宋体" w:cs="Times New Roman"/>
              </w:rPr>
              <w:t>202</w:t>
            </w:r>
            <w:r>
              <w:rPr>
                <w:rFonts w:hint="eastAsia" w:cs="Times New Roman"/>
                <w:lang w:val="en-US" w:eastAsia="zh-CN"/>
              </w:rPr>
              <w:t>5</w:t>
            </w:r>
            <w:r>
              <w:rPr>
                <w:rFonts w:hint="eastAsia" w:ascii="Times New Roman" w:hAnsi="Times New Roman" w:eastAsia="宋体" w:cs="Times New Roman"/>
              </w:rPr>
              <w:t>年1月—12月，</w:t>
            </w:r>
            <w:r>
              <w:rPr>
                <w:rFonts w:hint="eastAsia"/>
                <w:color w:val="auto"/>
              </w:rPr>
              <w:t>大石盘、木梁溪、小滩子、红谷梁、道河湾</w:t>
            </w:r>
            <w:r>
              <w:rPr>
                <w:rFonts w:hint="default"/>
                <w:color w:val="auto"/>
              </w:rPr>
              <w:t>5</w:t>
            </w:r>
            <w:r>
              <w:rPr>
                <w:rFonts w:hint="eastAsia"/>
                <w:color w:val="auto"/>
              </w:rPr>
              <w:t>个主要河流地表水监测断面水质均达</w:t>
            </w:r>
            <w:r>
              <w:rPr>
                <w:rFonts w:hint="default"/>
                <w:color w:val="auto"/>
              </w:rPr>
              <w:t>Ⅲ</w:t>
            </w:r>
            <w:r>
              <w:rPr>
                <w:rFonts w:hint="eastAsia"/>
                <w:color w:val="auto"/>
              </w:rPr>
              <w:t>类及以上标准，达标率</w:t>
            </w:r>
            <w:r>
              <w:rPr>
                <w:rFonts w:hint="default"/>
                <w:color w:val="auto"/>
              </w:rPr>
              <w:t>100%</w:t>
            </w:r>
            <w:r>
              <w:rPr>
                <w:rFonts w:hint="default" w:ascii="Times New Roman" w:hAnsi="Times New Roman" w:eastAsia="宋体" w:cs="Times New Roman"/>
              </w:rPr>
              <w:t>。</w:t>
            </w:r>
          </w:p>
          <w:p w14:paraId="6041DA6F">
            <w:pPr>
              <w:ind w:firstLine="480"/>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本项目位于四川省巴中市平昌县星光工业园施迈路</w:t>
            </w:r>
            <w:r>
              <w:rPr>
                <w:rFonts w:hint="default" w:ascii="Times New Roman" w:hAnsi="Times New Roman" w:eastAsia="宋体" w:cs="Times New Roman"/>
                <w:lang w:val="en-US" w:eastAsia="zh-CN"/>
              </w:rPr>
              <w:t>1</w:t>
            </w:r>
            <w:r>
              <w:rPr>
                <w:rFonts w:hint="eastAsia" w:ascii="Times New Roman" w:hAnsi="Times New Roman" w:eastAsia="宋体" w:cs="Times New Roman"/>
                <w:lang w:val="en-US" w:eastAsia="zh-CN"/>
              </w:rPr>
              <w:t>号，距离上游断面红谷梁断面约</w:t>
            </w:r>
            <w:r>
              <w:rPr>
                <w:rFonts w:hint="default" w:ascii="Times New Roman" w:hAnsi="Times New Roman" w:eastAsia="宋体" w:cs="Times New Roman"/>
                <w:lang w:val="en-US" w:eastAsia="zh-CN"/>
              </w:rPr>
              <w:t>1.55km</w:t>
            </w:r>
            <w:r>
              <w:rPr>
                <w:rFonts w:hint="eastAsia" w:ascii="Times New Roman" w:hAnsi="Times New Roman" w:eastAsia="宋体" w:cs="Times New Roman"/>
                <w:lang w:val="en-US" w:eastAsia="zh-CN"/>
              </w:rPr>
              <w:t>，距离下游道河湾断面约</w:t>
            </w:r>
            <w:r>
              <w:rPr>
                <w:rFonts w:hint="default" w:ascii="Times New Roman" w:hAnsi="Times New Roman" w:eastAsia="宋体" w:cs="Times New Roman"/>
                <w:lang w:val="en-US" w:eastAsia="zh-CN"/>
              </w:rPr>
              <w:t>11.14km</w:t>
            </w:r>
            <w:r>
              <w:rPr>
                <w:rFonts w:hint="eastAsia" w:ascii="Times New Roman" w:hAnsi="Times New Roman" w:eastAsia="宋体" w:cs="Times New Roman"/>
                <w:lang w:val="en-US" w:eastAsia="zh-CN"/>
              </w:rPr>
              <w:t>，此两处断面水质均达</w:t>
            </w:r>
            <w:r>
              <w:rPr>
                <w:rFonts w:hint="default" w:ascii="Times New Roman" w:hAnsi="Times New Roman" w:eastAsia="宋体" w:cs="Times New Roman"/>
                <w:lang w:val="en-US" w:eastAsia="zh-CN"/>
              </w:rPr>
              <w:t>Ⅲ</w:t>
            </w:r>
            <w:r>
              <w:rPr>
                <w:rFonts w:hint="eastAsia" w:ascii="Times New Roman" w:hAnsi="Times New Roman" w:eastAsia="宋体" w:cs="Times New Roman"/>
                <w:lang w:val="en-US" w:eastAsia="zh-CN"/>
              </w:rPr>
              <w:t>类及以上标准，因此，区域巴河河段水环境质量现状良好。</w:t>
            </w:r>
          </w:p>
          <w:p w14:paraId="7647A161">
            <w:pPr>
              <w:bidi w:val="0"/>
              <w:rPr>
                <w:rFonts w:hint="default"/>
                <w:color w:val="auto"/>
              </w:rPr>
            </w:pPr>
            <w:r>
              <w:rPr>
                <w:rFonts w:hint="eastAsia"/>
                <w:color w:val="auto"/>
                <w:lang w:val="en-US" w:eastAsia="zh-CN"/>
              </w:rPr>
              <w:t>综上，</w:t>
            </w:r>
            <w:r>
              <w:rPr>
                <w:rFonts w:hint="default"/>
                <w:color w:val="auto"/>
                <w:lang w:val="en-US" w:eastAsia="zh-CN"/>
              </w:rPr>
              <w:t>项目所在区域地表水能够满足《地表水环境质量标准》（GB3838-2002）</w:t>
            </w:r>
            <w:r>
              <w:rPr>
                <w:rFonts w:hint="eastAsia"/>
                <w:color w:val="auto"/>
                <w:lang w:val="en-US" w:eastAsia="zh-CN"/>
              </w:rPr>
              <w:t>Ⅲ类</w:t>
            </w:r>
            <w:r>
              <w:rPr>
                <w:rFonts w:hint="default"/>
                <w:color w:val="auto"/>
                <w:lang w:val="en-US" w:eastAsia="zh-CN"/>
              </w:rPr>
              <w:t>水域标准。项目区域地表水水质较好。</w:t>
            </w:r>
          </w:p>
          <w:p w14:paraId="1925DDB3">
            <w:pPr>
              <w:pStyle w:val="3"/>
              <w:spacing w:before="163"/>
              <w:rPr>
                <w:rFonts w:hint="default" w:ascii="Times New Roman" w:hAnsi="Times New Roman" w:cs="Times New Roman"/>
              </w:rPr>
            </w:pPr>
            <w:r>
              <w:rPr>
                <w:rFonts w:hint="default" w:ascii="Times New Roman" w:hAnsi="Times New Roman" w:cs="Times New Roman"/>
              </w:rPr>
              <w:t>3、声环境质量</w:t>
            </w:r>
          </w:p>
          <w:p w14:paraId="1A696DD9">
            <w:pPr>
              <w:ind w:firstLine="480"/>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依据《建设项目环境影响报告表编制技术指南（污染影响类）</w:t>
            </w:r>
            <w:r>
              <w:rPr>
                <w:rFonts w:hint="eastAsia" w:cs="Times New Roman"/>
                <w:lang w:val="en-US" w:eastAsia="zh-CN"/>
              </w:rPr>
              <w:t>（试行）》</w:t>
            </w:r>
            <w:r>
              <w:rPr>
                <w:rFonts w:hint="eastAsia" w:ascii="Times New Roman" w:hAnsi="Times New Roman" w:eastAsia="宋体" w:cs="Times New Roman"/>
                <w:lang w:val="en-US" w:eastAsia="zh-CN"/>
              </w:rPr>
              <w:t>“声环境厂界外</w:t>
            </w:r>
            <w:r>
              <w:rPr>
                <w:rFonts w:hint="default" w:ascii="Times New Roman" w:hAnsi="Times New Roman" w:eastAsia="宋体" w:cs="Times New Roman"/>
                <w:lang w:val="en-US" w:eastAsia="zh-CN"/>
              </w:rPr>
              <w:t>50</w:t>
            </w:r>
            <w:r>
              <w:rPr>
                <w:rFonts w:hint="eastAsia" w:ascii="Times New Roman" w:hAnsi="Times New Roman" w:eastAsia="宋体" w:cs="Times New Roman"/>
                <w:lang w:val="en-US" w:eastAsia="zh-CN"/>
              </w:rPr>
              <w:t>米范围内存在声环境保护目标的建设项目，应监测保护目标声环境质量现状并评价达标情况”。</w:t>
            </w:r>
          </w:p>
          <w:p w14:paraId="5F5864D4">
            <w:pPr>
              <w:ind w:firstLine="480"/>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本项目位于</w:t>
            </w:r>
            <w:r>
              <w:rPr>
                <w:rFonts w:hint="eastAsia" w:cs="Times New Roman"/>
              </w:rPr>
              <w:t>平昌经济开发区星光机械制造产业片区</w:t>
            </w:r>
            <w:r>
              <w:rPr>
                <w:rFonts w:hint="eastAsia" w:ascii="Times New Roman" w:hAnsi="Times New Roman" w:eastAsia="宋体" w:cs="Times New Roman"/>
                <w:lang w:val="en-US" w:eastAsia="zh-CN"/>
              </w:rPr>
              <w:t>内，经调查，项目厂界外</w:t>
            </w:r>
            <w:r>
              <w:rPr>
                <w:rFonts w:hint="default" w:ascii="Times New Roman" w:hAnsi="Times New Roman" w:eastAsia="宋体" w:cs="Times New Roman"/>
                <w:lang w:val="en-US" w:eastAsia="zh-CN"/>
              </w:rPr>
              <w:t>50</w:t>
            </w:r>
            <w:r>
              <w:rPr>
                <w:rFonts w:hint="eastAsia" w:ascii="Times New Roman" w:hAnsi="Times New Roman" w:eastAsia="宋体" w:cs="Times New Roman"/>
                <w:lang w:val="en-US" w:eastAsia="zh-CN"/>
              </w:rPr>
              <w:t>米范围内无声环境保护目标。因此，无需开展声环境质量现状监测。</w:t>
            </w:r>
          </w:p>
          <w:p w14:paraId="707FB45D">
            <w:pPr>
              <w:pStyle w:val="3"/>
              <w:spacing w:before="163"/>
              <w:rPr>
                <w:rFonts w:hint="default" w:ascii="Times New Roman" w:hAnsi="Times New Roman" w:cs="Times New Roman"/>
              </w:rPr>
            </w:pPr>
            <w:r>
              <w:rPr>
                <w:rFonts w:hint="default" w:ascii="Times New Roman" w:hAnsi="Times New Roman" w:cs="Times New Roman"/>
              </w:rPr>
              <w:t>4、生态环境</w:t>
            </w:r>
          </w:p>
          <w:p w14:paraId="620D210F">
            <w:pPr>
              <w:ind w:firstLine="480"/>
              <w:rPr>
                <w:rFonts w:hint="default" w:ascii="Times New Roman" w:hAnsi="Times New Roman" w:cs="Times New Roman"/>
              </w:rPr>
            </w:pPr>
            <w:r>
              <w:rPr>
                <w:rFonts w:hint="default" w:ascii="Times New Roman" w:hAnsi="Times New Roman" w:cs="Times New Roman"/>
              </w:rPr>
              <w:t>根据《建设项目环境影响报告表编制技术指南》（污染影响类）（试行），</w:t>
            </w:r>
            <w:r>
              <w:rPr>
                <w:rFonts w:hint="eastAsia" w:ascii="宋体" w:hAnsi="宋体" w:eastAsia="宋体" w:cs="宋体"/>
              </w:rPr>
              <w:t>“产业园区外建设项目新增用地且用地范围内含有生态环境保护目标时，应进行生态现状调查”。</w:t>
            </w:r>
          </w:p>
          <w:p w14:paraId="4F6F0357">
            <w:pPr>
              <w:ind w:firstLine="480"/>
              <w:rPr>
                <w:rFonts w:hint="default" w:ascii="Times New Roman" w:hAnsi="Times New Roman" w:cs="Times New Roman"/>
              </w:rPr>
            </w:pPr>
            <w:r>
              <w:rPr>
                <w:rFonts w:hint="default" w:ascii="Times New Roman" w:hAnsi="Times New Roman" w:cs="Times New Roman"/>
              </w:rPr>
              <w:t>本项目位于</w:t>
            </w:r>
            <w:r>
              <w:rPr>
                <w:rFonts w:hint="eastAsia" w:cs="Times New Roman"/>
              </w:rPr>
              <w:t>平昌经济开发区星光机械制造产业片区</w:t>
            </w:r>
            <w:r>
              <w:rPr>
                <w:rFonts w:hint="default" w:ascii="Times New Roman" w:hAnsi="Times New Roman" w:cs="Times New Roman"/>
              </w:rPr>
              <w:t>内，租赁已建成厂房进行建设，</w:t>
            </w:r>
            <w:r>
              <w:rPr>
                <w:rFonts w:hint="eastAsia" w:ascii="Times New Roman" w:hAnsi="Times New Roman" w:cs="Times New Roman"/>
                <w:lang w:val="en-US" w:eastAsia="zh-CN"/>
              </w:rPr>
              <w:t>无新增用地，</w:t>
            </w:r>
            <w:r>
              <w:rPr>
                <w:rFonts w:hint="default" w:ascii="Times New Roman" w:hAnsi="Times New Roman" w:cs="Times New Roman"/>
              </w:rPr>
              <w:t>用地范围内不含有生态环境保护目标，因此可不进行生态现状调查。</w:t>
            </w:r>
          </w:p>
          <w:p w14:paraId="5F60C210">
            <w:pPr>
              <w:pStyle w:val="3"/>
              <w:spacing w:before="163"/>
              <w:rPr>
                <w:rFonts w:hint="default" w:ascii="Times New Roman" w:hAnsi="Times New Roman" w:cs="Times New Roman"/>
              </w:rPr>
            </w:pPr>
            <w:r>
              <w:rPr>
                <w:rFonts w:hint="default" w:ascii="Times New Roman" w:hAnsi="Times New Roman" w:cs="Times New Roman"/>
              </w:rPr>
              <w:t>5、地下水及土壤</w:t>
            </w:r>
          </w:p>
          <w:p w14:paraId="09E53035">
            <w:pPr>
              <w:ind w:firstLine="480"/>
              <w:rPr>
                <w:rFonts w:hint="default" w:ascii="Times New Roman" w:hAnsi="Times New Roman" w:cs="Times New Roman"/>
              </w:rPr>
            </w:pPr>
            <w:r>
              <w:rPr>
                <w:rFonts w:hint="default" w:ascii="Times New Roman" w:hAnsi="Times New Roman" w:cs="Times New Roman"/>
              </w:rPr>
              <w:t>本项目位于</w:t>
            </w:r>
            <w:r>
              <w:rPr>
                <w:rFonts w:hint="eastAsia" w:cs="Times New Roman"/>
              </w:rPr>
              <w:t>平昌经济开发区星光机械制造产业片区</w:t>
            </w:r>
            <w:r>
              <w:rPr>
                <w:rFonts w:hint="default" w:ascii="Times New Roman" w:hAnsi="Times New Roman" w:cs="Times New Roman"/>
              </w:rPr>
              <w:t>内</w:t>
            </w:r>
            <w:r>
              <w:rPr>
                <w:rFonts w:hint="eastAsia" w:ascii="Times New Roman" w:hAnsi="Times New Roman" w:eastAsia="宋体" w:cs="Times New Roman"/>
                <w:lang w:val="en-US" w:eastAsia="zh-CN"/>
              </w:rPr>
              <w:t>施迈路</w:t>
            </w:r>
            <w:r>
              <w:rPr>
                <w:rFonts w:hint="default" w:ascii="Times New Roman" w:hAnsi="Times New Roman" w:eastAsia="宋体" w:cs="Times New Roman"/>
                <w:lang w:val="en-US" w:eastAsia="zh-CN"/>
              </w:rPr>
              <w:t>1</w:t>
            </w:r>
            <w:r>
              <w:rPr>
                <w:rFonts w:hint="eastAsia" w:ascii="Times New Roman" w:hAnsi="Times New Roman" w:eastAsia="宋体" w:cs="Times New Roman"/>
                <w:lang w:val="en-US" w:eastAsia="zh-CN"/>
              </w:rPr>
              <w:t>号</w:t>
            </w:r>
            <w:r>
              <w:rPr>
                <w:rFonts w:hint="default" w:ascii="Times New Roman" w:hAnsi="Times New Roman" w:cs="Times New Roman"/>
              </w:rPr>
              <w:t>，根据现场调查，项目厂界外500m范围内无地下水集中式饮用水源和热水、矿泉水、温泉等特殊地下水资源。本项目不取用地下水，不向地下注水和排水，在采取分区防渗等相关保护措施后，项目不存在明显土壤、地下水环境污染途径。依据《建设项目环境影响报告表编制技术指南（污染影响类）（试行）》（环办环评〔2020〕33号），本次评价不开展地下水、土壤环境质量现状调查。</w:t>
            </w:r>
          </w:p>
        </w:tc>
      </w:tr>
      <w:tr w14:paraId="5B4F5AF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737" w:hRule="atLeast"/>
          <w:jc w:val="center"/>
        </w:trPr>
        <w:tc>
          <w:tcPr>
            <w:tcW w:w="213" w:type="pct"/>
            <w:shd w:val="clear" w:color="auto" w:fill="auto"/>
            <w:tcMar>
              <w:top w:w="16" w:type="dxa"/>
              <w:left w:w="16" w:type="dxa"/>
              <w:right w:w="16" w:type="dxa"/>
            </w:tcMar>
            <w:vAlign w:val="center"/>
          </w:tcPr>
          <w:p w14:paraId="60E1F745">
            <w:pPr>
              <w:pStyle w:val="24"/>
              <w:ind w:firstLine="0" w:firstLineChars="0"/>
              <w:rPr>
                <w:rFonts w:hint="default" w:ascii="Times New Roman" w:hAnsi="Times New Roman" w:eastAsia="宋体" w:cs="Times New Roman"/>
                <w:kern w:val="2"/>
                <w:sz w:val="21"/>
                <w:szCs w:val="22"/>
                <w:lang w:val="en-US" w:eastAsia="zh-CN" w:bidi="ar-SA"/>
              </w:rPr>
            </w:pPr>
            <w:r>
              <w:rPr>
                <w:rFonts w:hint="default" w:ascii="Times New Roman" w:hAnsi="Times New Roman" w:cs="Times New Roman"/>
                <w:sz w:val="24"/>
                <w:szCs w:val="28"/>
              </w:rPr>
              <w:t>环境保护目标</w:t>
            </w:r>
          </w:p>
        </w:tc>
        <w:tc>
          <w:tcPr>
            <w:tcW w:w="4786" w:type="pct"/>
            <w:shd w:val="clear" w:color="auto" w:fill="auto"/>
            <w:vAlign w:val="center"/>
          </w:tcPr>
          <w:p w14:paraId="2FC46D98">
            <w:pPr>
              <w:pStyle w:val="3"/>
              <w:spacing w:before="163"/>
              <w:rPr>
                <w:rFonts w:hint="default" w:ascii="Times New Roman" w:hAnsi="Times New Roman" w:cs="Times New Roman"/>
              </w:rPr>
            </w:pPr>
            <w:r>
              <w:rPr>
                <w:rFonts w:hint="default" w:ascii="Times New Roman" w:hAnsi="Times New Roman" w:cs="Times New Roman"/>
              </w:rPr>
              <w:t>1、主要环境保护目标</w:t>
            </w:r>
          </w:p>
          <w:p w14:paraId="414AFFBC">
            <w:pPr>
              <w:keepNext w:val="0"/>
              <w:keepLines w:val="0"/>
              <w:widowControl/>
              <w:suppressLineNumbers w:val="0"/>
              <w:jc w:val="left"/>
            </w:pPr>
            <w:r>
              <w:rPr>
                <w:rFonts w:hint="eastAsia" w:ascii="宋体" w:hAnsi="宋体" w:eastAsia="宋体" w:cs="宋体"/>
                <w:color w:val="000000"/>
                <w:kern w:val="0"/>
                <w:sz w:val="24"/>
                <w:szCs w:val="24"/>
                <w:lang w:val="en-US" w:eastAsia="zh-CN" w:bidi="ar"/>
              </w:rPr>
              <w:t>（</w:t>
            </w:r>
            <w:r>
              <w:rPr>
                <w:rFonts w:hint="default" w:ascii="Times New Roman" w:hAnsi="Times New Roman" w:eastAsia="宋体" w:cs="Times New Roman"/>
                <w:color w:val="000000"/>
                <w:kern w:val="0"/>
                <w:sz w:val="24"/>
                <w:szCs w:val="24"/>
                <w:lang w:val="en-US" w:eastAsia="zh-CN" w:bidi="ar"/>
              </w:rPr>
              <w:t>1</w:t>
            </w:r>
            <w:r>
              <w:rPr>
                <w:rFonts w:hint="eastAsia" w:ascii="宋体" w:hAnsi="宋体" w:eastAsia="宋体" w:cs="宋体"/>
                <w:color w:val="000000"/>
                <w:kern w:val="0"/>
                <w:sz w:val="24"/>
                <w:szCs w:val="24"/>
                <w:lang w:val="en-US" w:eastAsia="zh-CN" w:bidi="ar"/>
              </w:rPr>
              <w:t>）大气环境保护目标</w:t>
            </w:r>
          </w:p>
          <w:p w14:paraId="6D28BB12">
            <w:pPr>
              <w:keepNext w:val="0"/>
              <w:keepLines w:val="0"/>
              <w:widowControl/>
              <w:suppressLineNumbers w:val="0"/>
              <w:jc w:val="left"/>
            </w:pPr>
            <w:r>
              <w:rPr>
                <w:rFonts w:hint="eastAsia" w:ascii="宋体" w:hAnsi="宋体" w:cs="宋体"/>
                <w:color w:val="000000"/>
                <w:kern w:val="0"/>
                <w:sz w:val="24"/>
                <w:szCs w:val="24"/>
                <w:lang w:val="en-US" w:eastAsia="zh-CN" w:bidi="ar"/>
              </w:rPr>
              <w:t>本项目设置了大气专项评价，经过大气预测，评价等级为二级，根据《环境影响评价技术导则 大气环境</w:t>
            </w:r>
            <w:r>
              <w:rPr>
                <w:rFonts w:hint="default" w:ascii="Times New Roman" w:hAnsi="Times New Roman" w:cs="Times New Roman"/>
                <w:color w:val="000000"/>
                <w:kern w:val="0"/>
                <w:sz w:val="24"/>
                <w:szCs w:val="24"/>
                <w:lang w:val="en-US" w:eastAsia="zh-CN" w:bidi="ar"/>
              </w:rPr>
              <w:t>》（HJ2.2-2018）</w:t>
            </w:r>
            <w:r>
              <w:rPr>
                <w:rFonts w:hint="eastAsia" w:ascii="宋体" w:hAnsi="宋体" w:cs="宋体"/>
                <w:color w:val="000000"/>
                <w:kern w:val="0"/>
                <w:sz w:val="24"/>
                <w:szCs w:val="24"/>
                <w:lang w:val="en-US" w:eastAsia="zh-CN" w:bidi="ar"/>
              </w:rPr>
              <w:t>“二级评价项目大气环境影响评价范围边长</w:t>
            </w:r>
            <w:r>
              <w:rPr>
                <w:rFonts w:hint="default" w:ascii="Times New Roman" w:hAnsi="Times New Roman" w:cs="Times New Roman"/>
                <w:color w:val="000000"/>
                <w:kern w:val="0"/>
                <w:sz w:val="24"/>
                <w:szCs w:val="24"/>
                <w:lang w:val="en-US" w:eastAsia="zh-CN" w:bidi="ar"/>
              </w:rPr>
              <w:t>取5km</w:t>
            </w:r>
            <w:r>
              <w:rPr>
                <w:rFonts w:hint="eastAsia" w:ascii="宋体" w:hAnsi="宋体" w:cs="宋体"/>
                <w:color w:val="000000"/>
                <w:kern w:val="0"/>
                <w:sz w:val="24"/>
                <w:szCs w:val="24"/>
                <w:lang w:val="en-US" w:eastAsia="zh-CN" w:bidi="ar"/>
              </w:rPr>
              <w:t>”，因此，本项</w:t>
            </w:r>
            <w:r>
              <w:rPr>
                <w:rFonts w:hint="default" w:ascii="Times New Roman" w:hAnsi="Times New Roman" w:cs="Times New Roman"/>
                <w:color w:val="000000"/>
                <w:kern w:val="0"/>
                <w:sz w:val="24"/>
                <w:szCs w:val="24"/>
                <w:lang w:val="en-US" w:eastAsia="zh-CN" w:bidi="ar"/>
              </w:rPr>
              <w:t>目5km评价</w:t>
            </w:r>
            <w:r>
              <w:rPr>
                <w:rFonts w:hint="eastAsia" w:ascii="宋体" w:hAnsi="宋体" w:cs="宋体"/>
                <w:color w:val="000000"/>
                <w:kern w:val="0"/>
                <w:sz w:val="24"/>
                <w:szCs w:val="24"/>
                <w:lang w:val="en-US" w:eastAsia="zh-CN" w:bidi="ar"/>
              </w:rPr>
              <w:t>范围</w:t>
            </w:r>
            <w:r>
              <w:rPr>
                <w:rFonts w:hint="eastAsia" w:ascii="宋体" w:hAnsi="宋体" w:eastAsia="宋体" w:cs="宋体"/>
                <w:color w:val="000000"/>
                <w:kern w:val="0"/>
                <w:sz w:val="24"/>
                <w:szCs w:val="24"/>
                <w:lang w:val="en-US" w:eastAsia="zh-CN" w:bidi="ar"/>
              </w:rPr>
              <w:t>内大气环境保护目标</w:t>
            </w:r>
            <w:r>
              <w:rPr>
                <w:rFonts w:hint="eastAsia" w:ascii="宋体" w:hAnsi="宋体" w:cs="宋体"/>
                <w:color w:val="000000"/>
                <w:kern w:val="0"/>
                <w:sz w:val="24"/>
                <w:szCs w:val="24"/>
                <w:lang w:val="en-US" w:eastAsia="zh-CN" w:bidi="ar"/>
              </w:rPr>
              <w:t>多</w:t>
            </w:r>
            <w:r>
              <w:rPr>
                <w:rFonts w:hint="eastAsia" w:ascii="宋体" w:hAnsi="宋体" w:eastAsia="宋体" w:cs="宋体"/>
                <w:color w:val="000000"/>
                <w:kern w:val="0"/>
                <w:sz w:val="24"/>
                <w:szCs w:val="24"/>
                <w:lang w:val="en-US" w:eastAsia="zh-CN" w:bidi="ar"/>
              </w:rPr>
              <w:t>为居民。环境空气质量应达到《环境空气质量标准》（</w:t>
            </w:r>
            <w:r>
              <w:rPr>
                <w:rFonts w:hint="default" w:ascii="Times New Roman" w:hAnsi="Times New Roman" w:eastAsia="宋体" w:cs="Times New Roman"/>
                <w:color w:val="000000"/>
                <w:kern w:val="0"/>
                <w:sz w:val="24"/>
                <w:szCs w:val="24"/>
                <w:lang w:val="en-US" w:eastAsia="zh-CN" w:bidi="ar"/>
              </w:rPr>
              <w:t>GB3095-20</w:t>
            </w:r>
            <w:r>
              <w:rPr>
                <w:rFonts w:hint="eastAsia" w:cs="Times New Roman"/>
                <w:color w:val="000000"/>
                <w:kern w:val="0"/>
                <w:sz w:val="24"/>
                <w:szCs w:val="24"/>
                <w:lang w:val="en-US" w:eastAsia="zh-CN" w:bidi="ar"/>
              </w:rPr>
              <w:t>26</w:t>
            </w:r>
            <w:r>
              <w:rPr>
                <w:rFonts w:hint="eastAsia" w:ascii="宋体" w:hAnsi="宋体" w:eastAsia="宋体" w:cs="宋体"/>
                <w:color w:val="000000"/>
                <w:kern w:val="0"/>
                <w:sz w:val="24"/>
                <w:szCs w:val="24"/>
                <w:lang w:val="en-US" w:eastAsia="zh-CN" w:bidi="ar"/>
              </w:rPr>
              <w:t>）</w:t>
            </w:r>
            <w:r>
              <w:rPr>
                <w:rFonts w:hint="eastAsia" w:ascii="宋体" w:hAnsi="宋体" w:cs="宋体"/>
                <w:color w:val="000000"/>
                <w:kern w:val="0"/>
                <w:sz w:val="24"/>
                <w:szCs w:val="24"/>
                <w:lang w:val="en-US" w:eastAsia="zh-CN" w:bidi="ar"/>
              </w:rPr>
              <w:t>过渡阶段</w:t>
            </w:r>
            <w:r>
              <w:rPr>
                <w:rFonts w:hint="eastAsia" w:ascii="宋体" w:hAnsi="宋体" w:eastAsia="宋体" w:cs="宋体"/>
                <w:color w:val="000000"/>
                <w:kern w:val="0"/>
                <w:sz w:val="24"/>
                <w:szCs w:val="24"/>
                <w:lang w:val="en-US" w:eastAsia="zh-CN" w:bidi="ar"/>
              </w:rPr>
              <w:t>二级标准要求。</w:t>
            </w:r>
          </w:p>
          <w:p w14:paraId="257BD977">
            <w:pPr>
              <w:keepNext w:val="0"/>
              <w:keepLines w:val="0"/>
              <w:widowControl/>
              <w:suppressLineNumbers w:val="0"/>
              <w:jc w:val="left"/>
            </w:pPr>
            <w:r>
              <w:rPr>
                <w:rFonts w:hint="eastAsia" w:ascii="宋体" w:hAnsi="宋体" w:eastAsia="宋体" w:cs="宋体"/>
                <w:color w:val="000000"/>
                <w:kern w:val="0"/>
                <w:sz w:val="24"/>
                <w:szCs w:val="24"/>
                <w:lang w:val="en-US" w:eastAsia="zh-CN" w:bidi="ar"/>
              </w:rPr>
              <w:t>（</w:t>
            </w:r>
            <w:r>
              <w:rPr>
                <w:rFonts w:hint="default" w:ascii="Times New Roman" w:hAnsi="Times New Roman" w:eastAsia="宋体" w:cs="Times New Roman"/>
                <w:color w:val="000000"/>
                <w:kern w:val="0"/>
                <w:sz w:val="24"/>
                <w:szCs w:val="24"/>
                <w:lang w:val="en-US" w:eastAsia="zh-CN" w:bidi="ar"/>
              </w:rPr>
              <w:t>2</w:t>
            </w:r>
            <w:r>
              <w:rPr>
                <w:rFonts w:hint="eastAsia" w:ascii="宋体" w:hAnsi="宋体" w:eastAsia="宋体" w:cs="宋体"/>
                <w:color w:val="000000"/>
                <w:kern w:val="0"/>
                <w:sz w:val="24"/>
                <w:szCs w:val="24"/>
                <w:lang w:val="en-US" w:eastAsia="zh-CN" w:bidi="ar"/>
              </w:rPr>
              <w:t>）声环境保护目标</w:t>
            </w:r>
          </w:p>
          <w:p w14:paraId="72168295">
            <w:pPr>
              <w:keepNext w:val="0"/>
              <w:keepLines w:val="0"/>
              <w:widowControl/>
              <w:suppressLineNumbers w:val="0"/>
              <w:jc w:val="left"/>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本项目厂界外</w:t>
            </w:r>
            <w:r>
              <w:rPr>
                <w:rFonts w:hint="default" w:ascii="Times New Roman" w:hAnsi="Times New Roman" w:eastAsia="宋体" w:cs="Times New Roman"/>
                <w:color w:val="000000"/>
                <w:kern w:val="0"/>
                <w:sz w:val="24"/>
                <w:szCs w:val="24"/>
                <w:lang w:val="en-US" w:eastAsia="zh-CN" w:bidi="ar"/>
              </w:rPr>
              <w:t>50m</w:t>
            </w:r>
            <w:r>
              <w:rPr>
                <w:rFonts w:hint="eastAsia" w:ascii="宋体" w:hAnsi="宋体" w:eastAsia="宋体" w:cs="宋体"/>
                <w:color w:val="000000"/>
                <w:kern w:val="0"/>
                <w:sz w:val="24"/>
                <w:szCs w:val="24"/>
                <w:lang w:val="en-US" w:eastAsia="zh-CN" w:bidi="ar"/>
              </w:rPr>
              <w:t>无声环境保护目标。</w:t>
            </w:r>
          </w:p>
          <w:p w14:paraId="20738D3F">
            <w:pPr>
              <w:keepNext w:val="0"/>
              <w:keepLines w:val="0"/>
              <w:widowControl/>
              <w:suppressLineNumbers w:val="0"/>
              <w:jc w:val="left"/>
            </w:pPr>
            <w:r>
              <w:rPr>
                <w:rFonts w:hint="eastAsia" w:ascii="宋体" w:hAnsi="宋体" w:eastAsia="宋体" w:cs="宋体"/>
                <w:color w:val="000000"/>
                <w:kern w:val="0"/>
                <w:sz w:val="24"/>
                <w:szCs w:val="24"/>
                <w:lang w:val="en-US" w:eastAsia="zh-CN" w:bidi="ar"/>
              </w:rPr>
              <w:t>（</w:t>
            </w:r>
            <w:r>
              <w:rPr>
                <w:rFonts w:hint="default" w:ascii="Times New Roman" w:hAnsi="Times New Roman" w:eastAsia="宋体" w:cs="Times New Roman"/>
                <w:color w:val="000000"/>
                <w:kern w:val="0"/>
                <w:sz w:val="24"/>
                <w:szCs w:val="24"/>
                <w:lang w:val="en-US" w:eastAsia="zh-CN" w:bidi="ar"/>
              </w:rPr>
              <w:t>3</w:t>
            </w:r>
            <w:r>
              <w:rPr>
                <w:rFonts w:hint="eastAsia" w:ascii="宋体" w:hAnsi="宋体" w:eastAsia="宋体" w:cs="宋体"/>
                <w:color w:val="000000"/>
                <w:kern w:val="0"/>
                <w:sz w:val="24"/>
                <w:szCs w:val="24"/>
                <w:lang w:val="en-US" w:eastAsia="zh-CN" w:bidi="ar"/>
              </w:rPr>
              <w:t>）水环境保护目标</w:t>
            </w:r>
          </w:p>
          <w:p w14:paraId="0FA1E906">
            <w:pPr>
              <w:keepNext w:val="0"/>
              <w:keepLines w:val="0"/>
              <w:widowControl/>
              <w:suppressLineNumbers w:val="0"/>
              <w:jc w:val="left"/>
            </w:pPr>
            <w:r>
              <w:rPr>
                <w:rFonts w:hint="eastAsia" w:ascii="宋体" w:hAnsi="宋体" w:eastAsia="宋体" w:cs="宋体"/>
                <w:color w:val="000000"/>
                <w:kern w:val="0"/>
                <w:sz w:val="24"/>
                <w:szCs w:val="24"/>
                <w:lang w:val="en-US" w:eastAsia="zh-CN" w:bidi="ar"/>
              </w:rPr>
              <w:t>本项目雨污分流，</w:t>
            </w:r>
            <w:r>
              <w:rPr>
                <w:rFonts w:hint="eastAsia" w:ascii="宋体" w:hAnsi="宋体" w:cs="宋体"/>
                <w:color w:val="000000"/>
                <w:kern w:val="0"/>
                <w:sz w:val="24"/>
                <w:szCs w:val="24"/>
                <w:lang w:val="en-US" w:eastAsia="zh-CN" w:bidi="ar"/>
              </w:rPr>
              <w:t>仅生活污水</w:t>
            </w:r>
            <w:r>
              <w:rPr>
                <w:rFonts w:hint="eastAsia" w:ascii="宋体" w:hAnsi="宋体" w:eastAsia="宋体" w:cs="宋体"/>
                <w:color w:val="000000"/>
                <w:kern w:val="0"/>
                <w:sz w:val="24"/>
                <w:szCs w:val="24"/>
                <w:lang w:val="en-US" w:eastAsia="zh-CN" w:bidi="ar"/>
              </w:rPr>
              <w:t>排入市政管网，送星光园区污水处理厂进一步处理，周边主要水体为巴河。本项目厂界外</w:t>
            </w:r>
            <w:r>
              <w:rPr>
                <w:rFonts w:hint="default" w:ascii="Times New Roman" w:hAnsi="Times New Roman" w:eastAsia="宋体" w:cs="Times New Roman"/>
                <w:color w:val="000000"/>
                <w:kern w:val="0"/>
                <w:sz w:val="24"/>
                <w:szCs w:val="24"/>
                <w:lang w:val="en-US" w:eastAsia="zh-CN" w:bidi="ar"/>
              </w:rPr>
              <w:t>500m</w:t>
            </w:r>
            <w:r>
              <w:rPr>
                <w:rFonts w:hint="eastAsia" w:ascii="宋体" w:hAnsi="宋体" w:eastAsia="宋体" w:cs="宋体"/>
                <w:color w:val="000000"/>
                <w:kern w:val="0"/>
                <w:sz w:val="24"/>
                <w:szCs w:val="24"/>
                <w:lang w:val="en-US" w:eastAsia="zh-CN" w:bidi="ar"/>
              </w:rPr>
              <w:t>范围内无地下水集中式饮用水水源和热水、矿泉水、温泉等特殊地下水资源。</w:t>
            </w:r>
          </w:p>
          <w:p w14:paraId="57AC7DF6">
            <w:pPr>
              <w:keepNext w:val="0"/>
              <w:keepLines w:val="0"/>
              <w:widowControl/>
              <w:suppressLineNumbers w:val="0"/>
              <w:jc w:val="left"/>
            </w:pPr>
            <w:r>
              <w:rPr>
                <w:rFonts w:hint="eastAsia" w:ascii="宋体" w:hAnsi="宋体" w:eastAsia="宋体" w:cs="宋体"/>
                <w:color w:val="000000"/>
                <w:kern w:val="0"/>
                <w:sz w:val="24"/>
                <w:szCs w:val="24"/>
                <w:lang w:val="en-US" w:eastAsia="zh-CN" w:bidi="ar"/>
              </w:rPr>
              <w:t>（</w:t>
            </w:r>
            <w:r>
              <w:rPr>
                <w:rFonts w:hint="default" w:ascii="Times New Roman" w:hAnsi="Times New Roman" w:eastAsia="宋体" w:cs="Times New Roman"/>
                <w:color w:val="000000"/>
                <w:kern w:val="0"/>
                <w:sz w:val="24"/>
                <w:szCs w:val="24"/>
                <w:lang w:val="en-US" w:eastAsia="zh-CN" w:bidi="ar"/>
              </w:rPr>
              <w:t>4</w:t>
            </w:r>
            <w:r>
              <w:rPr>
                <w:rFonts w:hint="eastAsia" w:ascii="宋体" w:hAnsi="宋体" w:eastAsia="宋体" w:cs="宋体"/>
                <w:color w:val="000000"/>
                <w:kern w:val="0"/>
                <w:sz w:val="24"/>
                <w:szCs w:val="24"/>
                <w:lang w:val="en-US" w:eastAsia="zh-CN" w:bidi="ar"/>
              </w:rPr>
              <w:t xml:space="preserve">）生态环境保护目标 </w:t>
            </w:r>
          </w:p>
          <w:p w14:paraId="1F8C4CC6">
            <w:pPr>
              <w:keepNext w:val="0"/>
              <w:keepLines w:val="0"/>
              <w:widowControl/>
              <w:suppressLineNumbers w:val="0"/>
              <w:jc w:val="left"/>
            </w:pPr>
            <w:r>
              <w:rPr>
                <w:rFonts w:hint="eastAsia" w:ascii="宋体" w:hAnsi="宋体" w:eastAsia="宋体" w:cs="宋体"/>
                <w:color w:val="000000"/>
                <w:kern w:val="0"/>
                <w:sz w:val="24"/>
                <w:szCs w:val="24"/>
                <w:lang w:val="en-US" w:eastAsia="zh-CN" w:bidi="ar"/>
              </w:rPr>
              <w:t>本项目位于工业园区内，周边均为工业企业，自然生态环境受人类活动干扰很大，区域内无自然保护区、无列入国家及地方保护名录的珍稀濒危动植物及古、大、珍、奇树木分布。</w:t>
            </w:r>
          </w:p>
          <w:p w14:paraId="0F359D97">
            <w:pPr>
              <w:ind w:firstLine="480"/>
              <w:rPr>
                <w:rFonts w:hint="default" w:ascii="Times New Roman" w:hAnsi="Times New Roman" w:cs="Times New Roman"/>
              </w:rPr>
            </w:pPr>
            <w:r>
              <w:rPr>
                <w:rFonts w:hint="default" w:ascii="Times New Roman" w:hAnsi="Times New Roman" w:cs="Times New Roman"/>
              </w:rPr>
              <w:t>项目区域范围内不涉及自然保护区、风景名胜区等重要的生态环境区域。根据工程性质、污染物排放特征及所在地区情况，项目区周边环境保护目标与项目的位置关系以及环境保护要求如下。</w:t>
            </w:r>
          </w:p>
          <w:p w14:paraId="0CC68EF7">
            <w:pPr>
              <w:pStyle w:val="11"/>
              <w:keepNext/>
              <w:rPr>
                <w:rFonts w:hint="default" w:ascii="Times New Roman" w:hAnsi="Times New Roman" w:cs="Times New Roman"/>
              </w:rPr>
            </w:pPr>
            <w:r>
              <w:rPr>
                <w:rFonts w:hint="default" w:ascii="Times New Roman" w:hAnsi="Times New Roman" w:cs="Times New Roman"/>
              </w:rPr>
              <w:t>表</w:t>
            </w:r>
            <w:r>
              <w:rPr>
                <w:rFonts w:hint="eastAsia" w:cs="Times New Roman"/>
                <w:lang w:val="en-US" w:eastAsia="zh-CN"/>
              </w:rPr>
              <w:t>3</w:t>
            </w:r>
            <w:r>
              <w:rPr>
                <w:rFonts w:hint="default" w:ascii="Times New Roman" w:hAnsi="Times New Roman" w:cs="Times New Roman"/>
              </w:rPr>
              <w:noBreakHyphen/>
            </w:r>
            <w:r>
              <w:rPr>
                <w:rFonts w:hint="default" w:ascii="Times New Roman" w:hAnsi="Times New Roman" w:cs="Times New Roman"/>
              </w:rPr>
              <w:fldChar w:fldCharType="begin"/>
            </w:r>
            <w:r>
              <w:rPr>
                <w:rFonts w:hint="default" w:ascii="Times New Roman" w:hAnsi="Times New Roman" w:cs="Times New Roman"/>
              </w:rPr>
              <w:instrText xml:space="preserve"> SEQ 表 \* ARABIC \s 1 </w:instrText>
            </w:r>
            <w:r>
              <w:rPr>
                <w:rFonts w:hint="default" w:ascii="Times New Roman" w:hAnsi="Times New Roman" w:cs="Times New Roman"/>
              </w:rPr>
              <w:fldChar w:fldCharType="separate"/>
            </w:r>
            <w:r>
              <w:rPr>
                <w:rFonts w:hint="default" w:ascii="Times New Roman" w:hAnsi="Times New Roman" w:cs="Times New Roman"/>
              </w:rPr>
              <w:t>5</w:t>
            </w:r>
            <w:r>
              <w:rPr>
                <w:rFonts w:hint="default" w:ascii="Times New Roman" w:hAnsi="Times New Roman" w:cs="Times New Roman"/>
              </w:rPr>
              <w:fldChar w:fldCharType="end"/>
            </w:r>
            <w:r>
              <w:rPr>
                <w:rFonts w:hint="default" w:ascii="Times New Roman" w:hAnsi="Times New Roman" w:cs="Times New Roman"/>
              </w:rPr>
              <w:t xml:space="preserve"> 环境保护目标一览表</w:t>
            </w:r>
          </w:p>
          <w:tbl>
            <w:tblPr>
              <w:tblStyle w:val="26"/>
              <w:tblW w:w="499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1034"/>
              <w:gridCol w:w="1120"/>
              <w:gridCol w:w="1201"/>
              <w:gridCol w:w="1071"/>
              <w:gridCol w:w="926"/>
              <w:gridCol w:w="1016"/>
              <w:gridCol w:w="587"/>
              <w:gridCol w:w="960"/>
              <w:gridCol w:w="1468"/>
            </w:tblGrid>
            <w:tr w14:paraId="3052C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559" w:type="pct"/>
                  <w:vMerge w:val="restart"/>
                  <w:vAlign w:val="center"/>
                </w:tcPr>
                <w:p w14:paraId="01D6A70C">
                  <w:pPr>
                    <w:pStyle w:val="45"/>
                    <w:rPr>
                      <w:rFonts w:hint="default" w:ascii="Times New Roman" w:hAnsi="Times New Roman" w:cs="Times New Roman"/>
                      <w:sz w:val="21"/>
                      <w:szCs w:val="21"/>
                      <w:lang w:val="zh-CN"/>
                    </w:rPr>
                  </w:pPr>
                  <w:r>
                    <w:rPr>
                      <w:rFonts w:hint="default" w:ascii="Times New Roman" w:hAnsi="Times New Roman" w:cs="Times New Roman"/>
                      <w:sz w:val="21"/>
                      <w:szCs w:val="21"/>
                      <w:lang w:val="zh-CN"/>
                    </w:rPr>
                    <w:t>环境要素</w:t>
                  </w:r>
                </w:p>
              </w:tc>
              <w:tc>
                <w:tcPr>
                  <w:tcW w:w="605" w:type="pct"/>
                  <w:vMerge w:val="restart"/>
                  <w:vAlign w:val="center"/>
                </w:tcPr>
                <w:p w14:paraId="46493865">
                  <w:pPr>
                    <w:pStyle w:val="45"/>
                    <w:rPr>
                      <w:rFonts w:hint="default" w:ascii="Times New Roman" w:hAnsi="Times New Roman" w:cs="Times New Roman"/>
                      <w:sz w:val="21"/>
                      <w:szCs w:val="21"/>
                      <w:lang w:val="zh-CN"/>
                    </w:rPr>
                  </w:pPr>
                  <w:r>
                    <w:rPr>
                      <w:rFonts w:hint="default" w:ascii="Times New Roman" w:hAnsi="Times New Roman" w:cs="Times New Roman"/>
                      <w:sz w:val="21"/>
                      <w:szCs w:val="21"/>
                      <w:lang w:val="zh-CN"/>
                    </w:rPr>
                    <w:t>保护目标</w:t>
                  </w:r>
                </w:p>
                <w:p w14:paraId="7D068FDC">
                  <w:pPr>
                    <w:pStyle w:val="45"/>
                    <w:rPr>
                      <w:rFonts w:hint="eastAsia" w:ascii="Times New Roman" w:hAnsi="Times New Roman" w:eastAsia="宋体" w:cs="Times New Roman"/>
                      <w:sz w:val="21"/>
                      <w:szCs w:val="21"/>
                      <w:lang w:val="en-US" w:eastAsia="zh-CN"/>
                    </w:rPr>
                  </w:pPr>
                  <w:r>
                    <w:rPr>
                      <w:rFonts w:hint="eastAsia" w:cs="Times New Roman"/>
                      <w:sz w:val="21"/>
                      <w:szCs w:val="21"/>
                      <w:lang w:val="en-US" w:eastAsia="zh-CN"/>
                    </w:rPr>
                    <w:t>名称</w:t>
                  </w:r>
                </w:p>
              </w:tc>
              <w:tc>
                <w:tcPr>
                  <w:tcW w:w="1226" w:type="pct"/>
                  <w:gridSpan w:val="2"/>
                  <w:vAlign w:val="center"/>
                </w:tcPr>
                <w:p w14:paraId="23123926">
                  <w:pPr>
                    <w:pStyle w:val="45"/>
                    <w:rPr>
                      <w:rFonts w:hint="default" w:ascii="Times New Roman" w:hAnsi="Times New Roman" w:eastAsia="宋体" w:cs="Times New Roman"/>
                      <w:sz w:val="21"/>
                      <w:szCs w:val="21"/>
                      <w:lang w:val="en-US" w:eastAsia="zh-CN"/>
                    </w:rPr>
                  </w:pPr>
                  <w:r>
                    <w:rPr>
                      <w:rFonts w:hint="default" w:ascii="Times New Roman" w:hAnsi="Times New Roman" w:cs="Times New Roman"/>
                      <w:sz w:val="21"/>
                      <w:szCs w:val="21"/>
                    </w:rPr>
                    <w:t>中心地理坐标</w:t>
                  </w:r>
                </w:p>
              </w:tc>
              <w:tc>
                <w:tcPr>
                  <w:tcW w:w="501" w:type="pct"/>
                  <w:vMerge w:val="restart"/>
                  <w:vAlign w:val="center"/>
                </w:tcPr>
                <w:p w14:paraId="6E752280">
                  <w:pPr>
                    <w:pStyle w:val="45"/>
                    <w:rPr>
                      <w:rFonts w:hint="default" w:ascii="Times New Roman" w:hAnsi="Times New Roman" w:cs="Times New Roman"/>
                      <w:sz w:val="21"/>
                      <w:szCs w:val="21"/>
                      <w:lang w:val="zh-CN"/>
                    </w:rPr>
                  </w:pPr>
                  <w:r>
                    <w:rPr>
                      <w:rFonts w:hint="eastAsia" w:cs="Times New Roman"/>
                      <w:sz w:val="21"/>
                      <w:szCs w:val="21"/>
                      <w:lang w:val="en-US" w:eastAsia="zh-CN"/>
                    </w:rPr>
                    <w:t>相对厂址</w:t>
                  </w:r>
                  <w:r>
                    <w:rPr>
                      <w:rFonts w:hint="default" w:ascii="Times New Roman" w:hAnsi="Times New Roman" w:cs="Times New Roman"/>
                      <w:sz w:val="21"/>
                      <w:szCs w:val="21"/>
                      <w:lang w:val="zh-CN"/>
                    </w:rPr>
                    <w:t>方位</w:t>
                  </w:r>
                </w:p>
              </w:tc>
              <w:tc>
                <w:tcPr>
                  <w:tcW w:w="549" w:type="pct"/>
                  <w:vMerge w:val="restart"/>
                  <w:vAlign w:val="center"/>
                </w:tcPr>
                <w:p w14:paraId="040E8FC1">
                  <w:pPr>
                    <w:pStyle w:val="45"/>
                    <w:rPr>
                      <w:rFonts w:hint="default" w:ascii="Times New Roman" w:hAnsi="Times New Roman" w:eastAsia="宋体" w:cs="Times New Roman"/>
                      <w:sz w:val="21"/>
                      <w:szCs w:val="21"/>
                      <w:lang w:val="en-US" w:eastAsia="zh-CN"/>
                    </w:rPr>
                  </w:pPr>
                  <w:r>
                    <w:rPr>
                      <w:rFonts w:hint="eastAsia" w:cs="Times New Roman"/>
                      <w:sz w:val="21"/>
                      <w:szCs w:val="21"/>
                      <w:lang w:val="en-US" w:eastAsia="zh-CN"/>
                    </w:rPr>
                    <w:t>相对厂址</w:t>
                  </w:r>
                  <w:r>
                    <w:rPr>
                      <w:rFonts w:hint="default" w:ascii="Times New Roman" w:hAnsi="Times New Roman" w:cs="Times New Roman"/>
                      <w:sz w:val="21"/>
                      <w:szCs w:val="21"/>
                      <w:lang w:val="zh-CN"/>
                    </w:rPr>
                    <w:t>距离</w:t>
                  </w:r>
                  <w:r>
                    <w:rPr>
                      <w:rFonts w:hint="eastAsia" w:cs="Times New Roman"/>
                      <w:sz w:val="21"/>
                      <w:szCs w:val="21"/>
                      <w:lang w:val="en-US" w:eastAsia="zh-CN"/>
                    </w:rPr>
                    <w:t>/m</w:t>
                  </w:r>
                </w:p>
              </w:tc>
              <w:tc>
                <w:tcPr>
                  <w:tcW w:w="320" w:type="pct"/>
                  <w:vMerge w:val="restart"/>
                  <w:vAlign w:val="center"/>
                </w:tcPr>
                <w:p w14:paraId="32CA6F89">
                  <w:pPr>
                    <w:pStyle w:val="45"/>
                    <w:rPr>
                      <w:rFonts w:hint="default" w:ascii="Times New Roman" w:hAnsi="Times New Roman" w:cs="Times New Roman"/>
                      <w:sz w:val="21"/>
                      <w:szCs w:val="21"/>
                      <w:lang w:val="zh-CN"/>
                    </w:rPr>
                  </w:pPr>
                  <w:r>
                    <w:rPr>
                      <w:rFonts w:hint="eastAsia" w:cs="Times New Roman"/>
                      <w:sz w:val="21"/>
                      <w:szCs w:val="21"/>
                      <w:lang w:val="en-US" w:eastAsia="zh-CN"/>
                    </w:rPr>
                    <w:t>保护对象</w:t>
                  </w:r>
                </w:p>
              </w:tc>
              <w:tc>
                <w:tcPr>
                  <w:tcW w:w="518" w:type="pct"/>
                  <w:vMerge w:val="restart"/>
                  <w:vAlign w:val="center"/>
                </w:tcPr>
                <w:p w14:paraId="6E778901">
                  <w:pPr>
                    <w:pStyle w:val="45"/>
                    <w:rPr>
                      <w:rFonts w:hint="eastAsia" w:cs="Times New Roman"/>
                      <w:sz w:val="21"/>
                      <w:szCs w:val="21"/>
                      <w:lang w:val="en-US" w:eastAsia="zh-CN"/>
                    </w:rPr>
                  </w:pPr>
                  <w:r>
                    <w:rPr>
                      <w:rFonts w:hint="eastAsia" w:cs="Times New Roman"/>
                      <w:sz w:val="21"/>
                      <w:szCs w:val="21"/>
                      <w:lang w:val="en-US" w:eastAsia="zh-CN"/>
                    </w:rPr>
                    <w:t>保护</w:t>
                  </w:r>
                </w:p>
                <w:p w14:paraId="18B8F23E">
                  <w:pPr>
                    <w:pStyle w:val="45"/>
                    <w:rPr>
                      <w:rFonts w:hint="default" w:cs="Times New Roman"/>
                      <w:sz w:val="21"/>
                      <w:szCs w:val="21"/>
                      <w:lang w:val="en-US" w:eastAsia="zh-CN"/>
                    </w:rPr>
                  </w:pPr>
                  <w:r>
                    <w:rPr>
                      <w:rFonts w:hint="eastAsia" w:cs="Times New Roman"/>
                      <w:sz w:val="21"/>
                      <w:szCs w:val="21"/>
                      <w:lang w:val="en-US" w:eastAsia="zh-CN"/>
                    </w:rPr>
                    <w:t>内容</w:t>
                  </w:r>
                </w:p>
              </w:tc>
              <w:tc>
                <w:tcPr>
                  <w:tcW w:w="717" w:type="pct"/>
                  <w:vMerge w:val="restart"/>
                  <w:vAlign w:val="center"/>
                </w:tcPr>
                <w:p w14:paraId="042C401D">
                  <w:pPr>
                    <w:pStyle w:val="45"/>
                    <w:rPr>
                      <w:rFonts w:hint="eastAsia" w:ascii="Times New Roman" w:hAnsi="Times New Roman" w:eastAsia="宋体" w:cs="Times New Roman"/>
                      <w:sz w:val="21"/>
                      <w:szCs w:val="21"/>
                      <w:lang w:val="en-US" w:eastAsia="zh-CN"/>
                    </w:rPr>
                  </w:pPr>
                  <w:r>
                    <w:rPr>
                      <w:rFonts w:hint="default" w:ascii="Times New Roman" w:hAnsi="Times New Roman" w:cs="Times New Roman"/>
                      <w:sz w:val="21"/>
                      <w:szCs w:val="21"/>
                      <w:lang w:val="zh-CN"/>
                    </w:rPr>
                    <w:t>环境功能</w:t>
                  </w:r>
                  <w:r>
                    <w:rPr>
                      <w:rFonts w:hint="eastAsia" w:cs="Times New Roman"/>
                      <w:sz w:val="21"/>
                      <w:szCs w:val="21"/>
                      <w:lang w:val="en-US" w:eastAsia="zh-CN"/>
                    </w:rPr>
                    <w:t>区</w:t>
                  </w:r>
                </w:p>
              </w:tc>
            </w:tr>
            <w:tr w14:paraId="71421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559" w:type="pct"/>
                  <w:vMerge w:val="continue"/>
                  <w:vAlign w:val="center"/>
                </w:tcPr>
                <w:p w14:paraId="52B2CA4A">
                  <w:pPr>
                    <w:pStyle w:val="45"/>
                    <w:rPr>
                      <w:sz w:val="21"/>
                      <w:szCs w:val="21"/>
                    </w:rPr>
                  </w:pPr>
                </w:p>
              </w:tc>
              <w:tc>
                <w:tcPr>
                  <w:tcW w:w="605" w:type="pct"/>
                  <w:vMerge w:val="continue"/>
                  <w:vAlign w:val="center"/>
                </w:tcPr>
                <w:p w14:paraId="4F19D369">
                  <w:pPr>
                    <w:pStyle w:val="45"/>
                    <w:rPr>
                      <w:sz w:val="21"/>
                      <w:szCs w:val="21"/>
                    </w:rPr>
                  </w:pPr>
                </w:p>
              </w:tc>
              <w:tc>
                <w:tcPr>
                  <w:tcW w:w="648" w:type="pct"/>
                  <w:vAlign w:val="center"/>
                </w:tcPr>
                <w:p w14:paraId="52168B44">
                  <w:pPr>
                    <w:pStyle w:val="45"/>
                    <w:rPr>
                      <w:rFonts w:hint="eastAsia" w:ascii="Times New Roman" w:hAnsi="Times New Roman" w:eastAsia="宋体" w:cs="Times New Roman"/>
                      <w:sz w:val="21"/>
                      <w:szCs w:val="21"/>
                      <w:lang w:val="en-US" w:eastAsia="zh-CN"/>
                    </w:rPr>
                  </w:pPr>
                  <w:r>
                    <w:rPr>
                      <w:rFonts w:hint="eastAsia" w:cs="Times New Roman"/>
                      <w:sz w:val="21"/>
                      <w:szCs w:val="21"/>
                      <w:lang w:val="en-US" w:eastAsia="zh-CN"/>
                    </w:rPr>
                    <w:t>X</w:t>
                  </w:r>
                </w:p>
              </w:tc>
              <w:tc>
                <w:tcPr>
                  <w:tcW w:w="577" w:type="pct"/>
                  <w:vAlign w:val="center"/>
                </w:tcPr>
                <w:p w14:paraId="2F79245B">
                  <w:pPr>
                    <w:pStyle w:val="45"/>
                    <w:rPr>
                      <w:rFonts w:hint="eastAsia" w:ascii="Times New Roman" w:hAnsi="Times New Roman" w:eastAsia="宋体" w:cs="Times New Roman"/>
                      <w:sz w:val="21"/>
                      <w:szCs w:val="21"/>
                      <w:lang w:val="en-US" w:eastAsia="zh-CN"/>
                    </w:rPr>
                  </w:pPr>
                  <w:r>
                    <w:rPr>
                      <w:rFonts w:hint="eastAsia" w:cs="Times New Roman"/>
                      <w:sz w:val="21"/>
                      <w:szCs w:val="21"/>
                      <w:lang w:val="en-US" w:eastAsia="zh-CN"/>
                    </w:rPr>
                    <w:t>Y</w:t>
                  </w:r>
                </w:p>
              </w:tc>
              <w:tc>
                <w:tcPr>
                  <w:tcW w:w="501" w:type="pct"/>
                  <w:vMerge w:val="continue"/>
                  <w:vAlign w:val="center"/>
                </w:tcPr>
                <w:p w14:paraId="513B53B8">
                  <w:pPr>
                    <w:pStyle w:val="45"/>
                    <w:rPr>
                      <w:rFonts w:hint="default" w:ascii="Times New Roman" w:hAnsi="Times New Roman" w:cs="Times New Roman"/>
                      <w:sz w:val="21"/>
                      <w:szCs w:val="21"/>
                    </w:rPr>
                  </w:pPr>
                </w:p>
              </w:tc>
              <w:tc>
                <w:tcPr>
                  <w:tcW w:w="549" w:type="pct"/>
                  <w:vMerge w:val="continue"/>
                  <w:vAlign w:val="center"/>
                </w:tcPr>
                <w:p w14:paraId="12540F61">
                  <w:pPr>
                    <w:pStyle w:val="45"/>
                    <w:rPr>
                      <w:rFonts w:hint="default" w:ascii="Times New Roman" w:hAnsi="Times New Roman" w:cs="Times New Roman"/>
                      <w:sz w:val="21"/>
                      <w:szCs w:val="21"/>
                    </w:rPr>
                  </w:pPr>
                </w:p>
              </w:tc>
              <w:tc>
                <w:tcPr>
                  <w:tcW w:w="320" w:type="pct"/>
                  <w:vMerge w:val="continue"/>
                  <w:vAlign w:val="center"/>
                </w:tcPr>
                <w:p w14:paraId="282F834B">
                  <w:pPr>
                    <w:pStyle w:val="45"/>
                    <w:rPr>
                      <w:rFonts w:hint="default" w:ascii="Times New Roman" w:hAnsi="Times New Roman" w:cs="Times New Roman"/>
                      <w:sz w:val="21"/>
                      <w:szCs w:val="21"/>
                    </w:rPr>
                  </w:pPr>
                </w:p>
              </w:tc>
              <w:tc>
                <w:tcPr>
                  <w:tcW w:w="518" w:type="pct"/>
                  <w:vMerge w:val="continue"/>
                  <w:vAlign w:val="center"/>
                </w:tcPr>
                <w:p w14:paraId="719F2CBA">
                  <w:pPr>
                    <w:pStyle w:val="45"/>
                    <w:rPr>
                      <w:rFonts w:hint="default" w:ascii="Times New Roman" w:hAnsi="Times New Roman" w:cs="Times New Roman"/>
                      <w:sz w:val="21"/>
                      <w:szCs w:val="21"/>
                    </w:rPr>
                  </w:pPr>
                </w:p>
              </w:tc>
              <w:tc>
                <w:tcPr>
                  <w:tcW w:w="717" w:type="pct"/>
                  <w:vMerge w:val="continue"/>
                  <w:vAlign w:val="center"/>
                </w:tcPr>
                <w:p w14:paraId="52333FD9">
                  <w:pPr>
                    <w:pStyle w:val="45"/>
                    <w:rPr>
                      <w:rFonts w:hint="default" w:ascii="Times New Roman" w:hAnsi="Times New Roman" w:cs="Times New Roman"/>
                      <w:sz w:val="21"/>
                      <w:szCs w:val="21"/>
                    </w:rPr>
                  </w:pPr>
                </w:p>
              </w:tc>
            </w:tr>
            <w:tr w14:paraId="359F0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559" w:type="pct"/>
                  <w:vMerge w:val="restart"/>
                  <w:vAlign w:val="center"/>
                </w:tcPr>
                <w:p w14:paraId="10F975BF">
                  <w:pPr>
                    <w:pStyle w:val="12"/>
                    <w:rPr>
                      <w:rFonts w:hint="default" w:ascii="Times New Roman" w:hAnsi="Times New Roman" w:cs="Times New Roman"/>
                      <w:sz w:val="21"/>
                      <w:szCs w:val="21"/>
                      <w:lang w:val="zh-CN"/>
                    </w:rPr>
                  </w:pPr>
                  <w:r>
                    <w:rPr>
                      <w:rFonts w:hint="default" w:ascii="Times New Roman" w:hAnsi="Times New Roman" w:cs="Times New Roman"/>
                      <w:sz w:val="21"/>
                      <w:szCs w:val="21"/>
                      <w:lang w:val="zh-CN"/>
                    </w:rPr>
                    <w:t>环境空气</w:t>
                  </w:r>
                </w:p>
              </w:tc>
              <w:tc>
                <w:tcPr>
                  <w:tcW w:w="605" w:type="pct"/>
                  <w:vAlign w:val="center"/>
                </w:tcPr>
                <w:p w14:paraId="04E41BAA">
                  <w:pPr>
                    <w:pStyle w:val="12"/>
                    <w:rPr>
                      <w:rFonts w:hint="default" w:ascii="Times New Roman" w:hAnsi="Times New Roman" w:eastAsia="宋体" w:cs="Times New Roman"/>
                      <w:sz w:val="21"/>
                      <w:szCs w:val="21"/>
                      <w:lang w:val="en-US" w:eastAsia="zh-CN"/>
                    </w:rPr>
                  </w:pPr>
                  <w:r>
                    <w:rPr>
                      <w:rFonts w:hint="eastAsia" w:ascii="Times New Roman" w:hAnsi="Times New Roman" w:cs="Times New Roman"/>
                      <w:sz w:val="21"/>
                      <w:szCs w:val="21"/>
                      <w:lang w:val="en-US" w:eastAsia="zh-CN"/>
                    </w:rPr>
                    <w:t>居民点1#</w:t>
                  </w:r>
                </w:p>
              </w:tc>
              <w:tc>
                <w:tcPr>
                  <w:tcW w:w="648" w:type="pct"/>
                  <w:vAlign w:val="center"/>
                </w:tcPr>
                <w:p w14:paraId="68D6B433">
                  <w:pPr>
                    <w:pStyle w:val="12"/>
                    <w:rPr>
                      <w:rFonts w:hint="default" w:ascii="Times New Roman" w:hAnsi="Times New Roman" w:cs="Times New Roman"/>
                      <w:sz w:val="21"/>
                      <w:szCs w:val="21"/>
                    </w:rPr>
                  </w:pPr>
                  <w:r>
                    <w:rPr>
                      <w:rFonts w:hint="default" w:ascii="Times New Roman" w:hAnsi="Times New Roman" w:cs="Times New Roman"/>
                      <w:sz w:val="21"/>
                      <w:szCs w:val="21"/>
                    </w:rPr>
                    <w:t>10</w:t>
                  </w:r>
                  <w:r>
                    <w:rPr>
                      <w:rFonts w:hint="eastAsia" w:ascii="Times New Roman" w:hAnsi="Times New Roman" w:cs="Times New Roman"/>
                      <w:sz w:val="21"/>
                      <w:szCs w:val="21"/>
                      <w:lang w:val="en-US" w:eastAsia="zh-CN"/>
                    </w:rPr>
                    <w:t>7.135748</w:t>
                  </w:r>
                </w:p>
              </w:tc>
              <w:tc>
                <w:tcPr>
                  <w:tcW w:w="577" w:type="pct"/>
                  <w:vAlign w:val="center"/>
                </w:tcPr>
                <w:p w14:paraId="2981FD98">
                  <w:pPr>
                    <w:pStyle w:val="12"/>
                    <w:rPr>
                      <w:rFonts w:hint="default" w:ascii="Times New Roman" w:hAnsi="Times New Roman" w:cs="Times New Roman"/>
                      <w:sz w:val="21"/>
                      <w:szCs w:val="21"/>
                    </w:rPr>
                  </w:pPr>
                  <w:r>
                    <w:rPr>
                      <w:rFonts w:hint="default" w:ascii="Times New Roman" w:hAnsi="Times New Roman" w:cs="Times New Roman"/>
                      <w:sz w:val="21"/>
                      <w:szCs w:val="21"/>
                    </w:rPr>
                    <w:t>31.</w:t>
                  </w:r>
                  <w:r>
                    <w:rPr>
                      <w:rFonts w:hint="eastAsia" w:ascii="Times New Roman" w:hAnsi="Times New Roman" w:cs="Times New Roman"/>
                      <w:sz w:val="21"/>
                      <w:szCs w:val="21"/>
                      <w:lang w:val="en-US" w:eastAsia="zh-CN"/>
                    </w:rPr>
                    <w:t>535670</w:t>
                  </w:r>
                </w:p>
              </w:tc>
              <w:tc>
                <w:tcPr>
                  <w:tcW w:w="501" w:type="pct"/>
                  <w:shd w:val="clear" w:color="auto" w:fill="auto"/>
                  <w:vAlign w:val="center"/>
                </w:tcPr>
                <w:p w14:paraId="4EB1CDEE">
                  <w:pPr>
                    <w:pStyle w:val="12"/>
                    <w:ind w:firstLine="0" w:firstLineChars="0"/>
                    <w:jc w:val="center"/>
                    <w:rPr>
                      <w:rFonts w:hint="default" w:ascii="Times New Roman" w:hAnsi="Times New Roman" w:eastAsia="宋体" w:cs="Times New Roman"/>
                      <w:b w:val="0"/>
                      <w:bCs/>
                      <w:kern w:val="0"/>
                      <w:sz w:val="21"/>
                      <w:szCs w:val="21"/>
                      <w:lang w:val="en-US" w:eastAsia="zh-CN" w:bidi="ar-SA"/>
                    </w:rPr>
                  </w:pPr>
                  <w:r>
                    <w:rPr>
                      <w:rFonts w:hint="eastAsia" w:cs="Times New Roman"/>
                      <w:sz w:val="21"/>
                      <w:szCs w:val="21"/>
                      <w:lang w:val="en-US" w:eastAsia="zh-CN"/>
                    </w:rPr>
                    <w:t>西北侧</w:t>
                  </w:r>
                </w:p>
              </w:tc>
              <w:tc>
                <w:tcPr>
                  <w:tcW w:w="549" w:type="pct"/>
                  <w:vAlign w:val="center"/>
                </w:tcPr>
                <w:p w14:paraId="06FE5152">
                  <w:pPr>
                    <w:pStyle w:val="12"/>
                    <w:rPr>
                      <w:rFonts w:hint="default" w:ascii="Times New Roman" w:hAnsi="Times New Roman" w:eastAsia="宋体" w:cs="Times New Roman"/>
                      <w:sz w:val="21"/>
                      <w:szCs w:val="21"/>
                      <w:lang w:val="en-US" w:eastAsia="zh-CN"/>
                    </w:rPr>
                  </w:pPr>
                  <w:r>
                    <w:rPr>
                      <w:rFonts w:hint="eastAsia" w:ascii="Times New Roman" w:hAnsi="Times New Roman" w:cs="Times New Roman"/>
                      <w:sz w:val="21"/>
                      <w:szCs w:val="21"/>
                      <w:lang w:val="en-US" w:eastAsia="zh-CN"/>
                    </w:rPr>
                    <w:t>400-</w:t>
                  </w:r>
                  <w:r>
                    <w:rPr>
                      <w:rFonts w:hint="eastAsia" w:cs="Times New Roman"/>
                      <w:sz w:val="21"/>
                      <w:szCs w:val="21"/>
                      <w:lang w:val="en-US" w:eastAsia="zh-CN"/>
                    </w:rPr>
                    <w:t>490</w:t>
                  </w:r>
                </w:p>
              </w:tc>
              <w:tc>
                <w:tcPr>
                  <w:tcW w:w="320" w:type="pct"/>
                  <w:vAlign w:val="center"/>
                </w:tcPr>
                <w:p w14:paraId="236AF7FC">
                  <w:pPr>
                    <w:pStyle w:val="12"/>
                    <w:rPr>
                      <w:rFonts w:hint="default" w:ascii="Times New Roman" w:hAnsi="Times New Roman" w:eastAsia="宋体" w:cs="Times New Roman"/>
                      <w:sz w:val="21"/>
                      <w:szCs w:val="21"/>
                      <w:lang w:val="en-US" w:eastAsia="zh-CN"/>
                    </w:rPr>
                  </w:pPr>
                  <w:r>
                    <w:rPr>
                      <w:rFonts w:hint="eastAsia" w:cs="Times New Roman"/>
                      <w:sz w:val="21"/>
                      <w:szCs w:val="21"/>
                      <w:lang w:val="en-US" w:eastAsia="zh-CN"/>
                    </w:rPr>
                    <w:t>居民</w:t>
                  </w:r>
                </w:p>
              </w:tc>
              <w:tc>
                <w:tcPr>
                  <w:tcW w:w="518" w:type="pct"/>
                  <w:vAlign w:val="center"/>
                </w:tcPr>
                <w:p w14:paraId="3DEF0804">
                  <w:pPr>
                    <w:pStyle w:val="12"/>
                    <w:rPr>
                      <w:rFonts w:hint="eastAsia" w:cs="Times New Roman"/>
                      <w:sz w:val="21"/>
                      <w:szCs w:val="21"/>
                      <w:lang w:val="en-US" w:eastAsia="zh-CN"/>
                    </w:rPr>
                  </w:pPr>
                  <w:r>
                    <w:rPr>
                      <w:rFonts w:hint="eastAsia" w:ascii="Times New Roman" w:hAnsi="Times New Roman" w:cs="Times New Roman"/>
                      <w:sz w:val="21"/>
                      <w:szCs w:val="21"/>
                      <w:lang w:val="en-US" w:eastAsia="zh-CN"/>
                    </w:rPr>
                    <w:t>8户，约24人</w:t>
                  </w:r>
                </w:p>
              </w:tc>
              <w:tc>
                <w:tcPr>
                  <w:tcW w:w="717" w:type="pct"/>
                  <w:vMerge w:val="restart"/>
                  <w:vAlign w:val="center"/>
                </w:tcPr>
                <w:p w14:paraId="71516390">
                  <w:pPr>
                    <w:pStyle w:val="12"/>
                    <w:rPr>
                      <w:rFonts w:hint="default" w:ascii="Times New Roman" w:hAnsi="Times New Roman" w:cs="Times New Roman"/>
                      <w:sz w:val="21"/>
                      <w:szCs w:val="21"/>
                    </w:rPr>
                  </w:pPr>
                  <w:r>
                    <w:rPr>
                      <w:rFonts w:hint="eastAsia" w:cs="Times New Roman"/>
                      <w:sz w:val="21"/>
                      <w:szCs w:val="21"/>
                      <w:lang w:val="en-US" w:eastAsia="zh-CN"/>
                    </w:rPr>
                    <w:t>GB3095-2026</w:t>
                  </w:r>
                  <w:r>
                    <w:rPr>
                      <w:rFonts w:hint="default" w:ascii="Times New Roman" w:hAnsi="Times New Roman" w:cs="Times New Roman"/>
                      <w:sz w:val="21"/>
                      <w:szCs w:val="21"/>
                    </w:rPr>
                    <w:t>大气环境质量二类功能区</w:t>
                  </w:r>
                </w:p>
              </w:tc>
            </w:tr>
            <w:tr w14:paraId="69E49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559" w:type="pct"/>
                  <w:vMerge w:val="continue"/>
                  <w:vAlign w:val="center"/>
                </w:tcPr>
                <w:p w14:paraId="5E7D1F39">
                  <w:pPr>
                    <w:pStyle w:val="12"/>
                    <w:rPr>
                      <w:rFonts w:hint="default" w:ascii="Times New Roman" w:hAnsi="Times New Roman" w:cs="Times New Roman"/>
                      <w:sz w:val="21"/>
                      <w:szCs w:val="21"/>
                      <w:lang w:val="zh-CN"/>
                    </w:rPr>
                  </w:pPr>
                </w:p>
              </w:tc>
              <w:tc>
                <w:tcPr>
                  <w:tcW w:w="605" w:type="pct"/>
                  <w:vAlign w:val="center"/>
                </w:tcPr>
                <w:p w14:paraId="7D94742D">
                  <w:pPr>
                    <w:pStyle w:val="12"/>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居民点2#</w:t>
                  </w:r>
                </w:p>
              </w:tc>
              <w:tc>
                <w:tcPr>
                  <w:tcW w:w="648" w:type="pct"/>
                  <w:vAlign w:val="center"/>
                </w:tcPr>
                <w:p w14:paraId="23BBD8BD">
                  <w:pPr>
                    <w:pStyle w:val="12"/>
                    <w:rPr>
                      <w:rFonts w:hint="default" w:ascii="Times New Roman" w:hAnsi="Times New Roman" w:cs="Times New Roman"/>
                      <w:sz w:val="21"/>
                      <w:szCs w:val="21"/>
                    </w:rPr>
                  </w:pPr>
                  <w:r>
                    <w:rPr>
                      <w:rFonts w:hint="default" w:ascii="Times New Roman" w:hAnsi="Times New Roman" w:cs="Times New Roman"/>
                      <w:sz w:val="21"/>
                      <w:szCs w:val="21"/>
                    </w:rPr>
                    <w:t>10</w:t>
                  </w:r>
                  <w:r>
                    <w:rPr>
                      <w:rFonts w:hint="eastAsia" w:ascii="Times New Roman" w:hAnsi="Times New Roman" w:cs="Times New Roman"/>
                      <w:sz w:val="21"/>
                      <w:szCs w:val="21"/>
                      <w:lang w:val="en-US" w:eastAsia="zh-CN"/>
                    </w:rPr>
                    <w:t>7.142067</w:t>
                  </w:r>
                </w:p>
              </w:tc>
              <w:tc>
                <w:tcPr>
                  <w:tcW w:w="577" w:type="pct"/>
                  <w:vAlign w:val="center"/>
                </w:tcPr>
                <w:p w14:paraId="2A0DEB74">
                  <w:pPr>
                    <w:pStyle w:val="12"/>
                    <w:rPr>
                      <w:rFonts w:hint="default" w:ascii="Times New Roman" w:hAnsi="Times New Roman" w:cs="Times New Roman"/>
                      <w:sz w:val="21"/>
                      <w:szCs w:val="21"/>
                    </w:rPr>
                  </w:pPr>
                  <w:r>
                    <w:rPr>
                      <w:rFonts w:hint="default" w:ascii="Times New Roman" w:hAnsi="Times New Roman" w:cs="Times New Roman"/>
                      <w:sz w:val="21"/>
                      <w:szCs w:val="21"/>
                    </w:rPr>
                    <w:t>31.</w:t>
                  </w:r>
                  <w:r>
                    <w:rPr>
                      <w:rFonts w:hint="eastAsia" w:ascii="Times New Roman" w:hAnsi="Times New Roman" w:cs="Times New Roman"/>
                      <w:sz w:val="21"/>
                      <w:szCs w:val="21"/>
                      <w:lang w:val="en-US" w:eastAsia="zh-CN"/>
                    </w:rPr>
                    <w:t>534827</w:t>
                  </w:r>
                </w:p>
              </w:tc>
              <w:tc>
                <w:tcPr>
                  <w:tcW w:w="501" w:type="pct"/>
                  <w:shd w:val="clear" w:color="auto" w:fill="auto"/>
                  <w:vAlign w:val="center"/>
                </w:tcPr>
                <w:p w14:paraId="5AC5FE35">
                  <w:pPr>
                    <w:pStyle w:val="12"/>
                    <w:ind w:firstLine="0" w:firstLineChars="0"/>
                    <w:jc w:val="center"/>
                    <w:rPr>
                      <w:rFonts w:hint="eastAsia" w:ascii="Times New Roman" w:hAnsi="Times New Roman" w:eastAsia="宋体" w:cs="Times New Roman"/>
                      <w:b w:val="0"/>
                      <w:bCs/>
                      <w:kern w:val="0"/>
                      <w:sz w:val="21"/>
                      <w:szCs w:val="21"/>
                      <w:lang w:val="en-US" w:eastAsia="zh-CN" w:bidi="ar-SA"/>
                    </w:rPr>
                  </w:pPr>
                  <w:r>
                    <w:rPr>
                      <w:rFonts w:hint="eastAsia" w:cs="Times New Roman"/>
                      <w:sz w:val="21"/>
                      <w:szCs w:val="21"/>
                      <w:lang w:val="en-US" w:eastAsia="zh-CN"/>
                    </w:rPr>
                    <w:t>东北侧</w:t>
                  </w:r>
                </w:p>
              </w:tc>
              <w:tc>
                <w:tcPr>
                  <w:tcW w:w="549" w:type="pct"/>
                  <w:vAlign w:val="center"/>
                </w:tcPr>
                <w:p w14:paraId="45989F5F">
                  <w:pPr>
                    <w:pStyle w:val="12"/>
                    <w:rPr>
                      <w:rFonts w:hint="default" w:ascii="Times New Roman" w:hAnsi="Times New Roman" w:eastAsia="宋体" w:cs="Times New Roman"/>
                      <w:sz w:val="21"/>
                      <w:szCs w:val="21"/>
                      <w:lang w:val="en-US" w:eastAsia="zh-CN"/>
                    </w:rPr>
                  </w:pPr>
                  <w:r>
                    <w:rPr>
                      <w:rFonts w:hint="eastAsia" w:ascii="Times New Roman" w:hAnsi="Times New Roman" w:cs="Times New Roman"/>
                      <w:sz w:val="21"/>
                      <w:szCs w:val="21"/>
                      <w:lang w:val="en-US" w:eastAsia="zh-CN"/>
                    </w:rPr>
                    <w:t>460-6</w:t>
                  </w:r>
                  <w:r>
                    <w:rPr>
                      <w:rFonts w:hint="eastAsia" w:cs="Times New Roman"/>
                      <w:sz w:val="21"/>
                      <w:szCs w:val="21"/>
                      <w:lang w:val="en-US" w:eastAsia="zh-CN"/>
                    </w:rPr>
                    <w:t>3</w:t>
                  </w:r>
                  <w:r>
                    <w:rPr>
                      <w:rFonts w:hint="eastAsia" w:ascii="Times New Roman" w:hAnsi="Times New Roman" w:cs="Times New Roman"/>
                      <w:sz w:val="21"/>
                      <w:szCs w:val="21"/>
                      <w:lang w:val="en-US" w:eastAsia="zh-CN"/>
                    </w:rPr>
                    <w:t>0</w:t>
                  </w:r>
                </w:p>
              </w:tc>
              <w:tc>
                <w:tcPr>
                  <w:tcW w:w="320" w:type="pct"/>
                  <w:vAlign w:val="center"/>
                </w:tcPr>
                <w:p w14:paraId="4A1B39CD">
                  <w:pPr>
                    <w:pStyle w:val="12"/>
                    <w:rPr>
                      <w:rFonts w:hint="default" w:ascii="Times New Roman" w:hAnsi="Times New Roman" w:cs="Times New Roman"/>
                      <w:sz w:val="21"/>
                      <w:szCs w:val="21"/>
                      <w:lang w:val="zh-CN"/>
                    </w:rPr>
                  </w:pPr>
                  <w:r>
                    <w:rPr>
                      <w:rFonts w:hint="eastAsia" w:cs="Times New Roman"/>
                      <w:sz w:val="21"/>
                      <w:szCs w:val="21"/>
                      <w:lang w:val="en-US" w:eastAsia="zh-CN"/>
                    </w:rPr>
                    <w:t>居民</w:t>
                  </w:r>
                </w:p>
              </w:tc>
              <w:tc>
                <w:tcPr>
                  <w:tcW w:w="518" w:type="pct"/>
                  <w:vAlign w:val="center"/>
                </w:tcPr>
                <w:p w14:paraId="24E35AF4">
                  <w:pPr>
                    <w:pStyle w:val="12"/>
                    <w:rPr>
                      <w:rFonts w:hint="eastAsia" w:cs="Times New Roman"/>
                      <w:sz w:val="21"/>
                      <w:szCs w:val="21"/>
                      <w:lang w:val="en-US" w:eastAsia="zh-CN"/>
                    </w:rPr>
                  </w:pPr>
                  <w:r>
                    <w:rPr>
                      <w:rFonts w:hint="eastAsia" w:ascii="Times New Roman" w:hAnsi="Times New Roman" w:cs="Times New Roman"/>
                      <w:sz w:val="21"/>
                      <w:szCs w:val="21"/>
                      <w:lang w:val="en-US" w:eastAsia="zh-CN"/>
                    </w:rPr>
                    <w:t>17户，约51人</w:t>
                  </w:r>
                </w:p>
              </w:tc>
              <w:tc>
                <w:tcPr>
                  <w:tcW w:w="717" w:type="pct"/>
                  <w:vMerge w:val="continue"/>
                  <w:vAlign w:val="center"/>
                </w:tcPr>
                <w:p w14:paraId="7A37C6A7">
                  <w:pPr>
                    <w:pStyle w:val="12"/>
                    <w:rPr>
                      <w:rFonts w:hint="default" w:ascii="Times New Roman" w:hAnsi="Times New Roman" w:cs="Times New Roman"/>
                      <w:sz w:val="21"/>
                      <w:szCs w:val="21"/>
                    </w:rPr>
                  </w:pPr>
                </w:p>
              </w:tc>
            </w:tr>
            <w:tr w14:paraId="6E879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559" w:type="pct"/>
                  <w:vMerge w:val="continue"/>
                  <w:vAlign w:val="center"/>
                </w:tcPr>
                <w:p w14:paraId="65B56A52">
                  <w:pPr>
                    <w:pStyle w:val="12"/>
                    <w:rPr>
                      <w:rFonts w:hint="default" w:ascii="Times New Roman" w:hAnsi="Times New Roman" w:cs="Times New Roman"/>
                      <w:sz w:val="21"/>
                      <w:szCs w:val="21"/>
                      <w:lang w:val="zh-CN"/>
                    </w:rPr>
                  </w:pPr>
                </w:p>
              </w:tc>
              <w:tc>
                <w:tcPr>
                  <w:tcW w:w="605" w:type="pct"/>
                  <w:vAlign w:val="center"/>
                </w:tcPr>
                <w:p w14:paraId="0CF954F4">
                  <w:pPr>
                    <w:pStyle w:val="12"/>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居民点3#</w:t>
                  </w:r>
                </w:p>
              </w:tc>
              <w:tc>
                <w:tcPr>
                  <w:tcW w:w="648" w:type="pct"/>
                  <w:vAlign w:val="center"/>
                </w:tcPr>
                <w:p w14:paraId="7144972B">
                  <w:pPr>
                    <w:pStyle w:val="12"/>
                    <w:rPr>
                      <w:rFonts w:hint="default" w:ascii="Times New Roman" w:hAnsi="Times New Roman" w:cs="Times New Roman"/>
                      <w:sz w:val="21"/>
                      <w:szCs w:val="21"/>
                    </w:rPr>
                  </w:pPr>
                  <w:r>
                    <w:rPr>
                      <w:rFonts w:hint="default" w:ascii="Times New Roman" w:hAnsi="Times New Roman" w:cs="Times New Roman"/>
                      <w:sz w:val="21"/>
                      <w:szCs w:val="21"/>
                    </w:rPr>
                    <w:t>10</w:t>
                  </w:r>
                  <w:r>
                    <w:rPr>
                      <w:rFonts w:hint="eastAsia" w:ascii="Times New Roman" w:hAnsi="Times New Roman" w:cs="Times New Roman"/>
                      <w:sz w:val="21"/>
                      <w:szCs w:val="21"/>
                      <w:lang w:val="en-US" w:eastAsia="zh-CN"/>
                    </w:rPr>
                    <w:t>7.143542</w:t>
                  </w:r>
                </w:p>
              </w:tc>
              <w:tc>
                <w:tcPr>
                  <w:tcW w:w="577" w:type="pct"/>
                  <w:vAlign w:val="center"/>
                </w:tcPr>
                <w:p w14:paraId="602E7131">
                  <w:pPr>
                    <w:pStyle w:val="12"/>
                    <w:rPr>
                      <w:rFonts w:hint="default" w:ascii="Times New Roman" w:hAnsi="Times New Roman" w:cs="Times New Roman"/>
                      <w:sz w:val="21"/>
                      <w:szCs w:val="21"/>
                    </w:rPr>
                  </w:pPr>
                  <w:r>
                    <w:rPr>
                      <w:rFonts w:hint="default" w:ascii="Times New Roman" w:hAnsi="Times New Roman" w:cs="Times New Roman"/>
                      <w:sz w:val="21"/>
                      <w:szCs w:val="21"/>
                    </w:rPr>
                    <w:t>31.</w:t>
                  </w:r>
                  <w:r>
                    <w:rPr>
                      <w:rFonts w:hint="eastAsia" w:ascii="Times New Roman" w:hAnsi="Times New Roman" w:cs="Times New Roman"/>
                      <w:sz w:val="21"/>
                      <w:szCs w:val="21"/>
                      <w:lang w:val="en-US" w:eastAsia="zh-CN"/>
                    </w:rPr>
                    <w:t>530536</w:t>
                  </w:r>
                </w:p>
              </w:tc>
              <w:tc>
                <w:tcPr>
                  <w:tcW w:w="501" w:type="pct"/>
                  <w:shd w:val="clear" w:color="auto" w:fill="auto"/>
                  <w:vAlign w:val="center"/>
                </w:tcPr>
                <w:p w14:paraId="745B7994">
                  <w:pPr>
                    <w:pStyle w:val="12"/>
                    <w:ind w:firstLine="0" w:firstLineChars="0"/>
                    <w:jc w:val="center"/>
                    <w:rPr>
                      <w:rFonts w:hint="default" w:ascii="Times New Roman" w:hAnsi="Times New Roman" w:eastAsia="宋体" w:cs="Times New Roman"/>
                      <w:b w:val="0"/>
                      <w:bCs/>
                      <w:kern w:val="0"/>
                      <w:sz w:val="21"/>
                      <w:szCs w:val="21"/>
                      <w:lang w:val="en-US" w:eastAsia="zh-CN" w:bidi="ar-SA"/>
                    </w:rPr>
                  </w:pPr>
                  <w:r>
                    <w:rPr>
                      <w:rFonts w:hint="eastAsia" w:cs="Times New Roman"/>
                      <w:sz w:val="21"/>
                      <w:szCs w:val="21"/>
                      <w:lang w:val="en-US" w:eastAsia="zh-CN"/>
                    </w:rPr>
                    <w:t>东南侧</w:t>
                  </w:r>
                </w:p>
              </w:tc>
              <w:tc>
                <w:tcPr>
                  <w:tcW w:w="549" w:type="pct"/>
                  <w:vAlign w:val="center"/>
                </w:tcPr>
                <w:p w14:paraId="1DF0AE29">
                  <w:pPr>
                    <w:pStyle w:val="12"/>
                    <w:rPr>
                      <w:rFonts w:hint="default" w:ascii="Times New Roman" w:hAnsi="Times New Roman" w:eastAsia="宋体" w:cs="Times New Roman"/>
                      <w:sz w:val="21"/>
                      <w:szCs w:val="21"/>
                      <w:lang w:val="en-US" w:eastAsia="zh-CN"/>
                    </w:rPr>
                  </w:pPr>
                  <w:r>
                    <w:rPr>
                      <w:rFonts w:hint="eastAsia" w:ascii="Times New Roman" w:hAnsi="Times New Roman" w:cs="Times New Roman"/>
                      <w:sz w:val="21"/>
                      <w:szCs w:val="21"/>
                      <w:lang w:val="en-US" w:eastAsia="zh-CN"/>
                    </w:rPr>
                    <w:t>4</w:t>
                  </w:r>
                  <w:r>
                    <w:rPr>
                      <w:rFonts w:hint="eastAsia" w:cs="Times New Roman"/>
                      <w:sz w:val="21"/>
                      <w:szCs w:val="21"/>
                      <w:lang w:val="en-US" w:eastAsia="zh-CN"/>
                    </w:rPr>
                    <w:t>3</w:t>
                  </w:r>
                  <w:r>
                    <w:rPr>
                      <w:rFonts w:hint="eastAsia" w:ascii="Times New Roman" w:hAnsi="Times New Roman" w:cs="Times New Roman"/>
                      <w:sz w:val="21"/>
                      <w:szCs w:val="21"/>
                      <w:lang w:val="en-US" w:eastAsia="zh-CN"/>
                    </w:rPr>
                    <w:t>0-6</w:t>
                  </w:r>
                  <w:r>
                    <w:rPr>
                      <w:rFonts w:hint="eastAsia" w:cs="Times New Roman"/>
                      <w:sz w:val="21"/>
                      <w:szCs w:val="21"/>
                      <w:lang w:val="en-US" w:eastAsia="zh-CN"/>
                    </w:rPr>
                    <w:t>1</w:t>
                  </w:r>
                  <w:r>
                    <w:rPr>
                      <w:rFonts w:hint="eastAsia" w:ascii="Times New Roman" w:hAnsi="Times New Roman" w:cs="Times New Roman"/>
                      <w:sz w:val="21"/>
                      <w:szCs w:val="21"/>
                      <w:lang w:val="en-US" w:eastAsia="zh-CN"/>
                    </w:rPr>
                    <w:t>0</w:t>
                  </w:r>
                </w:p>
              </w:tc>
              <w:tc>
                <w:tcPr>
                  <w:tcW w:w="320" w:type="pct"/>
                  <w:vAlign w:val="center"/>
                </w:tcPr>
                <w:p w14:paraId="3FAB4AAB">
                  <w:pPr>
                    <w:pStyle w:val="12"/>
                    <w:rPr>
                      <w:rFonts w:hint="default" w:ascii="Times New Roman" w:hAnsi="Times New Roman" w:cs="Times New Roman"/>
                      <w:sz w:val="21"/>
                      <w:szCs w:val="21"/>
                      <w:lang w:val="zh-CN"/>
                    </w:rPr>
                  </w:pPr>
                  <w:r>
                    <w:rPr>
                      <w:rFonts w:hint="eastAsia" w:cs="Times New Roman"/>
                      <w:sz w:val="21"/>
                      <w:szCs w:val="21"/>
                      <w:lang w:val="en-US" w:eastAsia="zh-CN"/>
                    </w:rPr>
                    <w:t>居民</w:t>
                  </w:r>
                </w:p>
              </w:tc>
              <w:tc>
                <w:tcPr>
                  <w:tcW w:w="518" w:type="pct"/>
                  <w:vAlign w:val="center"/>
                </w:tcPr>
                <w:p w14:paraId="2136EF77">
                  <w:pPr>
                    <w:pStyle w:val="12"/>
                    <w:rPr>
                      <w:rFonts w:hint="eastAsia" w:cs="Times New Roman"/>
                      <w:sz w:val="21"/>
                      <w:szCs w:val="21"/>
                      <w:lang w:val="en-US" w:eastAsia="zh-CN"/>
                    </w:rPr>
                  </w:pPr>
                  <w:r>
                    <w:rPr>
                      <w:rFonts w:hint="eastAsia" w:ascii="Times New Roman" w:hAnsi="Times New Roman" w:cs="Times New Roman"/>
                      <w:sz w:val="21"/>
                      <w:szCs w:val="21"/>
                      <w:lang w:val="en-US" w:eastAsia="zh-CN"/>
                    </w:rPr>
                    <w:t>15户，约45人</w:t>
                  </w:r>
                </w:p>
              </w:tc>
              <w:tc>
                <w:tcPr>
                  <w:tcW w:w="717" w:type="pct"/>
                  <w:vMerge w:val="continue"/>
                  <w:vAlign w:val="center"/>
                </w:tcPr>
                <w:p w14:paraId="13E61D5E">
                  <w:pPr>
                    <w:pStyle w:val="12"/>
                    <w:rPr>
                      <w:rFonts w:hint="default" w:ascii="Times New Roman" w:hAnsi="Times New Roman" w:cs="Times New Roman"/>
                      <w:sz w:val="21"/>
                      <w:szCs w:val="21"/>
                    </w:rPr>
                  </w:pPr>
                </w:p>
              </w:tc>
            </w:tr>
            <w:tr w14:paraId="12185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559" w:type="pct"/>
                  <w:vMerge w:val="continue"/>
                  <w:vAlign w:val="center"/>
                </w:tcPr>
                <w:p w14:paraId="679DFB1C">
                  <w:pPr>
                    <w:pStyle w:val="12"/>
                    <w:rPr>
                      <w:rFonts w:hint="default" w:ascii="Times New Roman" w:hAnsi="Times New Roman" w:cs="Times New Roman"/>
                      <w:sz w:val="21"/>
                      <w:szCs w:val="21"/>
                      <w:lang w:val="zh-CN"/>
                    </w:rPr>
                  </w:pPr>
                </w:p>
              </w:tc>
              <w:tc>
                <w:tcPr>
                  <w:tcW w:w="605" w:type="pct"/>
                  <w:vAlign w:val="center"/>
                </w:tcPr>
                <w:p w14:paraId="096DABDA">
                  <w:pPr>
                    <w:pStyle w:val="12"/>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居民点4#</w:t>
                  </w:r>
                </w:p>
              </w:tc>
              <w:tc>
                <w:tcPr>
                  <w:tcW w:w="648" w:type="pct"/>
                  <w:vAlign w:val="center"/>
                </w:tcPr>
                <w:p w14:paraId="5E1E08BC">
                  <w:pPr>
                    <w:pStyle w:val="12"/>
                    <w:rPr>
                      <w:rFonts w:hint="default" w:ascii="Times New Roman" w:hAnsi="Times New Roman" w:cs="Times New Roman"/>
                      <w:sz w:val="21"/>
                      <w:szCs w:val="21"/>
                    </w:rPr>
                  </w:pPr>
                  <w:r>
                    <w:rPr>
                      <w:rFonts w:hint="default" w:ascii="Times New Roman" w:hAnsi="Times New Roman" w:cs="Times New Roman"/>
                      <w:sz w:val="21"/>
                      <w:szCs w:val="21"/>
                    </w:rPr>
                    <w:t>10</w:t>
                  </w:r>
                  <w:r>
                    <w:rPr>
                      <w:rFonts w:hint="eastAsia" w:ascii="Times New Roman" w:hAnsi="Times New Roman" w:cs="Times New Roman"/>
                      <w:sz w:val="21"/>
                      <w:szCs w:val="21"/>
                      <w:lang w:val="en-US" w:eastAsia="zh-CN"/>
                    </w:rPr>
                    <w:t>7.135388</w:t>
                  </w:r>
                </w:p>
              </w:tc>
              <w:tc>
                <w:tcPr>
                  <w:tcW w:w="577" w:type="pct"/>
                  <w:vAlign w:val="center"/>
                </w:tcPr>
                <w:p w14:paraId="5D99F1DF">
                  <w:pPr>
                    <w:pStyle w:val="12"/>
                    <w:rPr>
                      <w:rFonts w:hint="default" w:ascii="Times New Roman" w:hAnsi="Times New Roman" w:cs="Times New Roman"/>
                      <w:sz w:val="21"/>
                      <w:szCs w:val="21"/>
                    </w:rPr>
                  </w:pPr>
                  <w:r>
                    <w:rPr>
                      <w:rFonts w:hint="default" w:ascii="Times New Roman" w:hAnsi="Times New Roman" w:cs="Times New Roman"/>
                      <w:sz w:val="21"/>
                      <w:szCs w:val="21"/>
                    </w:rPr>
                    <w:t>31.</w:t>
                  </w:r>
                  <w:r>
                    <w:rPr>
                      <w:rFonts w:hint="eastAsia" w:ascii="Times New Roman" w:hAnsi="Times New Roman" w:cs="Times New Roman"/>
                      <w:sz w:val="21"/>
                      <w:szCs w:val="21"/>
                      <w:lang w:val="en-US" w:eastAsia="zh-CN"/>
                    </w:rPr>
                    <w:t>532113</w:t>
                  </w:r>
                </w:p>
              </w:tc>
              <w:tc>
                <w:tcPr>
                  <w:tcW w:w="501" w:type="pct"/>
                  <w:vAlign w:val="center"/>
                </w:tcPr>
                <w:p w14:paraId="5DDBA5E6">
                  <w:pPr>
                    <w:pStyle w:val="12"/>
                    <w:rPr>
                      <w:rFonts w:hint="default" w:ascii="Times New Roman" w:hAnsi="Times New Roman" w:eastAsia="宋体" w:cs="Times New Roman"/>
                      <w:sz w:val="21"/>
                      <w:szCs w:val="21"/>
                      <w:lang w:val="en-US" w:eastAsia="zh-CN"/>
                    </w:rPr>
                  </w:pPr>
                  <w:r>
                    <w:rPr>
                      <w:rFonts w:hint="eastAsia" w:cs="Times New Roman"/>
                      <w:sz w:val="21"/>
                      <w:szCs w:val="21"/>
                      <w:lang w:val="en-US" w:eastAsia="zh-CN"/>
                    </w:rPr>
                    <w:t>西侧</w:t>
                  </w:r>
                </w:p>
              </w:tc>
              <w:tc>
                <w:tcPr>
                  <w:tcW w:w="549" w:type="pct"/>
                  <w:vAlign w:val="center"/>
                </w:tcPr>
                <w:p w14:paraId="3152445C">
                  <w:pPr>
                    <w:pStyle w:val="12"/>
                    <w:rPr>
                      <w:rFonts w:hint="default" w:ascii="Times New Roman" w:hAnsi="Times New Roman" w:eastAsia="宋体" w:cs="Times New Roman"/>
                      <w:sz w:val="21"/>
                      <w:szCs w:val="21"/>
                      <w:lang w:val="en-US" w:eastAsia="zh-CN"/>
                    </w:rPr>
                  </w:pPr>
                  <w:r>
                    <w:rPr>
                      <w:rFonts w:hint="eastAsia" w:ascii="Times New Roman" w:hAnsi="Times New Roman" w:cs="Times New Roman"/>
                      <w:sz w:val="21"/>
                      <w:szCs w:val="21"/>
                      <w:lang w:val="en-US" w:eastAsia="zh-CN"/>
                    </w:rPr>
                    <w:t>150-260</w:t>
                  </w:r>
                </w:p>
              </w:tc>
              <w:tc>
                <w:tcPr>
                  <w:tcW w:w="320" w:type="pct"/>
                  <w:vAlign w:val="center"/>
                </w:tcPr>
                <w:p w14:paraId="51010CAE">
                  <w:pPr>
                    <w:pStyle w:val="12"/>
                    <w:rPr>
                      <w:rFonts w:hint="default" w:ascii="Times New Roman" w:hAnsi="Times New Roman" w:cs="Times New Roman"/>
                      <w:sz w:val="21"/>
                      <w:szCs w:val="21"/>
                      <w:lang w:val="zh-CN"/>
                    </w:rPr>
                  </w:pPr>
                  <w:r>
                    <w:rPr>
                      <w:rFonts w:hint="eastAsia" w:cs="Times New Roman"/>
                      <w:sz w:val="21"/>
                      <w:szCs w:val="21"/>
                      <w:lang w:val="en-US" w:eastAsia="zh-CN"/>
                    </w:rPr>
                    <w:t>居民</w:t>
                  </w:r>
                </w:p>
              </w:tc>
              <w:tc>
                <w:tcPr>
                  <w:tcW w:w="518" w:type="pct"/>
                  <w:vAlign w:val="center"/>
                </w:tcPr>
                <w:p w14:paraId="64E12501">
                  <w:pPr>
                    <w:pStyle w:val="12"/>
                    <w:rPr>
                      <w:rFonts w:hint="eastAsia" w:cs="Times New Roman"/>
                      <w:sz w:val="21"/>
                      <w:szCs w:val="21"/>
                      <w:lang w:val="en-US" w:eastAsia="zh-CN"/>
                    </w:rPr>
                  </w:pPr>
                  <w:r>
                    <w:rPr>
                      <w:rFonts w:hint="eastAsia" w:ascii="Times New Roman" w:hAnsi="Times New Roman" w:cs="Times New Roman"/>
                      <w:sz w:val="21"/>
                      <w:szCs w:val="21"/>
                      <w:lang w:val="en-US" w:eastAsia="zh-CN"/>
                    </w:rPr>
                    <w:t>12户，约36人</w:t>
                  </w:r>
                </w:p>
              </w:tc>
              <w:tc>
                <w:tcPr>
                  <w:tcW w:w="717" w:type="pct"/>
                  <w:vMerge w:val="continue"/>
                  <w:vAlign w:val="center"/>
                </w:tcPr>
                <w:p w14:paraId="651CAB11">
                  <w:pPr>
                    <w:pStyle w:val="12"/>
                    <w:rPr>
                      <w:rFonts w:hint="default" w:ascii="Times New Roman" w:hAnsi="Times New Roman" w:cs="Times New Roman"/>
                      <w:sz w:val="21"/>
                      <w:szCs w:val="21"/>
                    </w:rPr>
                  </w:pPr>
                </w:p>
              </w:tc>
            </w:tr>
            <w:tr w14:paraId="310F5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559" w:type="pct"/>
                  <w:vMerge w:val="continue"/>
                  <w:vAlign w:val="center"/>
                </w:tcPr>
                <w:p w14:paraId="68F3F066">
                  <w:pPr>
                    <w:pStyle w:val="12"/>
                    <w:rPr>
                      <w:rFonts w:hint="default" w:ascii="Times New Roman" w:hAnsi="Times New Roman" w:cs="Times New Roman"/>
                      <w:sz w:val="21"/>
                      <w:szCs w:val="21"/>
                      <w:lang w:val="zh-CN"/>
                    </w:rPr>
                  </w:pPr>
                </w:p>
              </w:tc>
              <w:tc>
                <w:tcPr>
                  <w:tcW w:w="605" w:type="pct"/>
                  <w:vAlign w:val="center"/>
                </w:tcPr>
                <w:p w14:paraId="6C236F0B">
                  <w:pPr>
                    <w:pStyle w:val="12"/>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居民点5#</w:t>
                  </w:r>
                </w:p>
              </w:tc>
              <w:tc>
                <w:tcPr>
                  <w:tcW w:w="648" w:type="pct"/>
                  <w:vAlign w:val="center"/>
                </w:tcPr>
                <w:p w14:paraId="697E8B4C">
                  <w:pPr>
                    <w:pStyle w:val="12"/>
                    <w:rPr>
                      <w:rFonts w:hint="default" w:ascii="Times New Roman" w:hAnsi="Times New Roman" w:cs="Times New Roman"/>
                      <w:sz w:val="21"/>
                      <w:szCs w:val="21"/>
                    </w:rPr>
                  </w:pPr>
                  <w:r>
                    <w:rPr>
                      <w:rFonts w:hint="default" w:ascii="Times New Roman" w:hAnsi="Times New Roman" w:cs="Times New Roman"/>
                      <w:sz w:val="21"/>
                      <w:szCs w:val="21"/>
                    </w:rPr>
                    <w:t>10</w:t>
                  </w:r>
                  <w:r>
                    <w:rPr>
                      <w:rFonts w:hint="eastAsia" w:ascii="Times New Roman" w:hAnsi="Times New Roman" w:cs="Times New Roman"/>
                      <w:sz w:val="21"/>
                      <w:szCs w:val="21"/>
                      <w:lang w:val="en-US" w:eastAsia="zh-CN"/>
                    </w:rPr>
                    <w:t>7.133629</w:t>
                  </w:r>
                </w:p>
              </w:tc>
              <w:tc>
                <w:tcPr>
                  <w:tcW w:w="577" w:type="pct"/>
                  <w:vAlign w:val="center"/>
                </w:tcPr>
                <w:p w14:paraId="1AA58A02">
                  <w:pPr>
                    <w:pStyle w:val="12"/>
                    <w:rPr>
                      <w:rFonts w:hint="default" w:ascii="Times New Roman" w:hAnsi="Times New Roman" w:cs="Times New Roman"/>
                      <w:sz w:val="21"/>
                      <w:szCs w:val="21"/>
                    </w:rPr>
                  </w:pPr>
                  <w:r>
                    <w:rPr>
                      <w:rFonts w:hint="default" w:ascii="Times New Roman" w:hAnsi="Times New Roman" w:cs="Times New Roman"/>
                      <w:sz w:val="21"/>
                      <w:szCs w:val="21"/>
                    </w:rPr>
                    <w:t>31.</w:t>
                  </w:r>
                  <w:r>
                    <w:rPr>
                      <w:rFonts w:hint="eastAsia" w:ascii="Times New Roman" w:hAnsi="Times New Roman" w:cs="Times New Roman"/>
                      <w:sz w:val="21"/>
                      <w:szCs w:val="21"/>
                      <w:lang w:val="en-US" w:eastAsia="zh-CN"/>
                    </w:rPr>
                    <w:t>535010</w:t>
                  </w:r>
                </w:p>
              </w:tc>
              <w:tc>
                <w:tcPr>
                  <w:tcW w:w="501" w:type="pct"/>
                  <w:vAlign w:val="center"/>
                </w:tcPr>
                <w:p w14:paraId="17775C3E">
                  <w:pPr>
                    <w:pStyle w:val="12"/>
                    <w:rPr>
                      <w:rFonts w:hint="default" w:ascii="Times New Roman" w:hAnsi="Times New Roman" w:eastAsia="宋体" w:cs="Times New Roman"/>
                      <w:sz w:val="21"/>
                      <w:szCs w:val="21"/>
                      <w:lang w:val="en-US" w:eastAsia="zh-CN"/>
                    </w:rPr>
                  </w:pPr>
                  <w:r>
                    <w:rPr>
                      <w:rFonts w:hint="eastAsia" w:cs="Times New Roman"/>
                      <w:sz w:val="21"/>
                      <w:szCs w:val="21"/>
                      <w:lang w:val="en-US" w:eastAsia="zh-CN"/>
                    </w:rPr>
                    <w:t>西北侧</w:t>
                  </w:r>
                </w:p>
              </w:tc>
              <w:tc>
                <w:tcPr>
                  <w:tcW w:w="549" w:type="pct"/>
                  <w:vAlign w:val="center"/>
                </w:tcPr>
                <w:p w14:paraId="5B81E364">
                  <w:pPr>
                    <w:pStyle w:val="12"/>
                    <w:rPr>
                      <w:rFonts w:hint="default" w:ascii="Times New Roman" w:hAnsi="Times New Roman" w:eastAsia="宋体" w:cs="Times New Roman"/>
                      <w:sz w:val="21"/>
                      <w:szCs w:val="21"/>
                      <w:lang w:val="en-US" w:eastAsia="zh-CN"/>
                    </w:rPr>
                  </w:pPr>
                  <w:r>
                    <w:rPr>
                      <w:rFonts w:hint="eastAsia" w:ascii="Times New Roman" w:hAnsi="Times New Roman" w:cs="Times New Roman"/>
                      <w:sz w:val="21"/>
                      <w:szCs w:val="21"/>
                      <w:lang w:val="en-US" w:eastAsia="zh-CN"/>
                    </w:rPr>
                    <w:t>4</w:t>
                  </w:r>
                  <w:r>
                    <w:rPr>
                      <w:rFonts w:hint="eastAsia" w:cs="Times New Roman"/>
                      <w:sz w:val="21"/>
                      <w:szCs w:val="21"/>
                      <w:lang w:val="en-US" w:eastAsia="zh-CN"/>
                    </w:rPr>
                    <w:t>70</w:t>
                  </w:r>
                  <w:r>
                    <w:rPr>
                      <w:rFonts w:hint="eastAsia" w:ascii="Times New Roman" w:hAnsi="Times New Roman" w:cs="Times New Roman"/>
                      <w:sz w:val="21"/>
                      <w:szCs w:val="21"/>
                      <w:lang w:val="en-US" w:eastAsia="zh-CN"/>
                    </w:rPr>
                    <w:t>-4</w:t>
                  </w:r>
                  <w:r>
                    <w:rPr>
                      <w:rFonts w:hint="eastAsia" w:cs="Times New Roman"/>
                      <w:sz w:val="21"/>
                      <w:szCs w:val="21"/>
                      <w:lang w:val="en-US" w:eastAsia="zh-CN"/>
                    </w:rPr>
                    <w:t>9</w:t>
                  </w:r>
                  <w:r>
                    <w:rPr>
                      <w:rFonts w:hint="eastAsia" w:ascii="Times New Roman" w:hAnsi="Times New Roman" w:cs="Times New Roman"/>
                      <w:sz w:val="21"/>
                      <w:szCs w:val="21"/>
                      <w:lang w:val="en-US" w:eastAsia="zh-CN"/>
                    </w:rPr>
                    <w:t>0</w:t>
                  </w:r>
                </w:p>
              </w:tc>
              <w:tc>
                <w:tcPr>
                  <w:tcW w:w="320" w:type="pct"/>
                  <w:vAlign w:val="center"/>
                </w:tcPr>
                <w:p w14:paraId="1CF74749">
                  <w:pPr>
                    <w:pStyle w:val="12"/>
                    <w:rPr>
                      <w:rFonts w:hint="default" w:ascii="Times New Roman" w:hAnsi="Times New Roman" w:cs="Times New Roman"/>
                      <w:sz w:val="21"/>
                      <w:szCs w:val="21"/>
                      <w:lang w:val="zh-CN"/>
                    </w:rPr>
                  </w:pPr>
                  <w:r>
                    <w:rPr>
                      <w:rFonts w:hint="eastAsia" w:cs="Times New Roman"/>
                      <w:sz w:val="21"/>
                      <w:szCs w:val="21"/>
                      <w:lang w:val="en-US" w:eastAsia="zh-CN"/>
                    </w:rPr>
                    <w:t>居民</w:t>
                  </w:r>
                </w:p>
              </w:tc>
              <w:tc>
                <w:tcPr>
                  <w:tcW w:w="518" w:type="pct"/>
                  <w:vAlign w:val="center"/>
                </w:tcPr>
                <w:p w14:paraId="38B8BB4D">
                  <w:pPr>
                    <w:pStyle w:val="12"/>
                    <w:rPr>
                      <w:rFonts w:hint="eastAsia" w:cs="Times New Roman"/>
                      <w:sz w:val="21"/>
                      <w:szCs w:val="21"/>
                      <w:lang w:val="en-US" w:eastAsia="zh-CN"/>
                    </w:rPr>
                  </w:pPr>
                  <w:r>
                    <w:rPr>
                      <w:rFonts w:hint="eastAsia" w:ascii="Times New Roman" w:hAnsi="Times New Roman" w:cs="Times New Roman"/>
                      <w:sz w:val="21"/>
                      <w:szCs w:val="21"/>
                      <w:lang w:val="en-US" w:eastAsia="zh-CN"/>
                    </w:rPr>
                    <w:t>7户，约21人</w:t>
                  </w:r>
                </w:p>
              </w:tc>
              <w:tc>
                <w:tcPr>
                  <w:tcW w:w="717" w:type="pct"/>
                  <w:vMerge w:val="continue"/>
                  <w:vAlign w:val="center"/>
                </w:tcPr>
                <w:p w14:paraId="1D235849">
                  <w:pPr>
                    <w:pStyle w:val="12"/>
                    <w:rPr>
                      <w:rFonts w:hint="default" w:ascii="Times New Roman" w:hAnsi="Times New Roman" w:cs="Times New Roman"/>
                      <w:sz w:val="21"/>
                      <w:szCs w:val="21"/>
                    </w:rPr>
                  </w:pPr>
                </w:p>
              </w:tc>
            </w:tr>
            <w:tr w14:paraId="068B8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559" w:type="pct"/>
                  <w:vMerge w:val="continue"/>
                  <w:vAlign w:val="center"/>
                </w:tcPr>
                <w:p w14:paraId="60278D32">
                  <w:pPr>
                    <w:pStyle w:val="12"/>
                    <w:rPr>
                      <w:rFonts w:hint="default" w:ascii="Times New Roman" w:hAnsi="Times New Roman" w:cs="Times New Roman"/>
                      <w:sz w:val="21"/>
                      <w:szCs w:val="21"/>
                      <w:lang w:val="zh-CN"/>
                    </w:rPr>
                  </w:pPr>
                </w:p>
              </w:tc>
              <w:tc>
                <w:tcPr>
                  <w:tcW w:w="605" w:type="pct"/>
                  <w:vAlign w:val="center"/>
                </w:tcPr>
                <w:p w14:paraId="7D4F147D">
                  <w:pPr>
                    <w:pStyle w:val="12"/>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平昌县星光实验学校</w:t>
                  </w:r>
                </w:p>
              </w:tc>
              <w:tc>
                <w:tcPr>
                  <w:tcW w:w="648" w:type="pct"/>
                  <w:vAlign w:val="center"/>
                </w:tcPr>
                <w:p w14:paraId="0114DBB4">
                  <w:pPr>
                    <w:pStyle w:val="12"/>
                    <w:rPr>
                      <w:rFonts w:hint="default" w:ascii="Times New Roman" w:hAnsi="Times New Roman" w:cs="Times New Roman"/>
                      <w:sz w:val="21"/>
                      <w:szCs w:val="21"/>
                    </w:rPr>
                  </w:pPr>
                  <w:r>
                    <w:rPr>
                      <w:rFonts w:hint="default" w:ascii="Times New Roman" w:hAnsi="Times New Roman" w:cs="Times New Roman"/>
                      <w:sz w:val="21"/>
                      <w:szCs w:val="21"/>
                    </w:rPr>
                    <w:t>10</w:t>
                  </w:r>
                  <w:r>
                    <w:rPr>
                      <w:rFonts w:hint="eastAsia" w:ascii="Times New Roman" w:hAnsi="Times New Roman" w:cs="Times New Roman"/>
                      <w:sz w:val="21"/>
                      <w:szCs w:val="21"/>
                      <w:lang w:val="en-US" w:eastAsia="zh-CN"/>
                    </w:rPr>
                    <w:t>7.133586</w:t>
                  </w:r>
                </w:p>
              </w:tc>
              <w:tc>
                <w:tcPr>
                  <w:tcW w:w="577" w:type="pct"/>
                  <w:vAlign w:val="center"/>
                </w:tcPr>
                <w:p w14:paraId="412FF4C4">
                  <w:pPr>
                    <w:pStyle w:val="12"/>
                    <w:rPr>
                      <w:rFonts w:hint="default" w:ascii="Times New Roman" w:hAnsi="Times New Roman" w:cs="Times New Roman"/>
                      <w:sz w:val="21"/>
                      <w:szCs w:val="21"/>
                    </w:rPr>
                  </w:pPr>
                  <w:r>
                    <w:rPr>
                      <w:rFonts w:hint="default" w:ascii="Times New Roman" w:hAnsi="Times New Roman" w:cs="Times New Roman"/>
                      <w:sz w:val="21"/>
                      <w:szCs w:val="21"/>
                    </w:rPr>
                    <w:t>31.</w:t>
                  </w:r>
                  <w:r>
                    <w:rPr>
                      <w:rFonts w:hint="eastAsia" w:ascii="Times New Roman" w:hAnsi="Times New Roman" w:cs="Times New Roman"/>
                      <w:sz w:val="21"/>
                      <w:szCs w:val="21"/>
                      <w:lang w:val="en-US" w:eastAsia="zh-CN"/>
                    </w:rPr>
                    <w:t>533283</w:t>
                  </w:r>
                </w:p>
              </w:tc>
              <w:tc>
                <w:tcPr>
                  <w:tcW w:w="501" w:type="pct"/>
                  <w:vAlign w:val="center"/>
                </w:tcPr>
                <w:p w14:paraId="13ABE316">
                  <w:pPr>
                    <w:pStyle w:val="12"/>
                    <w:rPr>
                      <w:rFonts w:hint="default" w:ascii="Times New Roman" w:hAnsi="Times New Roman" w:eastAsia="宋体" w:cs="Times New Roman"/>
                      <w:sz w:val="21"/>
                      <w:szCs w:val="21"/>
                      <w:lang w:val="en-US" w:eastAsia="zh-CN"/>
                    </w:rPr>
                  </w:pPr>
                  <w:r>
                    <w:rPr>
                      <w:rFonts w:hint="eastAsia" w:cs="Times New Roman"/>
                      <w:sz w:val="21"/>
                      <w:szCs w:val="21"/>
                      <w:lang w:val="en-US" w:eastAsia="zh-CN"/>
                    </w:rPr>
                    <w:t>西侧</w:t>
                  </w:r>
                </w:p>
              </w:tc>
              <w:tc>
                <w:tcPr>
                  <w:tcW w:w="549" w:type="pct"/>
                  <w:vAlign w:val="center"/>
                </w:tcPr>
                <w:p w14:paraId="0CB377D3">
                  <w:pPr>
                    <w:pStyle w:val="12"/>
                    <w:rPr>
                      <w:rFonts w:hint="default" w:ascii="Times New Roman" w:hAnsi="Times New Roman" w:eastAsia="宋体" w:cs="Times New Roman"/>
                      <w:sz w:val="21"/>
                      <w:szCs w:val="21"/>
                      <w:lang w:val="en-US" w:eastAsia="zh-CN"/>
                    </w:rPr>
                  </w:pPr>
                  <w:r>
                    <w:rPr>
                      <w:rFonts w:hint="eastAsia" w:ascii="Times New Roman" w:hAnsi="Times New Roman" w:cs="Times New Roman"/>
                      <w:sz w:val="21"/>
                      <w:szCs w:val="21"/>
                      <w:lang w:val="en-US" w:eastAsia="zh-CN"/>
                    </w:rPr>
                    <w:t>3</w:t>
                  </w:r>
                  <w:r>
                    <w:rPr>
                      <w:rFonts w:hint="eastAsia" w:cs="Times New Roman"/>
                      <w:sz w:val="21"/>
                      <w:szCs w:val="21"/>
                      <w:lang w:val="en-US" w:eastAsia="zh-CN"/>
                    </w:rPr>
                    <w:t>1</w:t>
                  </w:r>
                  <w:r>
                    <w:rPr>
                      <w:rFonts w:hint="eastAsia" w:ascii="Times New Roman" w:hAnsi="Times New Roman" w:cs="Times New Roman"/>
                      <w:sz w:val="21"/>
                      <w:szCs w:val="21"/>
                      <w:lang w:val="en-US" w:eastAsia="zh-CN"/>
                    </w:rPr>
                    <w:t>0-540</w:t>
                  </w:r>
                </w:p>
              </w:tc>
              <w:tc>
                <w:tcPr>
                  <w:tcW w:w="320" w:type="pct"/>
                  <w:vAlign w:val="center"/>
                </w:tcPr>
                <w:p w14:paraId="736B94EB">
                  <w:pPr>
                    <w:pStyle w:val="12"/>
                    <w:rPr>
                      <w:rFonts w:hint="default" w:ascii="Times New Roman" w:hAnsi="Times New Roman" w:cs="Times New Roman"/>
                      <w:sz w:val="21"/>
                      <w:szCs w:val="21"/>
                      <w:lang w:val="en-US"/>
                    </w:rPr>
                  </w:pPr>
                  <w:r>
                    <w:rPr>
                      <w:rFonts w:hint="eastAsia" w:cs="Times New Roman"/>
                      <w:sz w:val="21"/>
                      <w:szCs w:val="21"/>
                      <w:lang w:val="en-US" w:eastAsia="zh-CN"/>
                    </w:rPr>
                    <w:t>学校</w:t>
                  </w:r>
                </w:p>
              </w:tc>
              <w:tc>
                <w:tcPr>
                  <w:tcW w:w="518" w:type="pct"/>
                  <w:vAlign w:val="center"/>
                </w:tcPr>
                <w:p w14:paraId="24BE8C85">
                  <w:pPr>
                    <w:pStyle w:val="12"/>
                    <w:rPr>
                      <w:rFonts w:hint="eastAsia" w:cs="Times New Roman"/>
                      <w:sz w:val="21"/>
                      <w:szCs w:val="21"/>
                      <w:lang w:val="en-US" w:eastAsia="zh-CN"/>
                    </w:rPr>
                  </w:pPr>
                  <w:r>
                    <w:rPr>
                      <w:rFonts w:hint="eastAsia" w:ascii="Times New Roman" w:hAnsi="Times New Roman" w:cs="Times New Roman"/>
                      <w:sz w:val="21"/>
                      <w:szCs w:val="21"/>
                      <w:lang w:val="en-US" w:eastAsia="zh-CN"/>
                    </w:rPr>
                    <w:t>约1500人</w:t>
                  </w:r>
                </w:p>
              </w:tc>
              <w:tc>
                <w:tcPr>
                  <w:tcW w:w="717" w:type="pct"/>
                  <w:vMerge w:val="continue"/>
                  <w:vAlign w:val="center"/>
                </w:tcPr>
                <w:p w14:paraId="59F682F5">
                  <w:pPr>
                    <w:pStyle w:val="12"/>
                    <w:rPr>
                      <w:rFonts w:hint="default" w:ascii="Times New Roman" w:hAnsi="Times New Roman" w:cs="Times New Roman"/>
                      <w:sz w:val="21"/>
                      <w:szCs w:val="21"/>
                    </w:rPr>
                  </w:pPr>
                </w:p>
              </w:tc>
            </w:tr>
            <w:tr w14:paraId="59195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559" w:type="pct"/>
                  <w:vMerge w:val="continue"/>
                  <w:vAlign w:val="center"/>
                </w:tcPr>
                <w:p w14:paraId="0CE27984">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sz w:val="21"/>
                      <w:szCs w:val="21"/>
                      <w:lang w:val="zh-CN"/>
                    </w:rPr>
                  </w:pPr>
                </w:p>
              </w:tc>
              <w:tc>
                <w:tcPr>
                  <w:tcW w:w="605" w:type="pct"/>
                  <w:vAlign w:val="center"/>
                </w:tcPr>
                <w:p w14:paraId="44E4BD02">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cs="Times New Roman"/>
                      <w:sz w:val="21"/>
                      <w:szCs w:val="21"/>
                      <w:lang w:val="en-US" w:eastAsia="zh-CN"/>
                    </w:rPr>
                  </w:pPr>
                  <w:r>
                    <w:rPr>
                      <w:rFonts w:hint="eastAsia" w:cs="Times New Roman"/>
                      <w:sz w:val="21"/>
                      <w:szCs w:val="21"/>
                      <w:lang w:val="en-US" w:eastAsia="zh-CN"/>
                    </w:rPr>
                    <w:t>狮子滩</w:t>
                  </w:r>
                </w:p>
              </w:tc>
              <w:tc>
                <w:tcPr>
                  <w:tcW w:w="648" w:type="pct"/>
                  <w:vAlign w:val="center"/>
                </w:tcPr>
                <w:p w14:paraId="060C62E6">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sz w:val="21"/>
                      <w:szCs w:val="21"/>
                    </w:rPr>
                  </w:pPr>
                  <w:r>
                    <w:rPr>
                      <w:rFonts w:hint="default" w:ascii="Times New Roman" w:hAnsi="Times New Roman" w:cs="Times New Roman"/>
                      <w:sz w:val="21"/>
                      <w:szCs w:val="21"/>
                    </w:rPr>
                    <w:t>107.115804</w:t>
                  </w:r>
                </w:p>
              </w:tc>
              <w:tc>
                <w:tcPr>
                  <w:tcW w:w="577" w:type="pct"/>
                  <w:vAlign w:val="center"/>
                </w:tcPr>
                <w:p w14:paraId="2930A1FD">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sz w:val="21"/>
                      <w:szCs w:val="21"/>
                    </w:rPr>
                  </w:pPr>
                  <w:r>
                    <w:rPr>
                      <w:rFonts w:hint="default" w:ascii="Times New Roman" w:hAnsi="Times New Roman" w:cs="Times New Roman"/>
                      <w:sz w:val="21"/>
                      <w:szCs w:val="21"/>
                    </w:rPr>
                    <w:t>31.548096</w:t>
                  </w:r>
                </w:p>
              </w:tc>
              <w:tc>
                <w:tcPr>
                  <w:tcW w:w="501" w:type="pct"/>
                  <w:vAlign w:val="center"/>
                </w:tcPr>
                <w:p w14:paraId="1C398AB2">
                  <w:pPr>
                    <w:pStyle w:val="12"/>
                    <w:keepNext w:val="0"/>
                    <w:keepLines w:val="0"/>
                    <w:pageBreakBefore w:val="0"/>
                    <w:widowControl/>
                    <w:kinsoku/>
                    <w:wordWrap/>
                    <w:overflowPunct/>
                    <w:topLinePunct w:val="0"/>
                    <w:autoSpaceDE/>
                    <w:autoSpaceDN/>
                    <w:bidi w:val="0"/>
                    <w:spacing w:line="240" w:lineRule="auto"/>
                    <w:ind w:firstLine="0" w:firstLineChars="0"/>
                    <w:rPr>
                      <w:rFonts w:hint="default" w:cs="Times New Roman"/>
                      <w:sz w:val="21"/>
                      <w:szCs w:val="21"/>
                      <w:lang w:val="en-US" w:eastAsia="zh-CN"/>
                    </w:rPr>
                  </w:pPr>
                  <w:r>
                    <w:rPr>
                      <w:rFonts w:hint="eastAsia" w:cs="Times New Roman"/>
                      <w:sz w:val="21"/>
                      <w:szCs w:val="21"/>
                      <w:lang w:val="en-US" w:eastAsia="zh-CN"/>
                    </w:rPr>
                    <w:t>西北侧</w:t>
                  </w:r>
                </w:p>
              </w:tc>
              <w:tc>
                <w:tcPr>
                  <w:tcW w:w="549" w:type="pct"/>
                  <w:vAlign w:val="center"/>
                </w:tcPr>
                <w:p w14:paraId="62D5EB6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sz w:val="21"/>
                      <w:szCs w:val="21"/>
                      <w:lang w:val="en-US" w:eastAsia="zh-CN"/>
                    </w:rPr>
                  </w:pPr>
                  <w:r>
                    <w:rPr>
                      <w:rFonts w:hint="eastAsia" w:cs="Times New Roman"/>
                      <w:sz w:val="21"/>
                      <w:szCs w:val="21"/>
                      <w:lang w:val="en-US" w:eastAsia="zh-CN"/>
                    </w:rPr>
                    <w:t>2700-2800</w:t>
                  </w:r>
                </w:p>
              </w:tc>
              <w:tc>
                <w:tcPr>
                  <w:tcW w:w="320" w:type="pct"/>
                  <w:vAlign w:val="center"/>
                </w:tcPr>
                <w:p w14:paraId="15E41A97">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sz w:val="21"/>
                      <w:szCs w:val="21"/>
                      <w:lang w:val="en-US" w:eastAsia="zh-CN"/>
                    </w:rPr>
                  </w:pPr>
                  <w:r>
                    <w:rPr>
                      <w:rFonts w:hint="eastAsia" w:cs="Times New Roman"/>
                      <w:sz w:val="21"/>
                      <w:szCs w:val="21"/>
                      <w:lang w:val="en-US" w:eastAsia="zh-CN"/>
                    </w:rPr>
                    <w:t>居民</w:t>
                  </w:r>
                </w:p>
              </w:tc>
              <w:tc>
                <w:tcPr>
                  <w:tcW w:w="518" w:type="pct"/>
                  <w:vAlign w:val="center"/>
                </w:tcPr>
                <w:p w14:paraId="40C2D660">
                  <w:pPr>
                    <w:pStyle w:val="12"/>
                    <w:keepNext w:val="0"/>
                    <w:keepLines w:val="0"/>
                    <w:pageBreakBefore w:val="0"/>
                    <w:widowControl/>
                    <w:kinsoku/>
                    <w:wordWrap/>
                    <w:overflowPunct/>
                    <w:topLinePunct w:val="0"/>
                    <w:autoSpaceDE/>
                    <w:autoSpaceDN/>
                    <w:bidi w:val="0"/>
                    <w:spacing w:line="240" w:lineRule="auto"/>
                    <w:ind w:firstLine="0" w:firstLineChars="0"/>
                    <w:rPr>
                      <w:rFonts w:hint="eastAsia" w:cs="Times New Roman"/>
                      <w:sz w:val="21"/>
                      <w:szCs w:val="21"/>
                      <w:lang w:val="en-US" w:eastAsia="zh-CN"/>
                    </w:rPr>
                  </w:pPr>
                  <w:r>
                    <w:rPr>
                      <w:rFonts w:hint="eastAsia" w:cs="Times New Roman"/>
                      <w:sz w:val="21"/>
                      <w:szCs w:val="21"/>
                      <w:lang w:val="en-US" w:eastAsia="zh-CN"/>
                    </w:rPr>
                    <w:t>30户，约90人</w:t>
                  </w:r>
                </w:p>
              </w:tc>
              <w:tc>
                <w:tcPr>
                  <w:tcW w:w="717" w:type="pct"/>
                  <w:vMerge w:val="continue"/>
                  <w:vAlign w:val="center"/>
                </w:tcPr>
                <w:p w14:paraId="19F9547C">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sz w:val="21"/>
                      <w:szCs w:val="21"/>
                    </w:rPr>
                  </w:pPr>
                </w:p>
              </w:tc>
            </w:tr>
            <w:tr w14:paraId="06E96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559" w:type="pct"/>
                  <w:vMerge w:val="continue"/>
                  <w:vAlign w:val="center"/>
                </w:tcPr>
                <w:p w14:paraId="23D0DECC">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sz w:val="21"/>
                      <w:szCs w:val="21"/>
                      <w:lang w:val="zh-CN"/>
                    </w:rPr>
                  </w:pPr>
                </w:p>
              </w:tc>
              <w:tc>
                <w:tcPr>
                  <w:tcW w:w="605" w:type="pct"/>
                  <w:vAlign w:val="center"/>
                </w:tcPr>
                <w:p w14:paraId="7E7342F4">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cs="Times New Roman"/>
                      <w:sz w:val="21"/>
                      <w:szCs w:val="21"/>
                      <w:lang w:val="en-US" w:eastAsia="zh-CN"/>
                    </w:rPr>
                  </w:pPr>
                  <w:r>
                    <w:rPr>
                      <w:rFonts w:hint="eastAsia" w:cs="Times New Roman"/>
                      <w:sz w:val="21"/>
                      <w:szCs w:val="21"/>
                      <w:lang w:val="en-US" w:eastAsia="zh-CN"/>
                    </w:rPr>
                    <w:t>老鹰寨</w:t>
                  </w:r>
                </w:p>
              </w:tc>
              <w:tc>
                <w:tcPr>
                  <w:tcW w:w="648" w:type="pct"/>
                  <w:vAlign w:val="center"/>
                </w:tcPr>
                <w:p w14:paraId="62FE7710">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sz w:val="21"/>
                      <w:szCs w:val="21"/>
                    </w:rPr>
                  </w:pPr>
                  <w:r>
                    <w:rPr>
                      <w:rFonts w:hint="default" w:ascii="Times New Roman" w:hAnsi="Times New Roman" w:cs="Times New Roman"/>
                      <w:sz w:val="21"/>
                      <w:szCs w:val="21"/>
                    </w:rPr>
                    <w:t>107.131168</w:t>
                  </w:r>
                </w:p>
              </w:tc>
              <w:tc>
                <w:tcPr>
                  <w:tcW w:w="577" w:type="pct"/>
                  <w:vAlign w:val="center"/>
                </w:tcPr>
                <w:p w14:paraId="2CA0AB77">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sz w:val="21"/>
                      <w:szCs w:val="21"/>
                    </w:rPr>
                  </w:pPr>
                  <w:r>
                    <w:rPr>
                      <w:rFonts w:hint="default" w:ascii="Times New Roman" w:hAnsi="Times New Roman" w:cs="Times New Roman"/>
                      <w:sz w:val="21"/>
                      <w:szCs w:val="21"/>
                    </w:rPr>
                    <w:t>31.550671</w:t>
                  </w:r>
                </w:p>
              </w:tc>
              <w:tc>
                <w:tcPr>
                  <w:tcW w:w="501" w:type="pct"/>
                  <w:vAlign w:val="center"/>
                </w:tcPr>
                <w:p w14:paraId="0A05289D">
                  <w:pPr>
                    <w:pStyle w:val="12"/>
                    <w:keepNext w:val="0"/>
                    <w:keepLines w:val="0"/>
                    <w:pageBreakBefore w:val="0"/>
                    <w:widowControl/>
                    <w:kinsoku/>
                    <w:wordWrap/>
                    <w:overflowPunct/>
                    <w:topLinePunct w:val="0"/>
                    <w:autoSpaceDE/>
                    <w:autoSpaceDN/>
                    <w:bidi w:val="0"/>
                    <w:spacing w:line="240" w:lineRule="auto"/>
                    <w:ind w:firstLine="0" w:firstLineChars="0"/>
                    <w:rPr>
                      <w:rFonts w:hint="default" w:cs="Times New Roman"/>
                      <w:sz w:val="21"/>
                      <w:szCs w:val="21"/>
                      <w:lang w:val="en-US" w:eastAsia="zh-CN"/>
                    </w:rPr>
                  </w:pPr>
                  <w:r>
                    <w:rPr>
                      <w:rFonts w:hint="eastAsia" w:cs="Times New Roman"/>
                      <w:sz w:val="21"/>
                      <w:szCs w:val="21"/>
                      <w:lang w:val="en-US" w:eastAsia="zh-CN"/>
                    </w:rPr>
                    <w:t>西北侧</w:t>
                  </w:r>
                </w:p>
              </w:tc>
              <w:tc>
                <w:tcPr>
                  <w:tcW w:w="549" w:type="pct"/>
                  <w:vAlign w:val="center"/>
                </w:tcPr>
                <w:p w14:paraId="7F71509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sz w:val="21"/>
                      <w:szCs w:val="21"/>
                      <w:lang w:val="en-US" w:eastAsia="zh-CN"/>
                    </w:rPr>
                  </w:pPr>
                  <w:r>
                    <w:rPr>
                      <w:rFonts w:hint="eastAsia" w:cs="Times New Roman"/>
                      <w:sz w:val="21"/>
                      <w:szCs w:val="21"/>
                      <w:lang w:val="en-US" w:eastAsia="zh-CN"/>
                    </w:rPr>
                    <w:t>2050-2200</w:t>
                  </w:r>
                </w:p>
              </w:tc>
              <w:tc>
                <w:tcPr>
                  <w:tcW w:w="320" w:type="pct"/>
                  <w:vAlign w:val="center"/>
                </w:tcPr>
                <w:p w14:paraId="4CEF8CD8">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sz w:val="21"/>
                      <w:szCs w:val="21"/>
                      <w:lang w:val="en-US" w:eastAsia="zh-CN"/>
                    </w:rPr>
                  </w:pPr>
                  <w:r>
                    <w:rPr>
                      <w:rFonts w:hint="eastAsia" w:cs="Times New Roman"/>
                      <w:sz w:val="21"/>
                      <w:szCs w:val="21"/>
                      <w:lang w:val="en-US" w:eastAsia="zh-CN"/>
                    </w:rPr>
                    <w:t>居民</w:t>
                  </w:r>
                </w:p>
              </w:tc>
              <w:tc>
                <w:tcPr>
                  <w:tcW w:w="518" w:type="pct"/>
                  <w:vAlign w:val="center"/>
                </w:tcPr>
                <w:p w14:paraId="53CC4D78">
                  <w:pPr>
                    <w:pStyle w:val="12"/>
                    <w:keepNext w:val="0"/>
                    <w:keepLines w:val="0"/>
                    <w:pageBreakBefore w:val="0"/>
                    <w:widowControl/>
                    <w:kinsoku/>
                    <w:wordWrap/>
                    <w:overflowPunct/>
                    <w:topLinePunct w:val="0"/>
                    <w:autoSpaceDE/>
                    <w:autoSpaceDN/>
                    <w:bidi w:val="0"/>
                    <w:spacing w:line="240" w:lineRule="auto"/>
                    <w:ind w:firstLine="0" w:firstLineChars="0"/>
                    <w:rPr>
                      <w:rFonts w:hint="eastAsia" w:cs="Times New Roman"/>
                      <w:sz w:val="21"/>
                      <w:szCs w:val="21"/>
                      <w:lang w:val="en-US" w:eastAsia="zh-CN"/>
                    </w:rPr>
                  </w:pPr>
                  <w:r>
                    <w:rPr>
                      <w:rFonts w:hint="eastAsia" w:cs="Times New Roman"/>
                      <w:sz w:val="21"/>
                      <w:szCs w:val="21"/>
                      <w:lang w:val="en-US" w:eastAsia="zh-CN"/>
                    </w:rPr>
                    <w:t>45户，约135人</w:t>
                  </w:r>
                </w:p>
              </w:tc>
              <w:tc>
                <w:tcPr>
                  <w:tcW w:w="717" w:type="pct"/>
                  <w:vMerge w:val="continue"/>
                  <w:vAlign w:val="center"/>
                </w:tcPr>
                <w:p w14:paraId="05CFC09E">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sz w:val="21"/>
                      <w:szCs w:val="21"/>
                    </w:rPr>
                  </w:pPr>
                </w:p>
              </w:tc>
            </w:tr>
            <w:tr w14:paraId="498FD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559" w:type="pct"/>
                  <w:vMerge w:val="continue"/>
                  <w:vAlign w:val="center"/>
                </w:tcPr>
                <w:p w14:paraId="1624C9CE">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sz w:val="21"/>
                      <w:szCs w:val="21"/>
                      <w:lang w:val="zh-CN"/>
                    </w:rPr>
                  </w:pPr>
                </w:p>
              </w:tc>
              <w:tc>
                <w:tcPr>
                  <w:tcW w:w="605" w:type="pct"/>
                  <w:vAlign w:val="center"/>
                </w:tcPr>
                <w:p w14:paraId="4BF6D025">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cs="Times New Roman"/>
                      <w:sz w:val="21"/>
                      <w:szCs w:val="21"/>
                      <w:lang w:val="en-US" w:eastAsia="zh-CN"/>
                    </w:rPr>
                  </w:pPr>
                  <w:r>
                    <w:rPr>
                      <w:rFonts w:hint="eastAsia" w:cs="Times New Roman"/>
                      <w:sz w:val="21"/>
                      <w:szCs w:val="21"/>
                      <w:lang w:val="en-US" w:eastAsia="zh-CN"/>
                    </w:rPr>
                    <w:t>方家坝</w:t>
                  </w:r>
                </w:p>
              </w:tc>
              <w:tc>
                <w:tcPr>
                  <w:tcW w:w="648" w:type="pct"/>
                  <w:vAlign w:val="center"/>
                </w:tcPr>
                <w:p w14:paraId="49C54FB0">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sz w:val="21"/>
                      <w:szCs w:val="21"/>
                    </w:rPr>
                  </w:pPr>
                  <w:r>
                    <w:rPr>
                      <w:rFonts w:hint="default" w:ascii="Times New Roman" w:hAnsi="Times New Roman" w:cs="Times New Roman"/>
                      <w:sz w:val="21"/>
                      <w:szCs w:val="21"/>
                    </w:rPr>
                    <w:t>107.125718</w:t>
                  </w:r>
                </w:p>
              </w:tc>
              <w:tc>
                <w:tcPr>
                  <w:tcW w:w="577" w:type="pct"/>
                  <w:vAlign w:val="center"/>
                </w:tcPr>
                <w:p w14:paraId="2034CF43">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sz w:val="21"/>
                      <w:szCs w:val="21"/>
                    </w:rPr>
                  </w:pPr>
                  <w:r>
                    <w:rPr>
                      <w:rFonts w:hint="default" w:ascii="Times New Roman" w:hAnsi="Times New Roman" w:cs="Times New Roman"/>
                      <w:sz w:val="21"/>
                      <w:szCs w:val="21"/>
                    </w:rPr>
                    <w:t>31.547195</w:t>
                  </w:r>
                </w:p>
              </w:tc>
              <w:tc>
                <w:tcPr>
                  <w:tcW w:w="501" w:type="pct"/>
                  <w:vAlign w:val="center"/>
                </w:tcPr>
                <w:p w14:paraId="1D37AE9B">
                  <w:pPr>
                    <w:pStyle w:val="12"/>
                    <w:keepNext w:val="0"/>
                    <w:keepLines w:val="0"/>
                    <w:pageBreakBefore w:val="0"/>
                    <w:widowControl/>
                    <w:kinsoku/>
                    <w:wordWrap/>
                    <w:overflowPunct/>
                    <w:topLinePunct w:val="0"/>
                    <w:autoSpaceDE/>
                    <w:autoSpaceDN/>
                    <w:bidi w:val="0"/>
                    <w:spacing w:line="240" w:lineRule="auto"/>
                    <w:ind w:firstLine="0" w:firstLineChars="0"/>
                    <w:rPr>
                      <w:rFonts w:hint="default" w:cs="Times New Roman"/>
                      <w:sz w:val="21"/>
                      <w:szCs w:val="21"/>
                      <w:lang w:val="en-US" w:eastAsia="zh-CN"/>
                    </w:rPr>
                  </w:pPr>
                  <w:r>
                    <w:rPr>
                      <w:rFonts w:hint="eastAsia" w:cs="Times New Roman"/>
                      <w:sz w:val="21"/>
                      <w:szCs w:val="21"/>
                      <w:lang w:val="en-US" w:eastAsia="zh-CN"/>
                    </w:rPr>
                    <w:t>西北侧</w:t>
                  </w:r>
                </w:p>
              </w:tc>
              <w:tc>
                <w:tcPr>
                  <w:tcW w:w="549" w:type="pct"/>
                  <w:vAlign w:val="center"/>
                </w:tcPr>
                <w:p w14:paraId="79822B6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sz w:val="21"/>
                      <w:szCs w:val="21"/>
                      <w:lang w:val="en-US" w:eastAsia="zh-CN"/>
                    </w:rPr>
                  </w:pPr>
                  <w:r>
                    <w:rPr>
                      <w:rFonts w:hint="eastAsia" w:cs="Times New Roman"/>
                      <w:sz w:val="21"/>
                      <w:szCs w:val="21"/>
                      <w:lang w:val="en-US" w:eastAsia="zh-CN"/>
                    </w:rPr>
                    <w:t>2060-2280</w:t>
                  </w:r>
                </w:p>
              </w:tc>
              <w:tc>
                <w:tcPr>
                  <w:tcW w:w="320" w:type="pct"/>
                  <w:vAlign w:val="center"/>
                </w:tcPr>
                <w:p w14:paraId="44D57E9D">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sz w:val="21"/>
                      <w:szCs w:val="21"/>
                      <w:lang w:val="en-US" w:eastAsia="zh-CN"/>
                    </w:rPr>
                  </w:pPr>
                  <w:r>
                    <w:rPr>
                      <w:rFonts w:hint="eastAsia" w:cs="Times New Roman"/>
                      <w:sz w:val="21"/>
                      <w:szCs w:val="21"/>
                      <w:lang w:val="en-US" w:eastAsia="zh-CN"/>
                    </w:rPr>
                    <w:t>居民</w:t>
                  </w:r>
                </w:p>
              </w:tc>
              <w:tc>
                <w:tcPr>
                  <w:tcW w:w="518" w:type="pct"/>
                  <w:vAlign w:val="center"/>
                </w:tcPr>
                <w:p w14:paraId="59DD27E1">
                  <w:pPr>
                    <w:pStyle w:val="12"/>
                    <w:keepNext w:val="0"/>
                    <w:keepLines w:val="0"/>
                    <w:pageBreakBefore w:val="0"/>
                    <w:widowControl/>
                    <w:kinsoku/>
                    <w:wordWrap/>
                    <w:overflowPunct/>
                    <w:topLinePunct w:val="0"/>
                    <w:autoSpaceDE/>
                    <w:autoSpaceDN/>
                    <w:bidi w:val="0"/>
                    <w:spacing w:line="240" w:lineRule="auto"/>
                    <w:ind w:firstLine="0" w:firstLineChars="0"/>
                    <w:rPr>
                      <w:rFonts w:hint="eastAsia" w:cs="Times New Roman"/>
                      <w:sz w:val="21"/>
                      <w:szCs w:val="21"/>
                      <w:lang w:val="en-US" w:eastAsia="zh-CN"/>
                    </w:rPr>
                  </w:pPr>
                  <w:r>
                    <w:rPr>
                      <w:rFonts w:hint="eastAsia" w:cs="Times New Roman"/>
                      <w:sz w:val="21"/>
                      <w:szCs w:val="21"/>
                      <w:lang w:val="en-US" w:eastAsia="zh-CN"/>
                    </w:rPr>
                    <w:t>35户，约105人</w:t>
                  </w:r>
                </w:p>
              </w:tc>
              <w:tc>
                <w:tcPr>
                  <w:tcW w:w="717" w:type="pct"/>
                  <w:vMerge w:val="continue"/>
                  <w:vAlign w:val="center"/>
                </w:tcPr>
                <w:p w14:paraId="08410403">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sz w:val="21"/>
                      <w:szCs w:val="21"/>
                    </w:rPr>
                  </w:pPr>
                </w:p>
              </w:tc>
            </w:tr>
            <w:tr w14:paraId="4E57D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559" w:type="pct"/>
                  <w:vMerge w:val="continue"/>
                  <w:vAlign w:val="center"/>
                </w:tcPr>
                <w:p w14:paraId="3748F004">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sz w:val="21"/>
                      <w:szCs w:val="21"/>
                      <w:lang w:val="zh-CN"/>
                    </w:rPr>
                  </w:pPr>
                </w:p>
              </w:tc>
              <w:tc>
                <w:tcPr>
                  <w:tcW w:w="605" w:type="pct"/>
                  <w:vAlign w:val="center"/>
                </w:tcPr>
                <w:p w14:paraId="3EAC8AA4">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cs="Times New Roman"/>
                      <w:sz w:val="21"/>
                      <w:szCs w:val="21"/>
                      <w:lang w:val="en-US" w:eastAsia="zh-CN"/>
                    </w:rPr>
                  </w:pPr>
                  <w:r>
                    <w:rPr>
                      <w:rFonts w:hint="eastAsia" w:cs="Times New Roman"/>
                      <w:sz w:val="21"/>
                      <w:szCs w:val="21"/>
                      <w:lang w:val="en-US" w:eastAsia="zh-CN"/>
                    </w:rPr>
                    <w:t>临江村</w:t>
                  </w:r>
                </w:p>
              </w:tc>
              <w:tc>
                <w:tcPr>
                  <w:tcW w:w="648" w:type="pct"/>
                  <w:vAlign w:val="center"/>
                </w:tcPr>
                <w:p w14:paraId="457C14B1">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sz w:val="21"/>
                      <w:szCs w:val="21"/>
                    </w:rPr>
                  </w:pPr>
                  <w:r>
                    <w:rPr>
                      <w:rFonts w:hint="default" w:ascii="Times New Roman" w:hAnsi="Times New Roman" w:cs="Times New Roman"/>
                      <w:sz w:val="21"/>
                      <w:szCs w:val="21"/>
                    </w:rPr>
                    <w:t>107.135138</w:t>
                  </w:r>
                </w:p>
              </w:tc>
              <w:tc>
                <w:tcPr>
                  <w:tcW w:w="577" w:type="pct"/>
                  <w:vAlign w:val="center"/>
                </w:tcPr>
                <w:p w14:paraId="61B19C2E">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sz w:val="21"/>
                      <w:szCs w:val="21"/>
                    </w:rPr>
                  </w:pPr>
                  <w:r>
                    <w:rPr>
                      <w:rFonts w:hint="default" w:ascii="Times New Roman" w:hAnsi="Times New Roman" w:cs="Times New Roman"/>
                      <w:sz w:val="21"/>
                      <w:szCs w:val="21"/>
                    </w:rPr>
                    <w:t>31.548300</w:t>
                  </w:r>
                </w:p>
              </w:tc>
              <w:tc>
                <w:tcPr>
                  <w:tcW w:w="501" w:type="pct"/>
                  <w:vAlign w:val="center"/>
                </w:tcPr>
                <w:p w14:paraId="688EC66F">
                  <w:pPr>
                    <w:pStyle w:val="12"/>
                    <w:keepNext w:val="0"/>
                    <w:keepLines w:val="0"/>
                    <w:pageBreakBefore w:val="0"/>
                    <w:widowControl/>
                    <w:kinsoku/>
                    <w:wordWrap/>
                    <w:overflowPunct/>
                    <w:topLinePunct w:val="0"/>
                    <w:autoSpaceDE/>
                    <w:autoSpaceDN/>
                    <w:bidi w:val="0"/>
                    <w:spacing w:line="240" w:lineRule="auto"/>
                    <w:ind w:firstLine="0" w:firstLineChars="0"/>
                    <w:rPr>
                      <w:rFonts w:hint="default" w:cs="Times New Roman"/>
                      <w:sz w:val="21"/>
                      <w:szCs w:val="21"/>
                      <w:lang w:val="en-US" w:eastAsia="zh-CN"/>
                    </w:rPr>
                  </w:pPr>
                  <w:r>
                    <w:rPr>
                      <w:rFonts w:hint="eastAsia" w:cs="Times New Roman"/>
                      <w:sz w:val="21"/>
                      <w:szCs w:val="21"/>
                      <w:lang w:val="en-US" w:eastAsia="zh-CN"/>
                    </w:rPr>
                    <w:t>北侧</w:t>
                  </w:r>
                </w:p>
              </w:tc>
              <w:tc>
                <w:tcPr>
                  <w:tcW w:w="549" w:type="pct"/>
                  <w:vAlign w:val="center"/>
                </w:tcPr>
                <w:p w14:paraId="004E7B1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sz w:val="21"/>
                      <w:szCs w:val="21"/>
                      <w:lang w:val="en-US" w:eastAsia="zh-CN"/>
                    </w:rPr>
                  </w:pPr>
                  <w:r>
                    <w:rPr>
                      <w:rFonts w:hint="eastAsia" w:cs="Times New Roman"/>
                      <w:sz w:val="21"/>
                      <w:szCs w:val="21"/>
                      <w:lang w:val="en-US" w:eastAsia="zh-CN"/>
                    </w:rPr>
                    <w:t>1830-1950</w:t>
                  </w:r>
                </w:p>
              </w:tc>
              <w:tc>
                <w:tcPr>
                  <w:tcW w:w="320" w:type="pct"/>
                  <w:vAlign w:val="center"/>
                </w:tcPr>
                <w:p w14:paraId="72B1E3BF">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sz w:val="21"/>
                      <w:szCs w:val="21"/>
                      <w:lang w:val="en-US" w:eastAsia="zh-CN"/>
                    </w:rPr>
                  </w:pPr>
                  <w:r>
                    <w:rPr>
                      <w:rFonts w:hint="eastAsia" w:cs="Times New Roman"/>
                      <w:sz w:val="21"/>
                      <w:szCs w:val="21"/>
                      <w:lang w:val="en-US" w:eastAsia="zh-CN"/>
                    </w:rPr>
                    <w:t>居民</w:t>
                  </w:r>
                </w:p>
              </w:tc>
              <w:tc>
                <w:tcPr>
                  <w:tcW w:w="518" w:type="pct"/>
                  <w:vAlign w:val="center"/>
                </w:tcPr>
                <w:p w14:paraId="7E057483">
                  <w:pPr>
                    <w:pStyle w:val="12"/>
                    <w:keepNext w:val="0"/>
                    <w:keepLines w:val="0"/>
                    <w:pageBreakBefore w:val="0"/>
                    <w:widowControl/>
                    <w:kinsoku/>
                    <w:wordWrap/>
                    <w:overflowPunct/>
                    <w:topLinePunct w:val="0"/>
                    <w:autoSpaceDE/>
                    <w:autoSpaceDN/>
                    <w:bidi w:val="0"/>
                    <w:spacing w:line="240" w:lineRule="auto"/>
                    <w:ind w:firstLine="0" w:firstLineChars="0"/>
                    <w:rPr>
                      <w:rFonts w:hint="eastAsia" w:cs="Times New Roman"/>
                      <w:sz w:val="21"/>
                      <w:szCs w:val="21"/>
                      <w:lang w:val="en-US" w:eastAsia="zh-CN"/>
                    </w:rPr>
                  </w:pPr>
                  <w:r>
                    <w:rPr>
                      <w:rFonts w:hint="eastAsia" w:cs="Times New Roman"/>
                      <w:sz w:val="21"/>
                      <w:szCs w:val="21"/>
                      <w:lang w:val="en-US" w:eastAsia="zh-CN"/>
                    </w:rPr>
                    <w:t>20户，约60人</w:t>
                  </w:r>
                </w:p>
              </w:tc>
              <w:tc>
                <w:tcPr>
                  <w:tcW w:w="717" w:type="pct"/>
                  <w:vMerge w:val="continue"/>
                  <w:vAlign w:val="center"/>
                </w:tcPr>
                <w:p w14:paraId="2E138A17">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sz w:val="21"/>
                      <w:szCs w:val="21"/>
                    </w:rPr>
                  </w:pPr>
                </w:p>
              </w:tc>
            </w:tr>
            <w:tr w14:paraId="52768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559" w:type="pct"/>
                  <w:vMerge w:val="continue"/>
                  <w:vAlign w:val="center"/>
                </w:tcPr>
                <w:p w14:paraId="72D5066A">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sz w:val="21"/>
                      <w:szCs w:val="21"/>
                      <w:lang w:val="zh-CN"/>
                    </w:rPr>
                  </w:pPr>
                </w:p>
              </w:tc>
              <w:tc>
                <w:tcPr>
                  <w:tcW w:w="605" w:type="pct"/>
                  <w:vAlign w:val="center"/>
                </w:tcPr>
                <w:p w14:paraId="75B8796C">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cs="Times New Roman"/>
                      <w:sz w:val="21"/>
                      <w:szCs w:val="21"/>
                      <w:lang w:val="en-US" w:eastAsia="zh-CN"/>
                    </w:rPr>
                  </w:pPr>
                  <w:r>
                    <w:rPr>
                      <w:rFonts w:hint="eastAsia" w:cs="Times New Roman"/>
                      <w:sz w:val="21"/>
                      <w:szCs w:val="21"/>
                      <w:lang w:val="en-US" w:eastAsia="zh-CN"/>
                    </w:rPr>
                    <w:t>石房子沟</w:t>
                  </w:r>
                </w:p>
              </w:tc>
              <w:tc>
                <w:tcPr>
                  <w:tcW w:w="648" w:type="pct"/>
                  <w:vAlign w:val="center"/>
                </w:tcPr>
                <w:p w14:paraId="4200BEED">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sz w:val="21"/>
                      <w:szCs w:val="21"/>
                    </w:rPr>
                  </w:pPr>
                  <w:r>
                    <w:rPr>
                      <w:rFonts w:hint="default" w:ascii="Times New Roman" w:hAnsi="Times New Roman" w:cs="Times New Roman"/>
                      <w:sz w:val="21"/>
                      <w:szCs w:val="21"/>
                    </w:rPr>
                    <w:t>107.149064</w:t>
                  </w:r>
                </w:p>
              </w:tc>
              <w:tc>
                <w:tcPr>
                  <w:tcW w:w="577" w:type="pct"/>
                  <w:vAlign w:val="center"/>
                </w:tcPr>
                <w:p w14:paraId="3A37B3CB">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sz w:val="21"/>
                      <w:szCs w:val="21"/>
                    </w:rPr>
                  </w:pPr>
                  <w:r>
                    <w:rPr>
                      <w:rFonts w:hint="default" w:ascii="Times New Roman" w:hAnsi="Times New Roman" w:cs="Times New Roman"/>
                      <w:sz w:val="21"/>
                      <w:szCs w:val="21"/>
                    </w:rPr>
                    <w:t>31.550049</w:t>
                  </w:r>
                </w:p>
              </w:tc>
              <w:tc>
                <w:tcPr>
                  <w:tcW w:w="501" w:type="pct"/>
                  <w:vAlign w:val="center"/>
                </w:tcPr>
                <w:p w14:paraId="01A74953">
                  <w:pPr>
                    <w:pStyle w:val="12"/>
                    <w:keepNext w:val="0"/>
                    <w:keepLines w:val="0"/>
                    <w:pageBreakBefore w:val="0"/>
                    <w:widowControl/>
                    <w:kinsoku/>
                    <w:wordWrap/>
                    <w:overflowPunct/>
                    <w:topLinePunct w:val="0"/>
                    <w:autoSpaceDE/>
                    <w:autoSpaceDN/>
                    <w:bidi w:val="0"/>
                    <w:spacing w:line="240" w:lineRule="auto"/>
                    <w:ind w:firstLine="0" w:firstLineChars="0"/>
                    <w:rPr>
                      <w:rFonts w:hint="default" w:cs="Times New Roman"/>
                      <w:sz w:val="21"/>
                      <w:szCs w:val="21"/>
                      <w:lang w:val="en-US" w:eastAsia="zh-CN"/>
                    </w:rPr>
                  </w:pPr>
                  <w:r>
                    <w:rPr>
                      <w:rFonts w:hint="eastAsia" w:cs="Times New Roman"/>
                      <w:sz w:val="21"/>
                      <w:szCs w:val="21"/>
                      <w:lang w:val="en-US" w:eastAsia="zh-CN"/>
                    </w:rPr>
                    <w:t>东北侧</w:t>
                  </w:r>
                </w:p>
              </w:tc>
              <w:tc>
                <w:tcPr>
                  <w:tcW w:w="549" w:type="pct"/>
                  <w:vAlign w:val="center"/>
                </w:tcPr>
                <w:p w14:paraId="25B1C69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sz w:val="21"/>
                      <w:szCs w:val="21"/>
                      <w:lang w:val="en-US" w:eastAsia="zh-CN"/>
                    </w:rPr>
                  </w:pPr>
                  <w:r>
                    <w:rPr>
                      <w:rFonts w:hint="eastAsia" w:cs="Times New Roman"/>
                      <w:sz w:val="21"/>
                      <w:szCs w:val="21"/>
                      <w:lang w:val="en-US" w:eastAsia="zh-CN"/>
                    </w:rPr>
                    <w:t>2180-2380</w:t>
                  </w:r>
                </w:p>
              </w:tc>
              <w:tc>
                <w:tcPr>
                  <w:tcW w:w="320" w:type="pct"/>
                  <w:vAlign w:val="center"/>
                </w:tcPr>
                <w:p w14:paraId="1FCFED9F">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sz w:val="21"/>
                      <w:szCs w:val="21"/>
                      <w:lang w:val="en-US" w:eastAsia="zh-CN"/>
                    </w:rPr>
                  </w:pPr>
                  <w:r>
                    <w:rPr>
                      <w:rFonts w:hint="eastAsia" w:cs="Times New Roman"/>
                      <w:sz w:val="21"/>
                      <w:szCs w:val="21"/>
                      <w:lang w:val="en-US" w:eastAsia="zh-CN"/>
                    </w:rPr>
                    <w:t>居民</w:t>
                  </w:r>
                </w:p>
              </w:tc>
              <w:tc>
                <w:tcPr>
                  <w:tcW w:w="518" w:type="pct"/>
                  <w:vAlign w:val="center"/>
                </w:tcPr>
                <w:p w14:paraId="0FCD0414">
                  <w:pPr>
                    <w:pStyle w:val="12"/>
                    <w:keepNext w:val="0"/>
                    <w:keepLines w:val="0"/>
                    <w:pageBreakBefore w:val="0"/>
                    <w:widowControl/>
                    <w:kinsoku/>
                    <w:wordWrap/>
                    <w:overflowPunct/>
                    <w:topLinePunct w:val="0"/>
                    <w:autoSpaceDE/>
                    <w:autoSpaceDN/>
                    <w:bidi w:val="0"/>
                    <w:spacing w:line="240" w:lineRule="auto"/>
                    <w:ind w:firstLine="0" w:firstLineChars="0"/>
                    <w:rPr>
                      <w:rFonts w:hint="eastAsia" w:cs="Times New Roman"/>
                      <w:sz w:val="21"/>
                      <w:szCs w:val="21"/>
                      <w:lang w:val="en-US" w:eastAsia="zh-CN"/>
                    </w:rPr>
                  </w:pPr>
                  <w:r>
                    <w:rPr>
                      <w:rFonts w:hint="eastAsia" w:cs="Times New Roman"/>
                      <w:sz w:val="21"/>
                      <w:szCs w:val="21"/>
                      <w:lang w:val="en-US" w:eastAsia="zh-CN"/>
                    </w:rPr>
                    <w:t>32户，约96人</w:t>
                  </w:r>
                </w:p>
              </w:tc>
              <w:tc>
                <w:tcPr>
                  <w:tcW w:w="717" w:type="pct"/>
                  <w:vMerge w:val="continue"/>
                  <w:vAlign w:val="center"/>
                </w:tcPr>
                <w:p w14:paraId="7DA5EF0F">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sz w:val="21"/>
                      <w:szCs w:val="21"/>
                    </w:rPr>
                  </w:pPr>
                </w:p>
              </w:tc>
            </w:tr>
            <w:tr w14:paraId="64CAE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559" w:type="pct"/>
                  <w:vMerge w:val="continue"/>
                  <w:vAlign w:val="center"/>
                </w:tcPr>
                <w:p w14:paraId="573E9D83">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sz w:val="21"/>
                      <w:szCs w:val="21"/>
                      <w:lang w:val="zh-CN"/>
                    </w:rPr>
                  </w:pPr>
                </w:p>
              </w:tc>
              <w:tc>
                <w:tcPr>
                  <w:tcW w:w="605" w:type="pct"/>
                  <w:vAlign w:val="center"/>
                </w:tcPr>
                <w:p w14:paraId="5891BD45">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cs="Times New Roman"/>
                      <w:sz w:val="21"/>
                      <w:szCs w:val="21"/>
                      <w:lang w:val="en-US" w:eastAsia="zh-CN"/>
                    </w:rPr>
                  </w:pPr>
                  <w:r>
                    <w:rPr>
                      <w:rFonts w:hint="eastAsia" w:cs="Times New Roman"/>
                      <w:sz w:val="21"/>
                      <w:szCs w:val="21"/>
                      <w:lang w:val="en-US" w:eastAsia="zh-CN"/>
                    </w:rPr>
                    <w:t>老屋坝</w:t>
                  </w:r>
                </w:p>
              </w:tc>
              <w:tc>
                <w:tcPr>
                  <w:tcW w:w="648" w:type="pct"/>
                  <w:vAlign w:val="center"/>
                </w:tcPr>
                <w:p w14:paraId="6AE5EB1B">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sz w:val="21"/>
                      <w:szCs w:val="21"/>
                    </w:rPr>
                  </w:pPr>
                  <w:r>
                    <w:rPr>
                      <w:rFonts w:hint="default" w:ascii="Times New Roman" w:hAnsi="Times New Roman" w:cs="Times New Roman"/>
                      <w:sz w:val="21"/>
                      <w:szCs w:val="21"/>
                    </w:rPr>
                    <w:t>107.138176</w:t>
                  </w:r>
                </w:p>
              </w:tc>
              <w:tc>
                <w:tcPr>
                  <w:tcW w:w="577" w:type="pct"/>
                  <w:vAlign w:val="center"/>
                </w:tcPr>
                <w:p w14:paraId="03FBC45E">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sz w:val="21"/>
                      <w:szCs w:val="21"/>
                    </w:rPr>
                  </w:pPr>
                  <w:r>
                    <w:rPr>
                      <w:rFonts w:hint="default" w:ascii="Times New Roman" w:hAnsi="Times New Roman" w:cs="Times New Roman"/>
                      <w:sz w:val="21"/>
                      <w:szCs w:val="21"/>
                    </w:rPr>
                    <w:t>31.543575</w:t>
                  </w:r>
                </w:p>
              </w:tc>
              <w:tc>
                <w:tcPr>
                  <w:tcW w:w="501" w:type="pct"/>
                  <w:vAlign w:val="center"/>
                </w:tcPr>
                <w:p w14:paraId="543D8AC6">
                  <w:pPr>
                    <w:pStyle w:val="12"/>
                    <w:keepNext w:val="0"/>
                    <w:keepLines w:val="0"/>
                    <w:pageBreakBefore w:val="0"/>
                    <w:widowControl/>
                    <w:kinsoku/>
                    <w:wordWrap/>
                    <w:overflowPunct/>
                    <w:topLinePunct w:val="0"/>
                    <w:autoSpaceDE/>
                    <w:autoSpaceDN/>
                    <w:bidi w:val="0"/>
                    <w:spacing w:line="240" w:lineRule="auto"/>
                    <w:ind w:firstLine="0" w:firstLineChars="0"/>
                    <w:rPr>
                      <w:rFonts w:hint="default" w:cs="Times New Roman"/>
                      <w:sz w:val="21"/>
                      <w:szCs w:val="21"/>
                      <w:lang w:val="en-US" w:eastAsia="zh-CN"/>
                    </w:rPr>
                  </w:pPr>
                  <w:r>
                    <w:rPr>
                      <w:rFonts w:hint="eastAsia" w:cs="Times New Roman"/>
                      <w:sz w:val="21"/>
                      <w:szCs w:val="21"/>
                      <w:lang w:val="en-US" w:eastAsia="zh-CN"/>
                    </w:rPr>
                    <w:t>北侧</w:t>
                  </w:r>
                </w:p>
              </w:tc>
              <w:tc>
                <w:tcPr>
                  <w:tcW w:w="549" w:type="pct"/>
                  <w:vAlign w:val="center"/>
                </w:tcPr>
                <w:p w14:paraId="7ACA21C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sz w:val="21"/>
                      <w:szCs w:val="21"/>
                      <w:lang w:val="en-US" w:eastAsia="zh-CN"/>
                    </w:rPr>
                  </w:pPr>
                  <w:r>
                    <w:rPr>
                      <w:rFonts w:hint="eastAsia" w:cs="Times New Roman"/>
                      <w:sz w:val="21"/>
                      <w:szCs w:val="21"/>
                      <w:lang w:val="en-US" w:eastAsia="zh-CN"/>
                    </w:rPr>
                    <w:t>1280-1420</w:t>
                  </w:r>
                </w:p>
              </w:tc>
              <w:tc>
                <w:tcPr>
                  <w:tcW w:w="320" w:type="pct"/>
                  <w:vAlign w:val="center"/>
                </w:tcPr>
                <w:p w14:paraId="75EB8B43">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sz w:val="21"/>
                      <w:szCs w:val="21"/>
                      <w:lang w:val="en-US" w:eastAsia="zh-CN"/>
                    </w:rPr>
                  </w:pPr>
                  <w:r>
                    <w:rPr>
                      <w:rFonts w:hint="eastAsia" w:cs="Times New Roman"/>
                      <w:sz w:val="21"/>
                      <w:szCs w:val="21"/>
                      <w:lang w:val="en-US" w:eastAsia="zh-CN"/>
                    </w:rPr>
                    <w:t>居民</w:t>
                  </w:r>
                </w:p>
              </w:tc>
              <w:tc>
                <w:tcPr>
                  <w:tcW w:w="518" w:type="pct"/>
                  <w:vAlign w:val="center"/>
                </w:tcPr>
                <w:p w14:paraId="195C4062">
                  <w:pPr>
                    <w:pStyle w:val="12"/>
                    <w:keepNext w:val="0"/>
                    <w:keepLines w:val="0"/>
                    <w:pageBreakBefore w:val="0"/>
                    <w:widowControl/>
                    <w:kinsoku/>
                    <w:wordWrap/>
                    <w:overflowPunct/>
                    <w:topLinePunct w:val="0"/>
                    <w:autoSpaceDE/>
                    <w:autoSpaceDN/>
                    <w:bidi w:val="0"/>
                    <w:spacing w:line="240" w:lineRule="auto"/>
                    <w:ind w:firstLine="0" w:firstLineChars="0"/>
                    <w:rPr>
                      <w:rFonts w:hint="eastAsia" w:cs="Times New Roman"/>
                      <w:sz w:val="21"/>
                      <w:szCs w:val="21"/>
                      <w:lang w:val="en-US" w:eastAsia="zh-CN"/>
                    </w:rPr>
                  </w:pPr>
                  <w:r>
                    <w:rPr>
                      <w:rFonts w:hint="eastAsia" w:cs="Times New Roman"/>
                      <w:sz w:val="21"/>
                      <w:szCs w:val="21"/>
                      <w:lang w:val="en-US" w:eastAsia="zh-CN"/>
                    </w:rPr>
                    <w:t>28户，约84人</w:t>
                  </w:r>
                </w:p>
              </w:tc>
              <w:tc>
                <w:tcPr>
                  <w:tcW w:w="717" w:type="pct"/>
                  <w:vMerge w:val="continue"/>
                  <w:vAlign w:val="center"/>
                </w:tcPr>
                <w:p w14:paraId="722DCC3D">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sz w:val="21"/>
                      <w:szCs w:val="21"/>
                    </w:rPr>
                  </w:pPr>
                </w:p>
              </w:tc>
            </w:tr>
            <w:tr w14:paraId="05970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559" w:type="pct"/>
                  <w:vMerge w:val="continue"/>
                  <w:vAlign w:val="center"/>
                </w:tcPr>
                <w:p w14:paraId="351A0939">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sz w:val="21"/>
                      <w:szCs w:val="21"/>
                      <w:lang w:val="zh-CN"/>
                    </w:rPr>
                  </w:pPr>
                </w:p>
              </w:tc>
              <w:tc>
                <w:tcPr>
                  <w:tcW w:w="605" w:type="pct"/>
                  <w:vAlign w:val="center"/>
                </w:tcPr>
                <w:p w14:paraId="118C3ECE">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cs="Times New Roman"/>
                      <w:sz w:val="21"/>
                      <w:szCs w:val="21"/>
                      <w:lang w:val="en-US" w:eastAsia="zh-CN"/>
                    </w:rPr>
                  </w:pPr>
                  <w:r>
                    <w:rPr>
                      <w:rFonts w:hint="eastAsia" w:cs="Times New Roman"/>
                      <w:sz w:val="21"/>
                      <w:szCs w:val="21"/>
                      <w:lang w:val="en-US" w:eastAsia="zh-CN"/>
                    </w:rPr>
                    <w:t>三合院</w:t>
                  </w:r>
                </w:p>
              </w:tc>
              <w:tc>
                <w:tcPr>
                  <w:tcW w:w="648" w:type="pct"/>
                  <w:vAlign w:val="center"/>
                </w:tcPr>
                <w:p w14:paraId="2148A823">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sz w:val="21"/>
                      <w:szCs w:val="21"/>
                    </w:rPr>
                  </w:pPr>
                  <w:r>
                    <w:rPr>
                      <w:rFonts w:hint="default" w:ascii="Times New Roman" w:hAnsi="Times New Roman" w:cs="Times New Roman"/>
                      <w:sz w:val="21"/>
                      <w:szCs w:val="21"/>
                    </w:rPr>
                    <w:t>107.15227</w:t>
                  </w:r>
                  <w:r>
                    <w:rPr>
                      <w:rFonts w:hint="eastAsia" w:cs="Times New Roman"/>
                      <w:sz w:val="21"/>
                      <w:szCs w:val="21"/>
                      <w:lang w:val="en-US" w:eastAsia="zh-CN"/>
                    </w:rPr>
                    <w:t>4</w:t>
                  </w:r>
                </w:p>
              </w:tc>
              <w:tc>
                <w:tcPr>
                  <w:tcW w:w="577" w:type="pct"/>
                  <w:vAlign w:val="center"/>
                </w:tcPr>
                <w:p w14:paraId="2B6EE6B3">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sz w:val="21"/>
                      <w:szCs w:val="21"/>
                    </w:rPr>
                  </w:pPr>
                  <w:r>
                    <w:rPr>
                      <w:rFonts w:hint="default" w:ascii="Times New Roman" w:hAnsi="Times New Roman" w:cs="Times New Roman"/>
                      <w:sz w:val="21"/>
                      <w:szCs w:val="21"/>
                    </w:rPr>
                    <w:t>31.542953</w:t>
                  </w:r>
                </w:p>
              </w:tc>
              <w:tc>
                <w:tcPr>
                  <w:tcW w:w="501" w:type="pct"/>
                  <w:vAlign w:val="center"/>
                </w:tcPr>
                <w:p w14:paraId="0D1EB3C2">
                  <w:pPr>
                    <w:pStyle w:val="12"/>
                    <w:keepNext w:val="0"/>
                    <w:keepLines w:val="0"/>
                    <w:pageBreakBefore w:val="0"/>
                    <w:widowControl/>
                    <w:kinsoku/>
                    <w:wordWrap/>
                    <w:overflowPunct/>
                    <w:topLinePunct w:val="0"/>
                    <w:autoSpaceDE/>
                    <w:autoSpaceDN/>
                    <w:bidi w:val="0"/>
                    <w:spacing w:line="240" w:lineRule="auto"/>
                    <w:ind w:firstLine="0" w:firstLineChars="0"/>
                    <w:rPr>
                      <w:rFonts w:hint="default" w:cs="Times New Roman"/>
                      <w:sz w:val="21"/>
                      <w:szCs w:val="21"/>
                      <w:lang w:val="en-US" w:eastAsia="zh-CN"/>
                    </w:rPr>
                  </w:pPr>
                  <w:r>
                    <w:rPr>
                      <w:rFonts w:hint="eastAsia" w:cs="Times New Roman"/>
                      <w:sz w:val="21"/>
                      <w:szCs w:val="21"/>
                      <w:lang w:val="en-US" w:eastAsia="zh-CN"/>
                    </w:rPr>
                    <w:t>东北侧</w:t>
                  </w:r>
                </w:p>
              </w:tc>
              <w:tc>
                <w:tcPr>
                  <w:tcW w:w="549" w:type="pct"/>
                  <w:vAlign w:val="center"/>
                </w:tcPr>
                <w:p w14:paraId="52D5536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sz w:val="21"/>
                      <w:szCs w:val="21"/>
                      <w:lang w:val="en-US" w:eastAsia="zh-CN"/>
                    </w:rPr>
                  </w:pPr>
                  <w:r>
                    <w:rPr>
                      <w:rFonts w:hint="eastAsia" w:cs="Times New Roman"/>
                      <w:sz w:val="21"/>
                      <w:szCs w:val="21"/>
                      <w:lang w:val="en-US" w:eastAsia="zh-CN"/>
                    </w:rPr>
                    <w:t>1700-1960</w:t>
                  </w:r>
                </w:p>
              </w:tc>
              <w:tc>
                <w:tcPr>
                  <w:tcW w:w="320" w:type="pct"/>
                  <w:vAlign w:val="center"/>
                </w:tcPr>
                <w:p w14:paraId="1E653C9D">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sz w:val="21"/>
                      <w:szCs w:val="21"/>
                      <w:lang w:val="en-US" w:eastAsia="zh-CN"/>
                    </w:rPr>
                  </w:pPr>
                  <w:r>
                    <w:rPr>
                      <w:rFonts w:hint="eastAsia" w:cs="Times New Roman"/>
                      <w:sz w:val="21"/>
                      <w:szCs w:val="21"/>
                      <w:lang w:val="en-US" w:eastAsia="zh-CN"/>
                    </w:rPr>
                    <w:t>居民</w:t>
                  </w:r>
                </w:p>
              </w:tc>
              <w:tc>
                <w:tcPr>
                  <w:tcW w:w="518" w:type="pct"/>
                  <w:vAlign w:val="center"/>
                </w:tcPr>
                <w:p w14:paraId="681F1BAD">
                  <w:pPr>
                    <w:pStyle w:val="12"/>
                    <w:keepNext w:val="0"/>
                    <w:keepLines w:val="0"/>
                    <w:pageBreakBefore w:val="0"/>
                    <w:widowControl/>
                    <w:kinsoku/>
                    <w:wordWrap/>
                    <w:overflowPunct/>
                    <w:topLinePunct w:val="0"/>
                    <w:autoSpaceDE/>
                    <w:autoSpaceDN/>
                    <w:bidi w:val="0"/>
                    <w:spacing w:line="240" w:lineRule="auto"/>
                    <w:ind w:firstLine="0" w:firstLineChars="0"/>
                    <w:rPr>
                      <w:rFonts w:hint="eastAsia" w:cs="Times New Roman"/>
                      <w:sz w:val="21"/>
                      <w:szCs w:val="21"/>
                      <w:lang w:val="en-US" w:eastAsia="zh-CN"/>
                    </w:rPr>
                  </w:pPr>
                  <w:r>
                    <w:rPr>
                      <w:rFonts w:hint="eastAsia" w:cs="Times New Roman"/>
                      <w:sz w:val="21"/>
                      <w:szCs w:val="21"/>
                      <w:lang w:val="en-US" w:eastAsia="zh-CN"/>
                    </w:rPr>
                    <w:t>15户，约45人</w:t>
                  </w:r>
                </w:p>
              </w:tc>
              <w:tc>
                <w:tcPr>
                  <w:tcW w:w="717" w:type="pct"/>
                  <w:vMerge w:val="continue"/>
                  <w:vAlign w:val="center"/>
                </w:tcPr>
                <w:p w14:paraId="6601A0CA">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sz w:val="21"/>
                      <w:szCs w:val="21"/>
                    </w:rPr>
                  </w:pPr>
                </w:p>
              </w:tc>
            </w:tr>
            <w:tr w14:paraId="5F413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559" w:type="pct"/>
                  <w:vMerge w:val="continue"/>
                  <w:vAlign w:val="center"/>
                </w:tcPr>
                <w:p w14:paraId="1E4ED433">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sz w:val="21"/>
                      <w:szCs w:val="21"/>
                      <w:lang w:val="zh-CN"/>
                    </w:rPr>
                  </w:pPr>
                </w:p>
              </w:tc>
              <w:tc>
                <w:tcPr>
                  <w:tcW w:w="605" w:type="pct"/>
                  <w:vAlign w:val="center"/>
                </w:tcPr>
                <w:p w14:paraId="546D13CE">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cs="Times New Roman"/>
                      <w:sz w:val="21"/>
                      <w:szCs w:val="21"/>
                      <w:lang w:val="en-US" w:eastAsia="zh-CN"/>
                    </w:rPr>
                  </w:pPr>
                  <w:r>
                    <w:rPr>
                      <w:rFonts w:hint="eastAsia" w:cs="Times New Roman"/>
                      <w:sz w:val="21"/>
                      <w:szCs w:val="21"/>
                      <w:lang w:val="en-US" w:eastAsia="zh-CN"/>
                    </w:rPr>
                    <w:t>歇树凉</w:t>
                  </w:r>
                </w:p>
              </w:tc>
              <w:tc>
                <w:tcPr>
                  <w:tcW w:w="648" w:type="pct"/>
                  <w:vAlign w:val="center"/>
                </w:tcPr>
                <w:p w14:paraId="129A49BC">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sz w:val="21"/>
                      <w:szCs w:val="21"/>
                    </w:rPr>
                  </w:pPr>
                  <w:r>
                    <w:rPr>
                      <w:rFonts w:hint="default" w:ascii="Times New Roman" w:hAnsi="Times New Roman" w:cs="Times New Roman"/>
                      <w:sz w:val="21"/>
                      <w:szCs w:val="21"/>
                    </w:rPr>
                    <w:t>107.123928</w:t>
                  </w:r>
                </w:p>
              </w:tc>
              <w:tc>
                <w:tcPr>
                  <w:tcW w:w="577" w:type="pct"/>
                  <w:vAlign w:val="center"/>
                </w:tcPr>
                <w:p w14:paraId="0743AE12">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sz w:val="21"/>
                      <w:szCs w:val="21"/>
                    </w:rPr>
                  </w:pPr>
                  <w:r>
                    <w:rPr>
                      <w:rFonts w:hint="default" w:ascii="Times New Roman" w:hAnsi="Times New Roman" w:cs="Times New Roman"/>
                      <w:sz w:val="21"/>
                      <w:szCs w:val="21"/>
                    </w:rPr>
                    <w:t>31.538897</w:t>
                  </w:r>
                </w:p>
              </w:tc>
              <w:tc>
                <w:tcPr>
                  <w:tcW w:w="501" w:type="pct"/>
                  <w:vAlign w:val="center"/>
                </w:tcPr>
                <w:p w14:paraId="0768052A">
                  <w:pPr>
                    <w:pStyle w:val="12"/>
                    <w:keepNext w:val="0"/>
                    <w:keepLines w:val="0"/>
                    <w:pageBreakBefore w:val="0"/>
                    <w:widowControl/>
                    <w:kinsoku/>
                    <w:wordWrap/>
                    <w:overflowPunct/>
                    <w:topLinePunct w:val="0"/>
                    <w:autoSpaceDE/>
                    <w:autoSpaceDN/>
                    <w:bidi w:val="0"/>
                    <w:spacing w:line="240" w:lineRule="auto"/>
                    <w:ind w:firstLine="0" w:firstLineChars="0"/>
                    <w:rPr>
                      <w:rFonts w:hint="default" w:cs="Times New Roman"/>
                      <w:sz w:val="21"/>
                      <w:szCs w:val="21"/>
                      <w:lang w:val="en-US" w:eastAsia="zh-CN"/>
                    </w:rPr>
                  </w:pPr>
                  <w:r>
                    <w:rPr>
                      <w:rFonts w:hint="eastAsia" w:cs="Times New Roman"/>
                      <w:sz w:val="21"/>
                      <w:szCs w:val="21"/>
                      <w:lang w:val="en-US" w:eastAsia="zh-CN"/>
                    </w:rPr>
                    <w:t>西北侧</w:t>
                  </w:r>
                </w:p>
              </w:tc>
              <w:tc>
                <w:tcPr>
                  <w:tcW w:w="549" w:type="pct"/>
                  <w:vAlign w:val="center"/>
                </w:tcPr>
                <w:p w14:paraId="36E3457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sz w:val="21"/>
                      <w:szCs w:val="21"/>
                      <w:lang w:val="en-US" w:eastAsia="zh-CN"/>
                    </w:rPr>
                  </w:pPr>
                  <w:r>
                    <w:rPr>
                      <w:rFonts w:hint="eastAsia" w:cs="Times New Roman"/>
                      <w:sz w:val="21"/>
                      <w:szCs w:val="21"/>
                      <w:lang w:val="en-US" w:eastAsia="zh-CN"/>
                    </w:rPr>
                    <w:t>1550-1700</w:t>
                  </w:r>
                </w:p>
              </w:tc>
              <w:tc>
                <w:tcPr>
                  <w:tcW w:w="320" w:type="pct"/>
                  <w:vAlign w:val="center"/>
                </w:tcPr>
                <w:p w14:paraId="4E67604B">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sz w:val="21"/>
                      <w:szCs w:val="21"/>
                      <w:lang w:val="en-US" w:eastAsia="zh-CN"/>
                    </w:rPr>
                  </w:pPr>
                  <w:r>
                    <w:rPr>
                      <w:rFonts w:hint="eastAsia" w:cs="Times New Roman"/>
                      <w:sz w:val="21"/>
                      <w:szCs w:val="21"/>
                      <w:lang w:val="en-US" w:eastAsia="zh-CN"/>
                    </w:rPr>
                    <w:t>居民</w:t>
                  </w:r>
                </w:p>
              </w:tc>
              <w:tc>
                <w:tcPr>
                  <w:tcW w:w="518" w:type="pct"/>
                  <w:vAlign w:val="center"/>
                </w:tcPr>
                <w:p w14:paraId="2CF4EB83">
                  <w:pPr>
                    <w:pStyle w:val="12"/>
                    <w:keepNext w:val="0"/>
                    <w:keepLines w:val="0"/>
                    <w:pageBreakBefore w:val="0"/>
                    <w:widowControl/>
                    <w:kinsoku/>
                    <w:wordWrap/>
                    <w:overflowPunct/>
                    <w:topLinePunct w:val="0"/>
                    <w:autoSpaceDE/>
                    <w:autoSpaceDN/>
                    <w:bidi w:val="0"/>
                    <w:spacing w:line="240" w:lineRule="auto"/>
                    <w:ind w:firstLine="0" w:firstLineChars="0"/>
                    <w:rPr>
                      <w:rFonts w:hint="eastAsia" w:cs="Times New Roman"/>
                      <w:sz w:val="21"/>
                      <w:szCs w:val="21"/>
                      <w:lang w:val="en-US" w:eastAsia="zh-CN"/>
                    </w:rPr>
                  </w:pPr>
                  <w:r>
                    <w:rPr>
                      <w:rFonts w:hint="eastAsia" w:cs="Times New Roman"/>
                      <w:sz w:val="21"/>
                      <w:szCs w:val="21"/>
                      <w:lang w:val="en-US" w:eastAsia="zh-CN"/>
                    </w:rPr>
                    <w:t>41户，约123人</w:t>
                  </w:r>
                </w:p>
              </w:tc>
              <w:tc>
                <w:tcPr>
                  <w:tcW w:w="717" w:type="pct"/>
                  <w:vMerge w:val="continue"/>
                  <w:vAlign w:val="center"/>
                </w:tcPr>
                <w:p w14:paraId="2547AFF8">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sz w:val="21"/>
                      <w:szCs w:val="21"/>
                    </w:rPr>
                  </w:pPr>
                </w:p>
              </w:tc>
            </w:tr>
            <w:tr w14:paraId="72691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559" w:type="pct"/>
                  <w:vMerge w:val="continue"/>
                  <w:vAlign w:val="center"/>
                </w:tcPr>
                <w:p w14:paraId="25AC83CD">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sz w:val="21"/>
                      <w:szCs w:val="21"/>
                      <w:lang w:val="zh-CN"/>
                    </w:rPr>
                  </w:pPr>
                </w:p>
              </w:tc>
              <w:tc>
                <w:tcPr>
                  <w:tcW w:w="605" w:type="pct"/>
                  <w:vAlign w:val="center"/>
                </w:tcPr>
                <w:p w14:paraId="6509299B">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cs="Times New Roman"/>
                      <w:sz w:val="21"/>
                      <w:szCs w:val="21"/>
                      <w:lang w:val="en-US" w:eastAsia="zh-CN"/>
                    </w:rPr>
                  </w:pPr>
                  <w:r>
                    <w:rPr>
                      <w:rFonts w:hint="eastAsia" w:cs="Times New Roman"/>
                      <w:sz w:val="21"/>
                      <w:szCs w:val="21"/>
                      <w:lang w:val="en-US" w:eastAsia="zh-CN"/>
                    </w:rPr>
                    <w:t>李家沟</w:t>
                  </w:r>
                </w:p>
              </w:tc>
              <w:tc>
                <w:tcPr>
                  <w:tcW w:w="648" w:type="pct"/>
                  <w:vAlign w:val="center"/>
                </w:tcPr>
                <w:p w14:paraId="02EDD106">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sz w:val="21"/>
                      <w:szCs w:val="21"/>
                    </w:rPr>
                  </w:pPr>
                  <w:r>
                    <w:rPr>
                      <w:rFonts w:hint="default" w:ascii="Times New Roman" w:hAnsi="Times New Roman" w:cs="Times New Roman"/>
                      <w:sz w:val="21"/>
                      <w:szCs w:val="21"/>
                    </w:rPr>
                    <w:t>107.160608</w:t>
                  </w:r>
                </w:p>
              </w:tc>
              <w:tc>
                <w:tcPr>
                  <w:tcW w:w="577" w:type="pct"/>
                  <w:vAlign w:val="center"/>
                </w:tcPr>
                <w:p w14:paraId="7A515559">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sz w:val="21"/>
                      <w:szCs w:val="21"/>
                    </w:rPr>
                  </w:pPr>
                  <w:r>
                    <w:rPr>
                      <w:rFonts w:hint="default" w:ascii="Times New Roman" w:hAnsi="Times New Roman" w:cs="Times New Roman"/>
                      <w:sz w:val="21"/>
                      <w:szCs w:val="21"/>
                    </w:rPr>
                    <w:t>31.537400</w:t>
                  </w:r>
                </w:p>
              </w:tc>
              <w:tc>
                <w:tcPr>
                  <w:tcW w:w="501" w:type="pct"/>
                  <w:vAlign w:val="center"/>
                </w:tcPr>
                <w:p w14:paraId="65572B92">
                  <w:pPr>
                    <w:pStyle w:val="12"/>
                    <w:keepNext w:val="0"/>
                    <w:keepLines w:val="0"/>
                    <w:pageBreakBefore w:val="0"/>
                    <w:widowControl/>
                    <w:kinsoku/>
                    <w:wordWrap/>
                    <w:overflowPunct/>
                    <w:topLinePunct w:val="0"/>
                    <w:autoSpaceDE/>
                    <w:autoSpaceDN/>
                    <w:bidi w:val="0"/>
                    <w:spacing w:line="240" w:lineRule="auto"/>
                    <w:ind w:firstLine="0" w:firstLineChars="0"/>
                    <w:rPr>
                      <w:rFonts w:hint="default" w:cs="Times New Roman"/>
                      <w:sz w:val="21"/>
                      <w:szCs w:val="21"/>
                      <w:lang w:val="en-US" w:eastAsia="zh-CN"/>
                    </w:rPr>
                  </w:pPr>
                  <w:r>
                    <w:rPr>
                      <w:rFonts w:hint="eastAsia" w:cs="Times New Roman"/>
                      <w:sz w:val="21"/>
                      <w:szCs w:val="21"/>
                      <w:lang w:val="en-US" w:eastAsia="zh-CN"/>
                    </w:rPr>
                    <w:t>东北侧</w:t>
                  </w:r>
                </w:p>
              </w:tc>
              <w:tc>
                <w:tcPr>
                  <w:tcW w:w="549" w:type="pct"/>
                  <w:vAlign w:val="center"/>
                </w:tcPr>
                <w:p w14:paraId="4D5FAA6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sz w:val="21"/>
                      <w:szCs w:val="21"/>
                      <w:lang w:val="en-US" w:eastAsia="zh-CN"/>
                    </w:rPr>
                  </w:pPr>
                  <w:r>
                    <w:rPr>
                      <w:rFonts w:hint="eastAsia" w:cs="Times New Roman"/>
                      <w:sz w:val="21"/>
                      <w:szCs w:val="21"/>
                      <w:lang w:val="en-US" w:eastAsia="zh-CN"/>
                    </w:rPr>
                    <w:t>2150-2370</w:t>
                  </w:r>
                </w:p>
              </w:tc>
              <w:tc>
                <w:tcPr>
                  <w:tcW w:w="320" w:type="pct"/>
                  <w:vAlign w:val="center"/>
                </w:tcPr>
                <w:p w14:paraId="3016E000">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sz w:val="21"/>
                      <w:szCs w:val="21"/>
                      <w:lang w:val="en-US" w:eastAsia="zh-CN"/>
                    </w:rPr>
                  </w:pPr>
                  <w:r>
                    <w:rPr>
                      <w:rFonts w:hint="eastAsia" w:cs="Times New Roman"/>
                      <w:sz w:val="21"/>
                      <w:szCs w:val="21"/>
                      <w:lang w:val="en-US" w:eastAsia="zh-CN"/>
                    </w:rPr>
                    <w:t>居民</w:t>
                  </w:r>
                </w:p>
              </w:tc>
              <w:tc>
                <w:tcPr>
                  <w:tcW w:w="518" w:type="pct"/>
                  <w:vAlign w:val="center"/>
                </w:tcPr>
                <w:p w14:paraId="69113ADD">
                  <w:pPr>
                    <w:pStyle w:val="12"/>
                    <w:keepNext w:val="0"/>
                    <w:keepLines w:val="0"/>
                    <w:pageBreakBefore w:val="0"/>
                    <w:widowControl/>
                    <w:kinsoku/>
                    <w:wordWrap/>
                    <w:overflowPunct/>
                    <w:topLinePunct w:val="0"/>
                    <w:autoSpaceDE/>
                    <w:autoSpaceDN/>
                    <w:bidi w:val="0"/>
                    <w:spacing w:line="240" w:lineRule="auto"/>
                    <w:ind w:firstLine="0" w:firstLineChars="0"/>
                    <w:rPr>
                      <w:rFonts w:hint="eastAsia" w:cs="Times New Roman"/>
                      <w:sz w:val="21"/>
                      <w:szCs w:val="21"/>
                      <w:lang w:val="en-US" w:eastAsia="zh-CN"/>
                    </w:rPr>
                  </w:pPr>
                  <w:r>
                    <w:rPr>
                      <w:rFonts w:hint="eastAsia" w:cs="Times New Roman"/>
                      <w:sz w:val="21"/>
                      <w:szCs w:val="21"/>
                      <w:lang w:val="en-US" w:eastAsia="zh-CN"/>
                    </w:rPr>
                    <w:t>55户，约165人</w:t>
                  </w:r>
                </w:p>
              </w:tc>
              <w:tc>
                <w:tcPr>
                  <w:tcW w:w="717" w:type="pct"/>
                  <w:vMerge w:val="continue"/>
                  <w:vAlign w:val="center"/>
                </w:tcPr>
                <w:p w14:paraId="43604118">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sz w:val="21"/>
                      <w:szCs w:val="21"/>
                    </w:rPr>
                  </w:pPr>
                </w:p>
              </w:tc>
            </w:tr>
            <w:tr w14:paraId="6E1E7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559" w:type="pct"/>
                  <w:vMerge w:val="continue"/>
                  <w:vAlign w:val="center"/>
                </w:tcPr>
                <w:p w14:paraId="22A22339">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sz w:val="21"/>
                      <w:szCs w:val="21"/>
                      <w:lang w:val="zh-CN"/>
                    </w:rPr>
                  </w:pPr>
                </w:p>
              </w:tc>
              <w:tc>
                <w:tcPr>
                  <w:tcW w:w="605" w:type="pct"/>
                  <w:vAlign w:val="center"/>
                </w:tcPr>
                <w:p w14:paraId="43D1D974">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cs="Times New Roman"/>
                      <w:sz w:val="21"/>
                      <w:szCs w:val="21"/>
                      <w:lang w:val="en-US" w:eastAsia="zh-CN"/>
                    </w:rPr>
                  </w:pPr>
                  <w:r>
                    <w:rPr>
                      <w:rFonts w:hint="eastAsia" w:cs="Times New Roman"/>
                      <w:sz w:val="21"/>
                      <w:szCs w:val="21"/>
                      <w:lang w:val="en-US" w:eastAsia="zh-CN"/>
                    </w:rPr>
                    <w:t>双星社区</w:t>
                  </w:r>
                </w:p>
              </w:tc>
              <w:tc>
                <w:tcPr>
                  <w:tcW w:w="648" w:type="pct"/>
                  <w:vAlign w:val="center"/>
                </w:tcPr>
                <w:p w14:paraId="67AC9A07">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sz w:val="21"/>
                      <w:szCs w:val="21"/>
                    </w:rPr>
                  </w:pPr>
                  <w:r>
                    <w:rPr>
                      <w:rFonts w:hint="default" w:ascii="Times New Roman" w:hAnsi="Times New Roman" w:cs="Times New Roman"/>
                      <w:sz w:val="21"/>
                      <w:szCs w:val="21"/>
                    </w:rPr>
                    <w:t>107.129645</w:t>
                  </w:r>
                </w:p>
              </w:tc>
              <w:tc>
                <w:tcPr>
                  <w:tcW w:w="577" w:type="pct"/>
                  <w:vAlign w:val="center"/>
                </w:tcPr>
                <w:p w14:paraId="3F8B5BA0">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sz w:val="21"/>
                      <w:szCs w:val="21"/>
                    </w:rPr>
                  </w:pPr>
                  <w:r>
                    <w:rPr>
                      <w:rFonts w:hint="default" w:ascii="Times New Roman" w:hAnsi="Times New Roman" w:cs="Times New Roman"/>
                      <w:sz w:val="21"/>
                      <w:szCs w:val="21"/>
                    </w:rPr>
                    <w:t>31.534321</w:t>
                  </w:r>
                </w:p>
              </w:tc>
              <w:tc>
                <w:tcPr>
                  <w:tcW w:w="501" w:type="pct"/>
                  <w:vAlign w:val="center"/>
                </w:tcPr>
                <w:p w14:paraId="758EE73C">
                  <w:pPr>
                    <w:pStyle w:val="12"/>
                    <w:keepNext w:val="0"/>
                    <w:keepLines w:val="0"/>
                    <w:pageBreakBefore w:val="0"/>
                    <w:widowControl/>
                    <w:kinsoku/>
                    <w:wordWrap/>
                    <w:overflowPunct/>
                    <w:topLinePunct w:val="0"/>
                    <w:autoSpaceDE/>
                    <w:autoSpaceDN/>
                    <w:bidi w:val="0"/>
                    <w:spacing w:line="240" w:lineRule="auto"/>
                    <w:ind w:firstLine="0" w:firstLineChars="0"/>
                    <w:rPr>
                      <w:rFonts w:hint="default" w:cs="Times New Roman"/>
                      <w:sz w:val="21"/>
                      <w:szCs w:val="21"/>
                      <w:lang w:val="en-US" w:eastAsia="zh-CN"/>
                    </w:rPr>
                  </w:pPr>
                  <w:r>
                    <w:rPr>
                      <w:rFonts w:hint="eastAsia" w:cs="Times New Roman"/>
                      <w:sz w:val="21"/>
                      <w:szCs w:val="21"/>
                      <w:lang w:val="en-US" w:eastAsia="zh-CN"/>
                    </w:rPr>
                    <w:t>西北侧</w:t>
                  </w:r>
                </w:p>
              </w:tc>
              <w:tc>
                <w:tcPr>
                  <w:tcW w:w="549" w:type="pct"/>
                  <w:vAlign w:val="center"/>
                </w:tcPr>
                <w:p w14:paraId="4865310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sz w:val="21"/>
                      <w:szCs w:val="21"/>
                      <w:lang w:val="en-US" w:eastAsia="zh-CN"/>
                    </w:rPr>
                  </w:pPr>
                  <w:r>
                    <w:rPr>
                      <w:rFonts w:hint="eastAsia" w:cs="Times New Roman"/>
                      <w:sz w:val="21"/>
                      <w:szCs w:val="21"/>
                      <w:lang w:val="en-US" w:eastAsia="zh-CN"/>
                    </w:rPr>
                    <w:t>730-880</w:t>
                  </w:r>
                </w:p>
              </w:tc>
              <w:tc>
                <w:tcPr>
                  <w:tcW w:w="320" w:type="pct"/>
                  <w:vAlign w:val="center"/>
                </w:tcPr>
                <w:p w14:paraId="22D72CE8">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sz w:val="21"/>
                      <w:szCs w:val="21"/>
                      <w:lang w:val="en-US" w:eastAsia="zh-CN"/>
                    </w:rPr>
                  </w:pPr>
                  <w:r>
                    <w:rPr>
                      <w:rFonts w:hint="eastAsia" w:cs="Times New Roman"/>
                      <w:sz w:val="21"/>
                      <w:szCs w:val="21"/>
                      <w:lang w:val="en-US" w:eastAsia="zh-CN"/>
                    </w:rPr>
                    <w:t>居民</w:t>
                  </w:r>
                </w:p>
              </w:tc>
              <w:tc>
                <w:tcPr>
                  <w:tcW w:w="518" w:type="pct"/>
                  <w:vAlign w:val="center"/>
                </w:tcPr>
                <w:p w14:paraId="5EF22AED">
                  <w:pPr>
                    <w:pStyle w:val="12"/>
                    <w:keepNext w:val="0"/>
                    <w:keepLines w:val="0"/>
                    <w:pageBreakBefore w:val="0"/>
                    <w:widowControl/>
                    <w:kinsoku/>
                    <w:wordWrap/>
                    <w:overflowPunct/>
                    <w:topLinePunct w:val="0"/>
                    <w:autoSpaceDE/>
                    <w:autoSpaceDN/>
                    <w:bidi w:val="0"/>
                    <w:spacing w:line="240" w:lineRule="auto"/>
                    <w:ind w:firstLine="0" w:firstLineChars="0"/>
                    <w:rPr>
                      <w:rFonts w:hint="eastAsia" w:cs="Times New Roman"/>
                      <w:sz w:val="21"/>
                      <w:szCs w:val="21"/>
                      <w:lang w:val="en-US" w:eastAsia="zh-CN"/>
                    </w:rPr>
                  </w:pPr>
                  <w:r>
                    <w:rPr>
                      <w:rFonts w:hint="eastAsia" w:cs="Times New Roman"/>
                      <w:sz w:val="21"/>
                      <w:szCs w:val="21"/>
                      <w:lang w:val="en-US" w:eastAsia="zh-CN"/>
                    </w:rPr>
                    <w:t>68户，约204人</w:t>
                  </w:r>
                </w:p>
              </w:tc>
              <w:tc>
                <w:tcPr>
                  <w:tcW w:w="717" w:type="pct"/>
                  <w:vMerge w:val="continue"/>
                  <w:vAlign w:val="center"/>
                </w:tcPr>
                <w:p w14:paraId="3761808B">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sz w:val="21"/>
                      <w:szCs w:val="21"/>
                    </w:rPr>
                  </w:pPr>
                </w:p>
              </w:tc>
            </w:tr>
            <w:tr w14:paraId="7DAA2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559" w:type="pct"/>
                  <w:vMerge w:val="continue"/>
                  <w:vAlign w:val="center"/>
                </w:tcPr>
                <w:p w14:paraId="4B3BFEE3">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sz w:val="21"/>
                      <w:szCs w:val="21"/>
                      <w:lang w:val="zh-CN"/>
                    </w:rPr>
                  </w:pPr>
                </w:p>
              </w:tc>
              <w:tc>
                <w:tcPr>
                  <w:tcW w:w="605" w:type="pct"/>
                  <w:vAlign w:val="center"/>
                </w:tcPr>
                <w:p w14:paraId="4FE13F16">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cs="Times New Roman"/>
                      <w:sz w:val="21"/>
                      <w:szCs w:val="21"/>
                      <w:lang w:val="en-US" w:eastAsia="zh-CN"/>
                    </w:rPr>
                  </w:pPr>
                  <w:r>
                    <w:rPr>
                      <w:rFonts w:hint="eastAsia" w:cs="Times New Roman"/>
                      <w:sz w:val="21"/>
                      <w:szCs w:val="21"/>
                      <w:lang w:val="en-US" w:eastAsia="zh-CN"/>
                    </w:rPr>
                    <w:t>白顶子</w:t>
                  </w:r>
                </w:p>
              </w:tc>
              <w:tc>
                <w:tcPr>
                  <w:tcW w:w="648" w:type="pct"/>
                  <w:vAlign w:val="center"/>
                </w:tcPr>
                <w:p w14:paraId="4E7858BD">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sz w:val="21"/>
                      <w:szCs w:val="21"/>
                    </w:rPr>
                  </w:pPr>
                  <w:r>
                    <w:rPr>
                      <w:rFonts w:hint="default" w:ascii="Times New Roman" w:hAnsi="Times New Roman" w:cs="Times New Roman"/>
                      <w:sz w:val="21"/>
                      <w:szCs w:val="21"/>
                    </w:rPr>
                    <w:t>107.143935</w:t>
                  </w:r>
                </w:p>
              </w:tc>
              <w:tc>
                <w:tcPr>
                  <w:tcW w:w="577" w:type="pct"/>
                  <w:vAlign w:val="center"/>
                </w:tcPr>
                <w:p w14:paraId="17F38218">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sz w:val="21"/>
                      <w:szCs w:val="21"/>
                    </w:rPr>
                  </w:pPr>
                  <w:r>
                    <w:rPr>
                      <w:rFonts w:hint="default" w:ascii="Times New Roman" w:hAnsi="Times New Roman" w:cs="Times New Roman"/>
                      <w:sz w:val="21"/>
                      <w:szCs w:val="21"/>
                    </w:rPr>
                    <w:t>31.535222</w:t>
                  </w:r>
                </w:p>
              </w:tc>
              <w:tc>
                <w:tcPr>
                  <w:tcW w:w="501" w:type="pct"/>
                  <w:vAlign w:val="center"/>
                </w:tcPr>
                <w:p w14:paraId="1CCD2E45">
                  <w:pPr>
                    <w:pStyle w:val="12"/>
                    <w:keepNext w:val="0"/>
                    <w:keepLines w:val="0"/>
                    <w:pageBreakBefore w:val="0"/>
                    <w:widowControl/>
                    <w:kinsoku/>
                    <w:wordWrap/>
                    <w:overflowPunct/>
                    <w:topLinePunct w:val="0"/>
                    <w:autoSpaceDE/>
                    <w:autoSpaceDN/>
                    <w:bidi w:val="0"/>
                    <w:spacing w:line="240" w:lineRule="auto"/>
                    <w:ind w:firstLine="0" w:firstLineChars="0"/>
                    <w:rPr>
                      <w:rFonts w:hint="default" w:cs="Times New Roman"/>
                      <w:sz w:val="21"/>
                      <w:szCs w:val="21"/>
                      <w:lang w:val="en-US" w:eastAsia="zh-CN"/>
                    </w:rPr>
                  </w:pPr>
                  <w:r>
                    <w:rPr>
                      <w:rFonts w:hint="eastAsia" w:cs="Times New Roman"/>
                      <w:sz w:val="21"/>
                      <w:szCs w:val="21"/>
                      <w:lang w:val="en-US" w:eastAsia="zh-CN"/>
                    </w:rPr>
                    <w:t>东北侧</w:t>
                  </w:r>
                </w:p>
              </w:tc>
              <w:tc>
                <w:tcPr>
                  <w:tcW w:w="549" w:type="pct"/>
                  <w:vAlign w:val="center"/>
                </w:tcPr>
                <w:p w14:paraId="6DE2523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sz w:val="21"/>
                      <w:szCs w:val="21"/>
                      <w:lang w:val="en-US" w:eastAsia="zh-CN"/>
                    </w:rPr>
                  </w:pPr>
                  <w:r>
                    <w:rPr>
                      <w:rFonts w:hint="eastAsia" w:cs="Times New Roman"/>
                      <w:sz w:val="21"/>
                      <w:szCs w:val="21"/>
                      <w:lang w:val="en-US" w:eastAsia="zh-CN"/>
                    </w:rPr>
                    <w:t>450-590</w:t>
                  </w:r>
                </w:p>
              </w:tc>
              <w:tc>
                <w:tcPr>
                  <w:tcW w:w="320" w:type="pct"/>
                  <w:vAlign w:val="center"/>
                </w:tcPr>
                <w:p w14:paraId="6520A56B">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sz w:val="21"/>
                      <w:szCs w:val="21"/>
                      <w:lang w:val="en-US" w:eastAsia="zh-CN"/>
                    </w:rPr>
                  </w:pPr>
                  <w:r>
                    <w:rPr>
                      <w:rFonts w:hint="eastAsia" w:cs="Times New Roman"/>
                      <w:sz w:val="21"/>
                      <w:szCs w:val="21"/>
                      <w:lang w:val="en-US" w:eastAsia="zh-CN"/>
                    </w:rPr>
                    <w:t>居民</w:t>
                  </w:r>
                </w:p>
              </w:tc>
              <w:tc>
                <w:tcPr>
                  <w:tcW w:w="518" w:type="pct"/>
                  <w:vAlign w:val="center"/>
                </w:tcPr>
                <w:p w14:paraId="1FE437C6">
                  <w:pPr>
                    <w:pStyle w:val="12"/>
                    <w:keepNext w:val="0"/>
                    <w:keepLines w:val="0"/>
                    <w:pageBreakBefore w:val="0"/>
                    <w:widowControl/>
                    <w:kinsoku/>
                    <w:wordWrap/>
                    <w:overflowPunct/>
                    <w:topLinePunct w:val="0"/>
                    <w:autoSpaceDE/>
                    <w:autoSpaceDN/>
                    <w:bidi w:val="0"/>
                    <w:spacing w:line="240" w:lineRule="auto"/>
                    <w:ind w:firstLine="0" w:firstLineChars="0"/>
                    <w:rPr>
                      <w:rFonts w:hint="eastAsia" w:cs="Times New Roman"/>
                      <w:sz w:val="21"/>
                      <w:szCs w:val="21"/>
                      <w:lang w:val="en-US" w:eastAsia="zh-CN"/>
                    </w:rPr>
                  </w:pPr>
                  <w:r>
                    <w:rPr>
                      <w:rFonts w:hint="eastAsia" w:cs="Times New Roman"/>
                      <w:sz w:val="21"/>
                      <w:szCs w:val="21"/>
                      <w:lang w:val="en-US" w:eastAsia="zh-CN"/>
                    </w:rPr>
                    <w:t>13户，约39人</w:t>
                  </w:r>
                </w:p>
              </w:tc>
              <w:tc>
                <w:tcPr>
                  <w:tcW w:w="717" w:type="pct"/>
                  <w:vMerge w:val="continue"/>
                  <w:vAlign w:val="center"/>
                </w:tcPr>
                <w:p w14:paraId="7B194478">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sz w:val="21"/>
                      <w:szCs w:val="21"/>
                    </w:rPr>
                  </w:pPr>
                </w:p>
              </w:tc>
            </w:tr>
            <w:tr w14:paraId="108D9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559" w:type="pct"/>
                  <w:vMerge w:val="continue"/>
                  <w:vAlign w:val="center"/>
                </w:tcPr>
                <w:p w14:paraId="23D55BA1">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sz w:val="21"/>
                      <w:szCs w:val="21"/>
                      <w:lang w:val="zh-CN"/>
                    </w:rPr>
                  </w:pPr>
                </w:p>
              </w:tc>
              <w:tc>
                <w:tcPr>
                  <w:tcW w:w="605" w:type="pct"/>
                  <w:vAlign w:val="center"/>
                </w:tcPr>
                <w:p w14:paraId="3DE7DDC3">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cs="Times New Roman"/>
                      <w:sz w:val="21"/>
                      <w:szCs w:val="21"/>
                      <w:lang w:val="en-US" w:eastAsia="zh-CN"/>
                    </w:rPr>
                  </w:pPr>
                  <w:r>
                    <w:rPr>
                      <w:rFonts w:hint="eastAsia" w:cs="Times New Roman"/>
                      <w:sz w:val="21"/>
                      <w:szCs w:val="21"/>
                      <w:lang w:val="en-US" w:eastAsia="zh-CN"/>
                    </w:rPr>
                    <w:t>孙家山</w:t>
                  </w:r>
                </w:p>
              </w:tc>
              <w:tc>
                <w:tcPr>
                  <w:tcW w:w="648" w:type="pct"/>
                  <w:vAlign w:val="center"/>
                </w:tcPr>
                <w:p w14:paraId="02A1D7BB">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sz w:val="21"/>
                      <w:szCs w:val="21"/>
                    </w:rPr>
                  </w:pPr>
                  <w:r>
                    <w:rPr>
                      <w:rFonts w:hint="default" w:ascii="Times New Roman" w:hAnsi="Times New Roman" w:cs="Times New Roman"/>
                      <w:sz w:val="21"/>
                      <w:szCs w:val="21"/>
                    </w:rPr>
                    <w:t>107.155115</w:t>
                  </w:r>
                </w:p>
              </w:tc>
              <w:tc>
                <w:tcPr>
                  <w:tcW w:w="577" w:type="pct"/>
                  <w:vAlign w:val="center"/>
                </w:tcPr>
                <w:p w14:paraId="0FA89199">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sz w:val="21"/>
                      <w:szCs w:val="21"/>
                    </w:rPr>
                  </w:pPr>
                  <w:r>
                    <w:rPr>
                      <w:rFonts w:hint="default" w:ascii="Times New Roman" w:hAnsi="Times New Roman" w:cs="Times New Roman"/>
                      <w:sz w:val="21"/>
                      <w:szCs w:val="21"/>
                    </w:rPr>
                    <w:t>31.533387</w:t>
                  </w:r>
                </w:p>
              </w:tc>
              <w:tc>
                <w:tcPr>
                  <w:tcW w:w="501" w:type="pct"/>
                  <w:vAlign w:val="center"/>
                </w:tcPr>
                <w:p w14:paraId="76068768">
                  <w:pPr>
                    <w:pStyle w:val="12"/>
                    <w:keepNext w:val="0"/>
                    <w:keepLines w:val="0"/>
                    <w:pageBreakBefore w:val="0"/>
                    <w:widowControl/>
                    <w:kinsoku/>
                    <w:wordWrap/>
                    <w:overflowPunct/>
                    <w:topLinePunct w:val="0"/>
                    <w:autoSpaceDE/>
                    <w:autoSpaceDN/>
                    <w:bidi w:val="0"/>
                    <w:spacing w:line="240" w:lineRule="auto"/>
                    <w:ind w:firstLine="0" w:firstLineChars="0"/>
                    <w:rPr>
                      <w:rFonts w:hint="default" w:cs="Times New Roman"/>
                      <w:sz w:val="21"/>
                      <w:szCs w:val="21"/>
                      <w:lang w:val="en-US" w:eastAsia="zh-CN"/>
                    </w:rPr>
                  </w:pPr>
                  <w:r>
                    <w:rPr>
                      <w:rFonts w:hint="eastAsia" w:cs="Times New Roman"/>
                      <w:sz w:val="21"/>
                      <w:szCs w:val="21"/>
                      <w:lang w:val="en-US" w:eastAsia="zh-CN"/>
                    </w:rPr>
                    <w:t>东侧</w:t>
                  </w:r>
                </w:p>
              </w:tc>
              <w:tc>
                <w:tcPr>
                  <w:tcW w:w="549" w:type="pct"/>
                  <w:vAlign w:val="center"/>
                </w:tcPr>
                <w:p w14:paraId="20C5FDB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sz w:val="21"/>
                      <w:szCs w:val="21"/>
                      <w:lang w:val="en-US" w:eastAsia="zh-CN"/>
                    </w:rPr>
                  </w:pPr>
                  <w:r>
                    <w:rPr>
                      <w:rFonts w:hint="eastAsia" w:cs="Times New Roman"/>
                      <w:sz w:val="21"/>
                      <w:szCs w:val="21"/>
                      <w:lang w:val="en-US" w:eastAsia="zh-CN"/>
                    </w:rPr>
                    <w:t>1400-1510</w:t>
                  </w:r>
                </w:p>
              </w:tc>
              <w:tc>
                <w:tcPr>
                  <w:tcW w:w="320" w:type="pct"/>
                  <w:vAlign w:val="center"/>
                </w:tcPr>
                <w:p w14:paraId="32ADFD24">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sz w:val="21"/>
                      <w:szCs w:val="21"/>
                      <w:lang w:val="en-US" w:eastAsia="zh-CN"/>
                    </w:rPr>
                  </w:pPr>
                  <w:r>
                    <w:rPr>
                      <w:rFonts w:hint="eastAsia" w:cs="Times New Roman"/>
                      <w:sz w:val="21"/>
                      <w:szCs w:val="21"/>
                      <w:lang w:val="en-US" w:eastAsia="zh-CN"/>
                    </w:rPr>
                    <w:t>居民</w:t>
                  </w:r>
                </w:p>
              </w:tc>
              <w:tc>
                <w:tcPr>
                  <w:tcW w:w="518" w:type="pct"/>
                  <w:vAlign w:val="center"/>
                </w:tcPr>
                <w:p w14:paraId="783AC85E">
                  <w:pPr>
                    <w:pStyle w:val="12"/>
                    <w:keepNext w:val="0"/>
                    <w:keepLines w:val="0"/>
                    <w:pageBreakBefore w:val="0"/>
                    <w:widowControl/>
                    <w:kinsoku/>
                    <w:wordWrap/>
                    <w:overflowPunct/>
                    <w:topLinePunct w:val="0"/>
                    <w:autoSpaceDE/>
                    <w:autoSpaceDN/>
                    <w:bidi w:val="0"/>
                    <w:spacing w:line="240" w:lineRule="auto"/>
                    <w:ind w:firstLine="0" w:firstLineChars="0"/>
                    <w:rPr>
                      <w:rFonts w:hint="eastAsia" w:cs="Times New Roman"/>
                      <w:sz w:val="21"/>
                      <w:szCs w:val="21"/>
                      <w:lang w:val="en-US" w:eastAsia="zh-CN"/>
                    </w:rPr>
                  </w:pPr>
                  <w:r>
                    <w:rPr>
                      <w:rFonts w:hint="eastAsia" w:cs="Times New Roman"/>
                      <w:sz w:val="21"/>
                      <w:szCs w:val="21"/>
                      <w:lang w:val="en-US" w:eastAsia="zh-CN"/>
                    </w:rPr>
                    <w:t>27户，约81人</w:t>
                  </w:r>
                </w:p>
              </w:tc>
              <w:tc>
                <w:tcPr>
                  <w:tcW w:w="717" w:type="pct"/>
                  <w:vMerge w:val="continue"/>
                  <w:vAlign w:val="center"/>
                </w:tcPr>
                <w:p w14:paraId="75DBCF5B">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sz w:val="21"/>
                      <w:szCs w:val="21"/>
                    </w:rPr>
                  </w:pPr>
                </w:p>
              </w:tc>
            </w:tr>
            <w:tr w14:paraId="63CA0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559" w:type="pct"/>
                  <w:vMerge w:val="continue"/>
                  <w:vAlign w:val="center"/>
                </w:tcPr>
                <w:p w14:paraId="604372C8">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sz w:val="21"/>
                      <w:szCs w:val="21"/>
                      <w:lang w:val="zh-CN"/>
                    </w:rPr>
                  </w:pPr>
                </w:p>
              </w:tc>
              <w:tc>
                <w:tcPr>
                  <w:tcW w:w="605" w:type="pct"/>
                  <w:vAlign w:val="center"/>
                </w:tcPr>
                <w:p w14:paraId="5E048B49">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cs="Times New Roman"/>
                      <w:sz w:val="21"/>
                      <w:szCs w:val="21"/>
                      <w:lang w:val="en-US" w:eastAsia="zh-CN"/>
                    </w:rPr>
                  </w:pPr>
                  <w:r>
                    <w:rPr>
                      <w:rFonts w:hint="eastAsia" w:cs="Times New Roman"/>
                      <w:sz w:val="21"/>
                      <w:szCs w:val="21"/>
                      <w:lang w:val="en-US" w:eastAsia="zh-CN"/>
                    </w:rPr>
                    <w:t>尉家溪</w:t>
                  </w:r>
                </w:p>
              </w:tc>
              <w:tc>
                <w:tcPr>
                  <w:tcW w:w="648" w:type="pct"/>
                  <w:vAlign w:val="center"/>
                </w:tcPr>
                <w:p w14:paraId="35D276D4">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sz w:val="21"/>
                      <w:szCs w:val="21"/>
                    </w:rPr>
                  </w:pPr>
                  <w:r>
                    <w:rPr>
                      <w:rFonts w:hint="default" w:ascii="Times New Roman" w:hAnsi="Times New Roman" w:cs="Times New Roman"/>
                      <w:sz w:val="21"/>
                      <w:szCs w:val="21"/>
                    </w:rPr>
                    <w:t>107.120495</w:t>
                  </w:r>
                </w:p>
              </w:tc>
              <w:tc>
                <w:tcPr>
                  <w:tcW w:w="577" w:type="pct"/>
                  <w:vAlign w:val="center"/>
                </w:tcPr>
                <w:p w14:paraId="623D30DA">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sz w:val="21"/>
                      <w:szCs w:val="21"/>
                    </w:rPr>
                  </w:pPr>
                  <w:r>
                    <w:rPr>
                      <w:rFonts w:hint="default" w:ascii="Times New Roman" w:hAnsi="Times New Roman" w:cs="Times New Roman"/>
                      <w:sz w:val="21"/>
                      <w:szCs w:val="21"/>
                    </w:rPr>
                    <w:t>31.527653</w:t>
                  </w:r>
                </w:p>
              </w:tc>
              <w:tc>
                <w:tcPr>
                  <w:tcW w:w="501" w:type="pct"/>
                  <w:vAlign w:val="center"/>
                </w:tcPr>
                <w:p w14:paraId="7ADEF16E">
                  <w:pPr>
                    <w:pStyle w:val="12"/>
                    <w:keepNext w:val="0"/>
                    <w:keepLines w:val="0"/>
                    <w:pageBreakBefore w:val="0"/>
                    <w:widowControl/>
                    <w:kinsoku/>
                    <w:wordWrap/>
                    <w:overflowPunct/>
                    <w:topLinePunct w:val="0"/>
                    <w:autoSpaceDE/>
                    <w:autoSpaceDN/>
                    <w:bidi w:val="0"/>
                    <w:spacing w:line="240" w:lineRule="auto"/>
                    <w:ind w:firstLine="0" w:firstLineChars="0"/>
                    <w:rPr>
                      <w:rFonts w:hint="default" w:cs="Times New Roman"/>
                      <w:sz w:val="21"/>
                      <w:szCs w:val="21"/>
                      <w:lang w:val="en-US" w:eastAsia="zh-CN"/>
                    </w:rPr>
                  </w:pPr>
                  <w:r>
                    <w:rPr>
                      <w:rFonts w:hint="eastAsia" w:cs="Times New Roman"/>
                      <w:sz w:val="21"/>
                      <w:szCs w:val="21"/>
                      <w:lang w:val="en-US" w:eastAsia="zh-CN"/>
                    </w:rPr>
                    <w:t>西南侧</w:t>
                  </w:r>
                </w:p>
              </w:tc>
              <w:tc>
                <w:tcPr>
                  <w:tcW w:w="549" w:type="pct"/>
                  <w:vAlign w:val="center"/>
                </w:tcPr>
                <w:p w14:paraId="277D1CF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sz w:val="21"/>
                      <w:szCs w:val="21"/>
                      <w:lang w:val="en-US" w:eastAsia="zh-CN"/>
                    </w:rPr>
                  </w:pPr>
                  <w:r>
                    <w:rPr>
                      <w:rFonts w:hint="eastAsia" w:cs="Times New Roman"/>
                      <w:sz w:val="21"/>
                      <w:szCs w:val="21"/>
                      <w:lang w:val="en-US" w:eastAsia="zh-CN"/>
                    </w:rPr>
                    <w:t>1710-1900</w:t>
                  </w:r>
                </w:p>
              </w:tc>
              <w:tc>
                <w:tcPr>
                  <w:tcW w:w="320" w:type="pct"/>
                  <w:vAlign w:val="center"/>
                </w:tcPr>
                <w:p w14:paraId="597D04A0">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sz w:val="21"/>
                      <w:szCs w:val="21"/>
                      <w:lang w:val="en-US" w:eastAsia="zh-CN"/>
                    </w:rPr>
                  </w:pPr>
                  <w:r>
                    <w:rPr>
                      <w:rFonts w:hint="eastAsia" w:cs="Times New Roman"/>
                      <w:sz w:val="21"/>
                      <w:szCs w:val="21"/>
                      <w:lang w:val="en-US" w:eastAsia="zh-CN"/>
                    </w:rPr>
                    <w:t>居民</w:t>
                  </w:r>
                </w:p>
              </w:tc>
              <w:tc>
                <w:tcPr>
                  <w:tcW w:w="518" w:type="pct"/>
                  <w:vAlign w:val="center"/>
                </w:tcPr>
                <w:p w14:paraId="49C9FC8C">
                  <w:pPr>
                    <w:pStyle w:val="12"/>
                    <w:keepNext w:val="0"/>
                    <w:keepLines w:val="0"/>
                    <w:pageBreakBefore w:val="0"/>
                    <w:widowControl/>
                    <w:kinsoku/>
                    <w:wordWrap/>
                    <w:overflowPunct/>
                    <w:topLinePunct w:val="0"/>
                    <w:autoSpaceDE/>
                    <w:autoSpaceDN/>
                    <w:bidi w:val="0"/>
                    <w:spacing w:line="240" w:lineRule="auto"/>
                    <w:ind w:firstLine="0" w:firstLineChars="0"/>
                    <w:rPr>
                      <w:rFonts w:hint="eastAsia" w:cs="Times New Roman"/>
                      <w:sz w:val="21"/>
                      <w:szCs w:val="21"/>
                      <w:lang w:val="en-US" w:eastAsia="zh-CN"/>
                    </w:rPr>
                  </w:pPr>
                  <w:r>
                    <w:rPr>
                      <w:rFonts w:hint="eastAsia" w:cs="Times New Roman"/>
                      <w:sz w:val="21"/>
                      <w:szCs w:val="21"/>
                      <w:lang w:val="en-US" w:eastAsia="zh-CN"/>
                    </w:rPr>
                    <w:t>70户，约210人</w:t>
                  </w:r>
                </w:p>
              </w:tc>
              <w:tc>
                <w:tcPr>
                  <w:tcW w:w="717" w:type="pct"/>
                  <w:vMerge w:val="continue"/>
                  <w:vAlign w:val="center"/>
                </w:tcPr>
                <w:p w14:paraId="44FC0AF3">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sz w:val="21"/>
                      <w:szCs w:val="21"/>
                    </w:rPr>
                  </w:pPr>
                </w:p>
              </w:tc>
            </w:tr>
            <w:tr w14:paraId="3AFE0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559" w:type="pct"/>
                  <w:vMerge w:val="continue"/>
                  <w:vAlign w:val="center"/>
                </w:tcPr>
                <w:p w14:paraId="11893E1C">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sz w:val="21"/>
                      <w:szCs w:val="21"/>
                      <w:lang w:val="zh-CN"/>
                    </w:rPr>
                  </w:pPr>
                </w:p>
              </w:tc>
              <w:tc>
                <w:tcPr>
                  <w:tcW w:w="605" w:type="pct"/>
                  <w:vAlign w:val="center"/>
                </w:tcPr>
                <w:p w14:paraId="4A63FBB0">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cs="Times New Roman"/>
                      <w:sz w:val="21"/>
                      <w:szCs w:val="21"/>
                      <w:lang w:val="en-US" w:eastAsia="zh-CN"/>
                    </w:rPr>
                  </w:pPr>
                  <w:r>
                    <w:rPr>
                      <w:rFonts w:hint="eastAsia" w:cs="Times New Roman"/>
                      <w:sz w:val="21"/>
                      <w:szCs w:val="21"/>
                      <w:lang w:val="en-US" w:eastAsia="zh-CN"/>
                    </w:rPr>
                    <w:t>何家山</w:t>
                  </w:r>
                </w:p>
              </w:tc>
              <w:tc>
                <w:tcPr>
                  <w:tcW w:w="648" w:type="pct"/>
                  <w:vAlign w:val="center"/>
                </w:tcPr>
                <w:p w14:paraId="2297EF38">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sz w:val="21"/>
                      <w:szCs w:val="21"/>
                    </w:rPr>
                  </w:pPr>
                  <w:r>
                    <w:rPr>
                      <w:rFonts w:hint="default" w:ascii="Times New Roman" w:hAnsi="Times New Roman" w:cs="Times New Roman"/>
                      <w:sz w:val="21"/>
                      <w:szCs w:val="21"/>
                    </w:rPr>
                    <w:t>107.144450</w:t>
                  </w:r>
                </w:p>
              </w:tc>
              <w:tc>
                <w:tcPr>
                  <w:tcW w:w="577" w:type="pct"/>
                  <w:vAlign w:val="center"/>
                </w:tcPr>
                <w:p w14:paraId="1BDD8C9F">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sz w:val="21"/>
                      <w:szCs w:val="21"/>
                    </w:rPr>
                  </w:pPr>
                  <w:r>
                    <w:rPr>
                      <w:rFonts w:hint="default" w:ascii="Times New Roman" w:hAnsi="Times New Roman" w:cs="Times New Roman"/>
                      <w:sz w:val="21"/>
                      <w:szCs w:val="21"/>
                    </w:rPr>
                    <w:t>31.527851</w:t>
                  </w:r>
                </w:p>
              </w:tc>
              <w:tc>
                <w:tcPr>
                  <w:tcW w:w="501" w:type="pct"/>
                  <w:vAlign w:val="center"/>
                </w:tcPr>
                <w:p w14:paraId="769FA95D">
                  <w:pPr>
                    <w:pStyle w:val="12"/>
                    <w:keepNext w:val="0"/>
                    <w:keepLines w:val="0"/>
                    <w:pageBreakBefore w:val="0"/>
                    <w:widowControl/>
                    <w:kinsoku/>
                    <w:wordWrap/>
                    <w:overflowPunct/>
                    <w:topLinePunct w:val="0"/>
                    <w:autoSpaceDE/>
                    <w:autoSpaceDN/>
                    <w:bidi w:val="0"/>
                    <w:spacing w:line="240" w:lineRule="auto"/>
                    <w:ind w:firstLine="0" w:firstLineChars="0"/>
                    <w:rPr>
                      <w:rFonts w:hint="default" w:cs="Times New Roman"/>
                      <w:sz w:val="21"/>
                      <w:szCs w:val="21"/>
                      <w:lang w:val="en-US" w:eastAsia="zh-CN"/>
                    </w:rPr>
                  </w:pPr>
                  <w:r>
                    <w:rPr>
                      <w:rFonts w:hint="eastAsia" w:cs="Times New Roman"/>
                      <w:sz w:val="21"/>
                      <w:szCs w:val="21"/>
                      <w:lang w:val="en-US" w:eastAsia="zh-CN"/>
                    </w:rPr>
                    <w:t>东南侧</w:t>
                  </w:r>
                </w:p>
              </w:tc>
              <w:tc>
                <w:tcPr>
                  <w:tcW w:w="549" w:type="pct"/>
                  <w:vAlign w:val="center"/>
                </w:tcPr>
                <w:p w14:paraId="4FCAAD8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sz w:val="21"/>
                      <w:szCs w:val="21"/>
                      <w:lang w:val="en-US" w:eastAsia="zh-CN"/>
                    </w:rPr>
                  </w:pPr>
                  <w:r>
                    <w:rPr>
                      <w:rFonts w:hint="eastAsia" w:cs="Times New Roman"/>
                      <w:sz w:val="21"/>
                      <w:szCs w:val="21"/>
                      <w:lang w:val="en-US" w:eastAsia="zh-CN"/>
                    </w:rPr>
                    <w:t>700-820</w:t>
                  </w:r>
                </w:p>
              </w:tc>
              <w:tc>
                <w:tcPr>
                  <w:tcW w:w="320" w:type="pct"/>
                  <w:vAlign w:val="center"/>
                </w:tcPr>
                <w:p w14:paraId="2F49D46B">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sz w:val="21"/>
                      <w:szCs w:val="21"/>
                      <w:lang w:val="en-US" w:eastAsia="zh-CN"/>
                    </w:rPr>
                  </w:pPr>
                  <w:r>
                    <w:rPr>
                      <w:rFonts w:hint="eastAsia" w:cs="Times New Roman"/>
                      <w:sz w:val="21"/>
                      <w:szCs w:val="21"/>
                      <w:lang w:val="en-US" w:eastAsia="zh-CN"/>
                    </w:rPr>
                    <w:t>居民</w:t>
                  </w:r>
                </w:p>
              </w:tc>
              <w:tc>
                <w:tcPr>
                  <w:tcW w:w="518" w:type="pct"/>
                  <w:vAlign w:val="center"/>
                </w:tcPr>
                <w:p w14:paraId="5AE20FC4">
                  <w:pPr>
                    <w:pStyle w:val="12"/>
                    <w:keepNext w:val="0"/>
                    <w:keepLines w:val="0"/>
                    <w:pageBreakBefore w:val="0"/>
                    <w:widowControl/>
                    <w:kinsoku/>
                    <w:wordWrap/>
                    <w:overflowPunct/>
                    <w:topLinePunct w:val="0"/>
                    <w:autoSpaceDE/>
                    <w:autoSpaceDN/>
                    <w:bidi w:val="0"/>
                    <w:spacing w:line="240" w:lineRule="auto"/>
                    <w:ind w:firstLine="0" w:firstLineChars="0"/>
                    <w:rPr>
                      <w:rFonts w:hint="eastAsia" w:cs="Times New Roman"/>
                      <w:sz w:val="21"/>
                      <w:szCs w:val="21"/>
                      <w:lang w:val="en-US" w:eastAsia="zh-CN"/>
                    </w:rPr>
                  </w:pPr>
                  <w:r>
                    <w:rPr>
                      <w:rFonts w:hint="eastAsia" w:cs="Times New Roman"/>
                      <w:sz w:val="21"/>
                      <w:szCs w:val="21"/>
                      <w:lang w:val="en-US" w:eastAsia="zh-CN"/>
                    </w:rPr>
                    <w:t>56户，约168人</w:t>
                  </w:r>
                </w:p>
              </w:tc>
              <w:tc>
                <w:tcPr>
                  <w:tcW w:w="717" w:type="pct"/>
                  <w:vMerge w:val="continue"/>
                  <w:vAlign w:val="center"/>
                </w:tcPr>
                <w:p w14:paraId="4DB684E2">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sz w:val="21"/>
                      <w:szCs w:val="21"/>
                    </w:rPr>
                  </w:pPr>
                </w:p>
              </w:tc>
            </w:tr>
            <w:tr w14:paraId="371F7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559" w:type="pct"/>
                  <w:vMerge w:val="continue"/>
                  <w:vAlign w:val="center"/>
                </w:tcPr>
                <w:p w14:paraId="5AB99D78">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sz w:val="21"/>
                      <w:szCs w:val="21"/>
                      <w:lang w:val="zh-CN"/>
                    </w:rPr>
                  </w:pPr>
                </w:p>
              </w:tc>
              <w:tc>
                <w:tcPr>
                  <w:tcW w:w="605" w:type="pct"/>
                  <w:vAlign w:val="center"/>
                </w:tcPr>
                <w:p w14:paraId="04AC8CD8">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cs="Times New Roman"/>
                      <w:sz w:val="21"/>
                      <w:szCs w:val="21"/>
                      <w:lang w:val="en-US" w:eastAsia="zh-CN"/>
                    </w:rPr>
                  </w:pPr>
                  <w:r>
                    <w:rPr>
                      <w:rFonts w:hint="eastAsia" w:cs="Times New Roman"/>
                      <w:sz w:val="21"/>
                      <w:szCs w:val="21"/>
                      <w:lang w:val="en-US" w:eastAsia="zh-CN"/>
                    </w:rPr>
                    <w:t>袁家山</w:t>
                  </w:r>
                </w:p>
              </w:tc>
              <w:tc>
                <w:tcPr>
                  <w:tcW w:w="648" w:type="pct"/>
                  <w:vAlign w:val="center"/>
                </w:tcPr>
                <w:p w14:paraId="6D3BB3C5">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sz w:val="21"/>
                      <w:szCs w:val="21"/>
                    </w:rPr>
                  </w:pPr>
                  <w:r>
                    <w:rPr>
                      <w:rFonts w:hint="default" w:ascii="Times New Roman" w:hAnsi="Times New Roman" w:cs="Times New Roman"/>
                      <w:sz w:val="21"/>
                      <w:szCs w:val="21"/>
                    </w:rPr>
                    <w:t>107.139397</w:t>
                  </w:r>
                </w:p>
              </w:tc>
              <w:tc>
                <w:tcPr>
                  <w:tcW w:w="577" w:type="pct"/>
                  <w:vAlign w:val="center"/>
                </w:tcPr>
                <w:p w14:paraId="1176BF0B">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sz w:val="21"/>
                      <w:szCs w:val="21"/>
                    </w:rPr>
                  </w:pPr>
                  <w:r>
                    <w:rPr>
                      <w:rFonts w:hint="default" w:ascii="Times New Roman" w:hAnsi="Times New Roman" w:cs="Times New Roman"/>
                      <w:sz w:val="21"/>
                      <w:szCs w:val="21"/>
                    </w:rPr>
                    <w:t>31.521478</w:t>
                  </w:r>
                </w:p>
              </w:tc>
              <w:tc>
                <w:tcPr>
                  <w:tcW w:w="501" w:type="pct"/>
                  <w:vAlign w:val="center"/>
                </w:tcPr>
                <w:p w14:paraId="2454C5EB">
                  <w:pPr>
                    <w:pStyle w:val="12"/>
                    <w:keepNext w:val="0"/>
                    <w:keepLines w:val="0"/>
                    <w:pageBreakBefore w:val="0"/>
                    <w:widowControl/>
                    <w:kinsoku/>
                    <w:wordWrap/>
                    <w:overflowPunct/>
                    <w:topLinePunct w:val="0"/>
                    <w:autoSpaceDE/>
                    <w:autoSpaceDN/>
                    <w:bidi w:val="0"/>
                    <w:spacing w:line="240" w:lineRule="auto"/>
                    <w:ind w:firstLine="0" w:firstLineChars="0"/>
                    <w:rPr>
                      <w:rFonts w:hint="default" w:cs="Times New Roman"/>
                      <w:sz w:val="21"/>
                      <w:szCs w:val="21"/>
                      <w:lang w:val="en-US" w:eastAsia="zh-CN"/>
                    </w:rPr>
                  </w:pPr>
                  <w:r>
                    <w:rPr>
                      <w:rFonts w:hint="eastAsia" w:cs="Times New Roman"/>
                      <w:sz w:val="21"/>
                      <w:szCs w:val="21"/>
                      <w:lang w:val="en-US" w:eastAsia="zh-CN"/>
                    </w:rPr>
                    <w:t>南侧</w:t>
                  </w:r>
                </w:p>
              </w:tc>
              <w:tc>
                <w:tcPr>
                  <w:tcW w:w="549" w:type="pct"/>
                  <w:vAlign w:val="center"/>
                </w:tcPr>
                <w:p w14:paraId="2EC3F77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sz w:val="21"/>
                      <w:szCs w:val="21"/>
                      <w:lang w:val="en-US" w:eastAsia="zh-CN"/>
                    </w:rPr>
                  </w:pPr>
                  <w:r>
                    <w:rPr>
                      <w:rFonts w:hint="eastAsia" w:cs="Times New Roman"/>
                      <w:sz w:val="21"/>
                      <w:szCs w:val="21"/>
                      <w:lang w:val="en-US" w:eastAsia="zh-CN"/>
                    </w:rPr>
                    <w:t>1170-1320</w:t>
                  </w:r>
                </w:p>
              </w:tc>
              <w:tc>
                <w:tcPr>
                  <w:tcW w:w="320" w:type="pct"/>
                  <w:vAlign w:val="center"/>
                </w:tcPr>
                <w:p w14:paraId="26621C43">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sz w:val="21"/>
                      <w:szCs w:val="21"/>
                      <w:lang w:val="en-US" w:eastAsia="zh-CN"/>
                    </w:rPr>
                  </w:pPr>
                  <w:r>
                    <w:rPr>
                      <w:rFonts w:hint="eastAsia" w:cs="Times New Roman"/>
                      <w:sz w:val="21"/>
                      <w:szCs w:val="21"/>
                      <w:lang w:val="en-US" w:eastAsia="zh-CN"/>
                    </w:rPr>
                    <w:t>居民</w:t>
                  </w:r>
                </w:p>
              </w:tc>
              <w:tc>
                <w:tcPr>
                  <w:tcW w:w="518" w:type="pct"/>
                  <w:vAlign w:val="center"/>
                </w:tcPr>
                <w:p w14:paraId="7D8CDDA8">
                  <w:pPr>
                    <w:pStyle w:val="12"/>
                    <w:keepNext w:val="0"/>
                    <w:keepLines w:val="0"/>
                    <w:pageBreakBefore w:val="0"/>
                    <w:widowControl/>
                    <w:kinsoku/>
                    <w:wordWrap/>
                    <w:overflowPunct/>
                    <w:topLinePunct w:val="0"/>
                    <w:autoSpaceDE/>
                    <w:autoSpaceDN/>
                    <w:bidi w:val="0"/>
                    <w:spacing w:line="240" w:lineRule="auto"/>
                    <w:ind w:firstLine="0" w:firstLineChars="0"/>
                    <w:rPr>
                      <w:rFonts w:hint="eastAsia" w:cs="Times New Roman"/>
                      <w:sz w:val="21"/>
                      <w:szCs w:val="21"/>
                      <w:lang w:val="en-US" w:eastAsia="zh-CN"/>
                    </w:rPr>
                  </w:pPr>
                  <w:r>
                    <w:rPr>
                      <w:rFonts w:hint="eastAsia" w:cs="Times New Roman"/>
                      <w:sz w:val="21"/>
                      <w:szCs w:val="21"/>
                      <w:lang w:val="en-US" w:eastAsia="zh-CN"/>
                    </w:rPr>
                    <w:t>29户，约87人</w:t>
                  </w:r>
                </w:p>
              </w:tc>
              <w:tc>
                <w:tcPr>
                  <w:tcW w:w="717" w:type="pct"/>
                  <w:vMerge w:val="continue"/>
                  <w:vAlign w:val="center"/>
                </w:tcPr>
                <w:p w14:paraId="496DECCB">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sz w:val="21"/>
                      <w:szCs w:val="21"/>
                    </w:rPr>
                  </w:pPr>
                </w:p>
              </w:tc>
            </w:tr>
            <w:tr w14:paraId="01271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559" w:type="pct"/>
                  <w:vMerge w:val="continue"/>
                  <w:vAlign w:val="center"/>
                </w:tcPr>
                <w:p w14:paraId="3255F13C">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sz w:val="21"/>
                      <w:szCs w:val="21"/>
                      <w:lang w:val="zh-CN"/>
                    </w:rPr>
                  </w:pPr>
                </w:p>
              </w:tc>
              <w:tc>
                <w:tcPr>
                  <w:tcW w:w="605" w:type="pct"/>
                  <w:vAlign w:val="center"/>
                </w:tcPr>
                <w:p w14:paraId="753ADEDE">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cs="Times New Roman"/>
                      <w:sz w:val="21"/>
                      <w:szCs w:val="21"/>
                      <w:lang w:val="en-US" w:eastAsia="zh-CN"/>
                    </w:rPr>
                  </w:pPr>
                  <w:r>
                    <w:rPr>
                      <w:rFonts w:hint="eastAsia" w:cs="Times New Roman"/>
                      <w:sz w:val="21"/>
                      <w:szCs w:val="21"/>
                      <w:lang w:val="en-US" w:eastAsia="zh-CN"/>
                    </w:rPr>
                    <w:t>石坑岩</w:t>
                  </w:r>
                </w:p>
              </w:tc>
              <w:tc>
                <w:tcPr>
                  <w:tcW w:w="648" w:type="pct"/>
                  <w:vAlign w:val="center"/>
                </w:tcPr>
                <w:p w14:paraId="699002EF">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sz w:val="21"/>
                      <w:szCs w:val="21"/>
                    </w:rPr>
                  </w:pPr>
                  <w:r>
                    <w:rPr>
                      <w:rFonts w:hint="default" w:ascii="Times New Roman" w:hAnsi="Times New Roman" w:cs="Times New Roman"/>
                      <w:sz w:val="21"/>
                      <w:szCs w:val="21"/>
                    </w:rPr>
                    <w:t>107.128198</w:t>
                  </w:r>
                </w:p>
              </w:tc>
              <w:tc>
                <w:tcPr>
                  <w:tcW w:w="577" w:type="pct"/>
                  <w:vAlign w:val="center"/>
                </w:tcPr>
                <w:p w14:paraId="7B8FECE1">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sz w:val="21"/>
                      <w:szCs w:val="21"/>
                    </w:rPr>
                  </w:pPr>
                  <w:r>
                    <w:rPr>
                      <w:rFonts w:hint="default" w:ascii="Times New Roman" w:hAnsi="Times New Roman" w:cs="Times New Roman"/>
                      <w:sz w:val="21"/>
                      <w:szCs w:val="21"/>
                    </w:rPr>
                    <w:t>31.516667</w:t>
                  </w:r>
                </w:p>
              </w:tc>
              <w:tc>
                <w:tcPr>
                  <w:tcW w:w="501" w:type="pct"/>
                  <w:vAlign w:val="center"/>
                </w:tcPr>
                <w:p w14:paraId="6FFBBD4B">
                  <w:pPr>
                    <w:pStyle w:val="12"/>
                    <w:keepNext w:val="0"/>
                    <w:keepLines w:val="0"/>
                    <w:pageBreakBefore w:val="0"/>
                    <w:widowControl/>
                    <w:kinsoku/>
                    <w:wordWrap/>
                    <w:overflowPunct/>
                    <w:topLinePunct w:val="0"/>
                    <w:autoSpaceDE/>
                    <w:autoSpaceDN/>
                    <w:bidi w:val="0"/>
                    <w:spacing w:line="240" w:lineRule="auto"/>
                    <w:ind w:firstLine="0" w:firstLineChars="0"/>
                    <w:rPr>
                      <w:rFonts w:hint="default" w:cs="Times New Roman"/>
                      <w:sz w:val="21"/>
                      <w:szCs w:val="21"/>
                      <w:lang w:val="en-US" w:eastAsia="zh-CN"/>
                    </w:rPr>
                  </w:pPr>
                  <w:r>
                    <w:rPr>
                      <w:rFonts w:hint="eastAsia" w:cs="Times New Roman"/>
                      <w:sz w:val="21"/>
                      <w:szCs w:val="21"/>
                      <w:lang w:val="en-US" w:eastAsia="zh-CN"/>
                    </w:rPr>
                    <w:t>西南侧</w:t>
                  </w:r>
                </w:p>
              </w:tc>
              <w:tc>
                <w:tcPr>
                  <w:tcW w:w="549" w:type="pct"/>
                  <w:vAlign w:val="center"/>
                </w:tcPr>
                <w:p w14:paraId="5CAF271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sz w:val="21"/>
                      <w:szCs w:val="21"/>
                      <w:lang w:val="en-US" w:eastAsia="zh-CN"/>
                    </w:rPr>
                  </w:pPr>
                  <w:r>
                    <w:rPr>
                      <w:rFonts w:hint="eastAsia" w:cs="Times New Roman"/>
                      <w:sz w:val="21"/>
                      <w:szCs w:val="21"/>
                      <w:lang w:val="en-US" w:eastAsia="zh-CN"/>
                    </w:rPr>
                    <w:t>1840-2020</w:t>
                  </w:r>
                </w:p>
              </w:tc>
              <w:tc>
                <w:tcPr>
                  <w:tcW w:w="320" w:type="pct"/>
                  <w:vAlign w:val="center"/>
                </w:tcPr>
                <w:p w14:paraId="78885A67">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sz w:val="21"/>
                      <w:szCs w:val="21"/>
                      <w:lang w:val="en-US" w:eastAsia="zh-CN"/>
                    </w:rPr>
                  </w:pPr>
                  <w:r>
                    <w:rPr>
                      <w:rFonts w:hint="eastAsia" w:cs="Times New Roman"/>
                      <w:sz w:val="21"/>
                      <w:szCs w:val="21"/>
                      <w:lang w:val="en-US" w:eastAsia="zh-CN"/>
                    </w:rPr>
                    <w:t>居民</w:t>
                  </w:r>
                </w:p>
              </w:tc>
              <w:tc>
                <w:tcPr>
                  <w:tcW w:w="518" w:type="pct"/>
                  <w:vAlign w:val="center"/>
                </w:tcPr>
                <w:p w14:paraId="33CE83D4">
                  <w:pPr>
                    <w:pStyle w:val="12"/>
                    <w:keepNext w:val="0"/>
                    <w:keepLines w:val="0"/>
                    <w:pageBreakBefore w:val="0"/>
                    <w:widowControl/>
                    <w:kinsoku/>
                    <w:wordWrap/>
                    <w:overflowPunct/>
                    <w:topLinePunct w:val="0"/>
                    <w:autoSpaceDE/>
                    <w:autoSpaceDN/>
                    <w:bidi w:val="0"/>
                    <w:spacing w:line="240" w:lineRule="auto"/>
                    <w:ind w:firstLine="0" w:firstLineChars="0"/>
                    <w:rPr>
                      <w:rFonts w:hint="eastAsia" w:cs="Times New Roman"/>
                      <w:sz w:val="21"/>
                      <w:szCs w:val="21"/>
                      <w:lang w:val="en-US" w:eastAsia="zh-CN"/>
                    </w:rPr>
                  </w:pPr>
                  <w:r>
                    <w:rPr>
                      <w:rFonts w:hint="eastAsia" w:cs="Times New Roman"/>
                      <w:sz w:val="21"/>
                      <w:szCs w:val="21"/>
                      <w:lang w:val="en-US" w:eastAsia="zh-CN"/>
                    </w:rPr>
                    <w:t>47户，约141人</w:t>
                  </w:r>
                </w:p>
              </w:tc>
              <w:tc>
                <w:tcPr>
                  <w:tcW w:w="717" w:type="pct"/>
                  <w:vMerge w:val="continue"/>
                  <w:vAlign w:val="center"/>
                </w:tcPr>
                <w:p w14:paraId="35952C4E">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sz w:val="21"/>
                      <w:szCs w:val="21"/>
                    </w:rPr>
                  </w:pPr>
                </w:p>
              </w:tc>
            </w:tr>
            <w:tr w14:paraId="4C08D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559" w:type="pct"/>
                  <w:vMerge w:val="continue"/>
                  <w:vAlign w:val="center"/>
                </w:tcPr>
                <w:p w14:paraId="00A398E1">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sz w:val="21"/>
                      <w:szCs w:val="21"/>
                      <w:lang w:val="zh-CN"/>
                    </w:rPr>
                  </w:pPr>
                </w:p>
              </w:tc>
              <w:tc>
                <w:tcPr>
                  <w:tcW w:w="605" w:type="pct"/>
                  <w:vAlign w:val="center"/>
                </w:tcPr>
                <w:p w14:paraId="57310199">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cs="Times New Roman"/>
                      <w:sz w:val="21"/>
                      <w:szCs w:val="21"/>
                      <w:lang w:val="en-US" w:eastAsia="zh-CN"/>
                    </w:rPr>
                  </w:pPr>
                  <w:r>
                    <w:rPr>
                      <w:rFonts w:hint="eastAsia" w:cs="Times New Roman"/>
                      <w:sz w:val="21"/>
                      <w:szCs w:val="21"/>
                      <w:lang w:val="en-US" w:eastAsia="zh-CN"/>
                    </w:rPr>
                    <w:t>张家山</w:t>
                  </w:r>
                </w:p>
              </w:tc>
              <w:tc>
                <w:tcPr>
                  <w:tcW w:w="648" w:type="pct"/>
                  <w:vAlign w:val="center"/>
                </w:tcPr>
                <w:p w14:paraId="7A6ED6EC">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sz w:val="21"/>
                      <w:szCs w:val="21"/>
                    </w:rPr>
                  </w:pPr>
                  <w:r>
                    <w:rPr>
                      <w:rFonts w:hint="default" w:ascii="Times New Roman" w:hAnsi="Times New Roman" w:cs="Times New Roman"/>
                      <w:sz w:val="21"/>
                      <w:szCs w:val="21"/>
                    </w:rPr>
                    <w:t>107.156703</w:t>
                  </w:r>
                </w:p>
              </w:tc>
              <w:tc>
                <w:tcPr>
                  <w:tcW w:w="577" w:type="pct"/>
                  <w:vAlign w:val="center"/>
                </w:tcPr>
                <w:p w14:paraId="0A81C611">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sz w:val="21"/>
                      <w:szCs w:val="21"/>
                    </w:rPr>
                  </w:pPr>
                  <w:r>
                    <w:rPr>
                      <w:rFonts w:hint="default" w:ascii="Times New Roman" w:hAnsi="Times New Roman" w:cs="Times New Roman"/>
                      <w:sz w:val="21"/>
                      <w:szCs w:val="21"/>
                    </w:rPr>
                    <w:t>31.520427</w:t>
                  </w:r>
                </w:p>
              </w:tc>
              <w:tc>
                <w:tcPr>
                  <w:tcW w:w="501" w:type="pct"/>
                  <w:vAlign w:val="center"/>
                </w:tcPr>
                <w:p w14:paraId="42868A00">
                  <w:pPr>
                    <w:pStyle w:val="12"/>
                    <w:keepNext w:val="0"/>
                    <w:keepLines w:val="0"/>
                    <w:pageBreakBefore w:val="0"/>
                    <w:widowControl/>
                    <w:kinsoku/>
                    <w:wordWrap/>
                    <w:overflowPunct/>
                    <w:topLinePunct w:val="0"/>
                    <w:autoSpaceDE/>
                    <w:autoSpaceDN/>
                    <w:bidi w:val="0"/>
                    <w:spacing w:line="240" w:lineRule="auto"/>
                    <w:ind w:firstLine="0" w:firstLineChars="0"/>
                    <w:rPr>
                      <w:rFonts w:hint="default" w:cs="Times New Roman"/>
                      <w:sz w:val="21"/>
                      <w:szCs w:val="21"/>
                      <w:lang w:val="en-US" w:eastAsia="zh-CN"/>
                    </w:rPr>
                  </w:pPr>
                  <w:r>
                    <w:rPr>
                      <w:rFonts w:hint="eastAsia" w:cs="Times New Roman"/>
                      <w:sz w:val="21"/>
                      <w:szCs w:val="21"/>
                      <w:lang w:val="en-US" w:eastAsia="zh-CN"/>
                    </w:rPr>
                    <w:t>东南侧</w:t>
                  </w:r>
                </w:p>
              </w:tc>
              <w:tc>
                <w:tcPr>
                  <w:tcW w:w="549" w:type="pct"/>
                  <w:vAlign w:val="center"/>
                </w:tcPr>
                <w:p w14:paraId="6EE3C34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sz w:val="21"/>
                      <w:szCs w:val="21"/>
                      <w:lang w:val="en-US" w:eastAsia="zh-CN"/>
                    </w:rPr>
                  </w:pPr>
                  <w:r>
                    <w:rPr>
                      <w:rFonts w:hint="eastAsia" w:cs="Times New Roman"/>
                      <w:sz w:val="21"/>
                      <w:szCs w:val="21"/>
                      <w:lang w:val="en-US" w:eastAsia="zh-CN"/>
                    </w:rPr>
                    <w:t>2050-2150</w:t>
                  </w:r>
                </w:p>
              </w:tc>
              <w:tc>
                <w:tcPr>
                  <w:tcW w:w="320" w:type="pct"/>
                  <w:vAlign w:val="center"/>
                </w:tcPr>
                <w:p w14:paraId="11F15705">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sz w:val="21"/>
                      <w:szCs w:val="21"/>
                      <w:lang w:val="en-US" w:eastAsia="zh-CN"/>
                    </w:rPr>
                  </w:pPr>
                  <w:r>
                    <w:rPr>
                      <w:rFonts w:hint="eastAsia" w:cs="Times New Roman"/>
                      <w:sz w:val="21"/>
                      <w:szCs w:val="21"/>
                      <w:lang w:val="en-US" w:eastAsia="zh-CN"/>
                    </w:rPr>
                    <w:t>居民</w:t>
                  </w:r>
                </w:p>
              </w:tc>
              <w:tc>
                <w:tcPr>
                  <w:tcW w:w="518" w:type="pct"/>
                  <w:vAlign w:val="center"/>
                </w:tcPr>
                <w:p w14:paraId="60B42EE6">
                  <w:pPr>
                    <w:pStyle w:val="12"/>
                    <w:keepNext w:val="0"/>
                    <w:keepLines w:val="0"/>
                    <w:pageBreakBefore w:val="0"/>
                    <w:widowControl/>
                    <w:kinsoku/>
                    <w:wordWrap/>
                    <w:overflowPunct/>
                    <w:topLinePunct w:val="0"/>
                    <w:autoSpaceDE/>
                    <w:autoSpaceDN/>
                    <w:bidi w:val="0"/>
                    <w:spacing w:line="240" w:lineRule="auto"/>
                    <w:ind w:firstLine="0" w:firstLineChars="0"/>
                    <w:rPr>
                      <w:rFonts w:hint="eastAsia" w:cs="Times New Roman"/>
                      <w:sz w:val="21"/>
                      <w:szCs w:val="21"/>
                      <w:lang w:val="en-US" w:eastAsia="zh-CN"/>
                    </w:rPr>
                  </w:pPr>
                  <w:r>
                    <w:rPr>
                      <w:rFonts w:hint="eastAsia" w:cs="Times New Roman"/>
                      <w:sz w:val="21"/>
                      <w:szCs w:val="21"/>
                      <w:lang w:val="en-US" w:eastAsia="zh-CN"/>
                    </w:rPr>
                    <w:t>38户，约114人</w:t>
                  </w:r>
                </w:p>
              </w:tc>
              <w:tc>
                <w:tcPr>
                  <w:tcW w:w="717" w:type="pct"/>
                  <w:vMerge w:val="continue"/>
                  <w:vAlign w:val="center"/>
                </w:tcPr>
                <w:p w14:paraId="18296B97">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sz w:val="21"/>
                      <w:szCs w:val="21"/>
                    </w:rPr>
                  </w:pPr>
                </w:p>
              </w:tc>
            </w:tr>
            <w:tr w14:paraId="30B96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559" w:type="pct"/>
                  <w:vMerge w:val="continue"/>
                  <w:vAlign w:val="center"/>
                </w:tcPr>
                <w:p w14:paraId="1E12FA8F">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sz w:val="21"/>
                      <w:szCs w:val="21"/>
                      <w:lang w:val="zh-CN"/>
                    </w:rPr>
                  </w:pPr>
                </w:p>
              </w:tc>
              <w:tc>
                <w:tcPr>
                  <w:tcW w:w="605" w:type="pct"/>
                  <w:vAlign w:val="center"/>
                </w:tcPr>
                <w:p w14:paraId="7E93BA4D">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cs="Times New Roman"/>
                      <w:sz w:val="21"/>
                      <w:szCs w:val="21"/>
                      <w:lang w:val="en-US" w:eastAsia="zh-CN"/>
                    </w:rPr>
                  </w:pPr>
                  <w:r>
                    <w:rPr>
                      <w:rFonts w:hint="eastAsia" w:cs="Times New Roman"/>
                      <w:sz w:val="21"/>
                      <w:szCs w:val="21"/>
                      <w:lang w:val="en-US" w:eastAsia="zh-CN"/>
                    </w:rPr>
                    <w:t>朱家湾</w:t>
                  </w:r>
                </w:p>
              </w:tc>
              <w:tc>
                <w:tcPr>
                  <w:tcW w:w="648" w:type="pct"/>
                  <w:vAlign w:val="center"/>
                </w:tcPr>
                <w:p w14:paraId="65DDDC4D">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sz w:val="21"/>
                      <w:szCs w:val="21"/>
                    </w:rPr>
                  </w:pPr>
                  <w:r>
                    <w:rPr>
                      <w:rFonts w:hint="default" w:ascii="Times New Roman" w:hAnsi="Times New Roman" w:cs="Times New Roman"/>
                      <w:sz w:val="21"/>
                      <w:szCs w:val="21"/>
                    </w:rPr>
                    <w:t>107.142283</w:t>
                  </w:r>
                </w:p>
              </w:tc>
              <w:tc>
                <w:tcPr>
                  <w:tcW w:w="577" w:type="pct"/>
                  <w:vAlign w:val="center"/>
                </w:tcPr>
                <w:p w14:paraId="70AD3DE5">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sz w:val="21"/>
                      <w:szCs w:val="21"/>
                    </w:rPr>
                  </w:pPr>
                  <w:r>
                    <w:rPr>
                      <w:rFonts w:hint="default" w:ascii="Times New Roman" w:hAnsi="Times New Roman" w:cs="Times New Roman"/>
                      <w:sz w:val="21"/>
                      <w:szCs w:val="21"/>
                    </w:rPr>
                    <w:t>31.514783</w:t>
                  </w:r>
                </w:p>
              </w:tc>
              <w:tc>
                <w:tcPr>
                  <w:tcW w:w="501" w:type="pct"/>
                  <w:vAlign w:val="center"/>
                </w:tcPr>
                <w:p w14:paraId="263737AC">
                  <w:pPr>
                    <w:pStyle w:val="12"/>
                    <w:keepNext w:val="0"/>
                    <w:keepLines w:val="0"/>
                    <w:pageBreakBefore w:val="0"/>
                    <w:widowControl/>
                    <w:kinsoku/>
                    <w:wordWrap/>
                    <w:overflowPunct/>
                    <w:topLinePunct w:val="0"/>
                    <w:autoSpaceDE/>
                    <w:autoSpaceDN/>
                    <w:bidi w:val="0"/>
                    <w:spacing w:line="240" w:lineRule="auto"/>
                    <w:ind w:firstLine="0" w:firstLineChars="0"/>
                    <w:rPr>
                      <w:rFonts w:hint="default" w:cs="Times New Roman"/>
                      <w:sz w:val="21"/>
                      <w:szCs w:val="21"/>
                      <w:lang w:val="en-US" w:eastAsia="zh-CN"/>
                    </w:rPr>
                  </w:pPr>
                  <w:r>
                    <w:rPr>
                      <w:rFonts w:hint="eastAsia" w:cs="Times New Roman"/>
                      <w:sz w:val="21"/>
                      <w:szCs w:val="21"/>
                      <w:lang w:val="en-US" w:eastAsia="zh-CN"/>
                    </w:rPr>
                    <w:t>南侧</w:t>
                  </w:r>
                </w:p>
              </w:tc>
              <w:tc>
                <w:tcPr>
                  <w:tcW w:w="549" w:type="pct"/>
                  <w:vAlign w:val="center"/>
                </w:tcPr>
                <w:p w14:paraId="7D945D7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sz w:val="21"/>
                      <w:szCs w:val="21"/>
                      <w:lang w:val="en-US" w:eastAsia="zh-CN"/>
                    </w:rPr>
                  </w:pPr>
                  <w:r>
                    <w:rPr>
                      <w:rFonts w:hint="eastAsia" w:cs="Times New Roman"/>
                      <w:sz w:val="21"/>
                      <w:szCs w:val="21"/>
                      <w:lang w:val="en-US" w:eastAsia="zh-CN"/>
                    </w:rPr>
                    <w:t>1890-2020</w:t>
                  </w:r>
                </w:p>
              </w:tc>
              <w:tc>
                <w:tcPr>
                  <w:tcW w:w="320" w:type="pct"/>
                  <w:vAlign w:val="center"/>
                </w:tcPr>
                <w:p w14:paraId="785AFA4D">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sz w:val="21"/>
                      <w:szCs w:val="21"/>
                      <w:lang w:val="en-US" w:eastAsia="zh-CN"/>
                    </w:rPr>
                  </w:pPr>
                  <w:r>
                    <w:rPr>
                      <w:rFonts w:hint="eastAsia" w:cs="Times New Roman"/>
                      <w:sz w:val="21"/>
                      <w:szCs w:val="21"/>
                      <w:lang w:val="en-US" w:eastAsia="zh-CN"/>
                    </w:rPr>
                    <w:t>居民</w:t>
                  </w:r>
                </w:p>
              </w:tc>
              <w:tc>
                <w:tcPr>
                  <w:tcW w:w="518" w:type="pct"/>
                  <w:vAlign w:val="center"/>
                </w:tcPr>
                <w:p w14:paraId="2121F581">
                  <w:pPr>
                    <w:pStyle w:val="12"/>
                    <w:keepNext w:val="0"/>
                    <w:keepLines w:val="0"/>
                    <w:pageBreakBefore w:val="0"/>
                    <w:widowControl/>
                    <w:kinsoku/>
                    <w:wordWrap/>
                    <w:overflowPunct/>
                    <w:topLinePunct w:val="0"/>
                    <w:autoSpaceDE/>
                    <w:autoSpaceDN/>
                    <w:bidi w:val="0"/>
                    <w:spacing w:line="240" w:lineRule="auto"/>
                    <w:ind w:firstLine="0" w:firstLineChars="0"/>
                    <w:rPr>
                      <w:rFonts w:hint="eastAsia" w:cs="Times New Roman"/>
                      <w:sz w:val="21"/>
                      <w:szCs w:val="21"/>
                      <w:lang w:val="en-US" w:eastAsia="zh-CN"/>
                    </w:rPr>
                  </w:pPr>
                  <w:r>
                    <w:rPr>
                      <w:rFonts w:hint="eastAsia" w:cs="Times New Roman"/>
                      <w:sz w:val="21"/>
                      <w:szCs w:val="21"/>
                      <w:lang w:val="en-US" w:eastAsia="zh-CN"/>
                    </w:rPr>
                    <w:t>31户，约93人</w:t>
                  </w:r>
                </w:p>
              </w:tc>
              <w:tc>
                <w:tcPr>
                  <w:tcW w:w="717" w:type="pct"/>
                  <w:vMerge w:val="continue"/>
                  <w:vAlign w:val="center"/>
                </w:tcPr>
                <w:p w14:paraId="3E83015D">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sz w:val="21"/>
                      <w:szCs w:val="21"/>
                    </w:rPr>
                  </w:pPr>
                </w:p>
              </w:tc>
            </w:tr>
            <w:tr w14:paraId="00C90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559" w:type="pct"/>
                  <w:vMerge w:val="continue"/>
                  <w:vAlign w:val="center"/>
                </w:tcPr>
                <w:p w14:paraId="0058C488">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sz w:val="21"/>
                      <w:szCs w:val="21"/>
                      <w:lang w:val="zh-CN"/>
                    </w:rPr>
                  </w:pPr>
                </w:p>
              </w:tc>
              <w:tc>
                <w:tcPr>
                  <w:tcW w:w="605" w:type="pct"/>
                  <w:vAlign w:val="center"/>
                </w:tcPr>
                <w:p w14:paraId="599F4D91">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cs="Times New Roman"/>
                      <w:sz w:val="21"/>
                      <w:szCs w:val="21"/>
                      <w:lang w:val="en-US" w:eastAsia="zh-CN"/>
                    </w:rPr>
                  </w:pPr>
                  <w:r>
                    <w:rPr>
                      <w:rFonts w:hint="eastAsia" w:cs="Times New Roman"/>
                      <w:sz w:val="21"/>
                      <w:szCs w:val="21"/>
                      <w:lang w:val="en-US" w:eastAsia="zh-CN"/>
                    </w:rPr>
                    <w:t>雷坡石</w:t>
                  </w:r>
                </w:p>
              </w:tc>
              <w:tc>
                <w:tcPr>
                  <w:tcW w:w="648" w:type="pct"/>
                  <w:vAlign w:val="center"/>
                </w:tcPr>
                <w:p w14:paraId="62CD8FC2">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sz w:val="21"/>
                      <w:szCs w:val="21"/>
                    </w:rPr>
                  </w:pPr>
                  <w:r>
                    <w:rPr>
                      <w:rFonts w:hint="default" w:ascii="Times New Roman" w:hAnsi="Times New Roman" w:cs="Times New Roman"/>
                      <w:sz w:val="21"/>
                      <w:szCs w:val="21"/>
                    </w:rPr>
                    <w:t>107.115021</w:t>
                  </w:r>
                </w:p>
              </w:tc>
              <w:tc>
                <w:tcPr>
                  <w:tcW w:w="577" w:type="pct"/>
                  <w:vAlign w:val="center"/>
                </w:tcPr>
                <w:p w14:paraId="57B8EEFC">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sz w:val="21"/>
                      <w:szCs w:val="21"/>
                    </w:rPr>
                  </w:pPr>
                  <w:r>
                    <w:rPr>
                      <w:rFonts w:hint="default" w:ascii="Times New Roman" w:hAnsi="Times New Roman" w:cs="Times New Roman"/>
                      <w:sz w:val="21"/>
                      <w:szCs w:val="21"/>
                    </w:rPr>
                    <w:t>31.511693</w:t>
                  </w:r>
                </w:p>
              </w:tc>
              <w:tc>
                <w:tcPr>
                  <w:tcW w:w="501" w:type="pct"/>
                  <w:vAlign w:val="center"/>
                </w:tcPr>
                <w:p w14:paraId="56D8A1A3">
                  <w:pPr>
                    <w:pStyle w:val="12"/>
                    <w:keepNext w:val="0"/>
                    <w:keepLines w:val="0"/>
                    <w:pageBreakBefore w:val="0"/>
                    <w:widowControl/>
                    <w:kinsoku/>
                    <w:wordWrap/>
                    <w:overflowPunct/>
                    <w:topLinePunct w:val="0"/>
                    <w:autoSpaceDE/>
                    <w:autoSpaceDN/>
                    <w:bidi w:val="0"/>
                    <w:spacing w:line="240" w:lineRule="auto"/>
                    <w:ind w:firstLine="0" w:firstLineChars="0"/>
                    <w:rPr>
                      <w:rFonts w:hint="default" w:cs="Times New Roman"/>
                      <w:sz w:val="21"/>
                      <w:szCs w:val="21"/>
                      <w:lang w:val="en-US" w:eastAsia="zh-CN"/>
                    </w:rPr>
                  </w:pPr>
                  <w:r>
                    <w:rPr>
                      <w:rFonts w:hint="eastAsia" w:cs="Times New Roman"/>
                      <w:sz w:val="21"/>
                      <w:szCs w:val="21"/>
                      <w:lang w:val="en-US" w:eastAsia="zh-CN"/>
                    </w:rPr>
                    <w:t>西南侧</w:t>
                  </w:r>
                </w:p>
              </w:tc>
              <w:tc>
                <w:tcPr>
                  <w:tcW w:w="549" w:type="pct"/>
                  <w:vAlign w:val="center"/>
                </w:tcPr>
                <w:p w14:paraId="5263CF9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sz w:val="21"/>
                      <w:szCs w:val="21"/>
                      <w:lang w:val="en-US" w:eastAsia="zh-CN"/>
                    </w:rPr>
                  </w:pPr>
                  <w:r>
                    <w:rPr>
                      <w:rFonts w:hint="eastAsia" w:cs="Times New Roman"/>
                      <w:sz w:val="21"/>
                      <w:szCs w:val="21"/>
                      <w:lang w:val="en-US" w:eastAsia="zh-CN"/>
                    </w:rPr>
                    <w:t>3130-3200</w:t>
                  </w:r>
                </w:p>
              </w:tc>
              <w:tc>
                <w:tcPr>
                  <w:tcW w:w="320" w:type="pct"/>
                  <w:vAlign w:val="center"/>
                </w:tcPr>
                <w:p w14:paraId="6A2AFDD1">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sz w:val="21"/>
                      <w:szCs w:val="21"/>
                      <w:lang w:val="en-US" w:eastAsia="zh-CN"/>
                    </w:rPr>
                  </w:pPr>
                  <w:r>
                    <w:rPr>
                      <w:rFonts w:hint="eastAsia" w:cs="Times New Roman"/>
                      <w:sz w:val="21"/>
                      <w:szCs w:val="21"/>
                      <w:lang w:val="en-US" w:eastAsia="zh-CN"/>
                    </w:rPr>
                    <w:t>居民</w:t>
                  </w:r>
                </w:p>
              </w:tc>
              <w:tc>
                <w:tcPr>
                  <w:tcW w:w="518" w:type="pct"/>
                  <w:vAlign w:val="center"/>
                </w:tcPr>
                <w:p w14:paraId="19EA3680">
                  <w:pPr>
                    <w:pStyle w:val="12"/>
                    <w:keepNext w:val="0"/>
                    <w:keepLines w:val="0"/>
                    <w:pageBreakBefore w:val="0"/>
                    <w:widowControl/>
                    <w:kinsoku/>
                    <w:wordWrap/>
                    <w:overflowPunct/>
                    <w:topLinePunct w:val="0"/>
                    <w:autoSpaceDE/>
                    <w:autoSpaceDN/>
                    <w:bidi w:val="0"/>
                    <w:spacing w:line="240" w:lineRule="auto"/>
                    <w:ind w:firstLine="0" w:firstLineChars="0"/>
                    <w:rPr>
                      <w:rFonts w:hint="eastAsia" w:cs="Times New Roman"/>
                      <w:sz w:val="21"/>
                      <w:szCs w:val="21"/>
                      <w:lang w:val="en-US" w:eastAsia="zh-CN"/>
                    </w:rPr>
                  </w:pPr>
                  <w:r>
                    <w:rPr>
                      <w:rFonts w:hint="eastAsia" w:cs="Times New Roman"/>
                      <w:sz w:val="21"/>
                      <w:szCs w:val="21"/>
                      <w:lang w:val="en-US" w:eastAsia="zh-CN"/>
                    </w:rPr>
                    <w:t>25户，约75人</w:t>
                  </w:r>
                </w:p>
              </w:tc>
              <w:tc>
                <w:tcPr>
                  <w:tcW w:w="717" w:type="pct"/>
                  <w:vMerge w:val="continue"/>
                  <w:vAlign w:val="center"/>
                </w:tcPr>
                <w:p w14:paraId="23DEEE4C">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sz w:val="21"/>
                      <w:szCs w:val="21"/>
                    </w:rPr>
                  </w:pPr>
                </w:p>
              </w:tc>
            </w:tr>
            <w:tr w14:paraId="02B13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559" w:type="pct"/>
                  <w:vAlign w:val="center"/>
                </w:tcPr>
                <w:p w14:paraId="041CC95F">
                  <w:pPr>
                    <w:pStyle w:val="12"/>
                    <w:rPr>
                      <w:rFonts w:hint="default" w:ascii="Times New Roman" w:hAnsi="Times New Roman" w:cs="Times New Roman"/>
                      <w:sz w:val="21"/>
                      <w:szCs w:val="21"/>
                      <w:lang w:val="zh-CN"/>
                    </w:rPr>
                  </w:pPr>
                  <w:r>
                    <w:rPr>
                      <w:rFonts w:hint="default" w:ascii="Times New Roman" w:hAnsi="Times New Roman" w:cs="Times New Roman"/>
                      <w:sz w:val="21"/>
                      <w:szCs w:val="21"/>
                      <w:lang w:val="zh-CN"/>
                    </w:rPr>
                    <w:t>水环境</w:t>
                  </w:r>
                </w:p>
              </w:tc>
              <w:tc>
                <w:tcPr>
                  <w:tcW w:w="605" w:type="pct"/>
                  <w:vAlign w:val="center"/>
                </w:tcPr>
                <w:p w14:paraId="45E0DAEC">
                  <w:pPr>
                    <w:pStyle w:val="12"/>
                    <w:jc w:val="center"/>
                    <w:rPr>
                      <w:rFonts w:hint="default" w:ascii="Times New Roman" w:hAnsi="Times New Roman" w:eastAsia="宋体" w:cs="Times New Roman"/>
                      <w:sz w:val="21"/>
                      <w:szCs w:val="21"/>
                      <w:lang w:val="en-US" w:eastAsia="zh-CN"/>
                    </w:rPr>
                  </w:pPr>
                  <w:r>
                    <w:rPr>
                      <w:rFonts w:hint="eastAsia" w:ascii="Times New Roman" w:hAnsi="Times New Roman" w:cs="Times New Roman"/>
                      <w:sz w:val="21"/>
                      <w:szCs w:val="21"/>
                      <w:lang w:val="en-US" w:eastAsia="zh-CN"/>
                    </w:rPr>
                    <w:t>巴河</w:t>
                  </w:r>
                </w:p>
              </w:tc>
              <w:tc>
                <w:tcPr>
                  <w:tcW w:w="1226" w:type="pct"/>
                  <w:gridSpan w:val="2"/>
                  <w:vAlign w:val="center"/>
                </w:tcPr>
                <w:p w14:paraId="1FA9614F">
                  <w:pPr>
                    <w:pStyle w:val="12"/>
                    <w:rPr>
                      <w:rFonts w:hint="default" w:ascii="Times New Roman" w:hAnsi="Times New Roman" w:cs="Times New Roman"/>
                      <w:color w:val="FF0000"/>
                      <w:sz w:val="21"/>
                      <w:szCs w:val="21"/>
                      <w:lang w:val="zh-CN"/>
                    </w:rPr>
                  </w:pPr>
                  <w:r>
                    <w:rPr>
                      <w:rFonts w:hint="default" w:ascii="Times New Roman" w:hAnsi="Times New Roman" w:cs="Times New Roman"/>
                      <w:sz w:val="21"/>
                      <w:szCs w:val="21"/>
                    </w:rPr>
                    <w:t>/</w:t>
                  </w:r>
                </w:p>
              </w:tc>
              <w:tc>
                <w:tcPr>
                  <w:tcW w:w="501" w:type="pct"/>
                  <w:vAlign w:val="center"/>
                </w:tcPr>
                <w:p w14:paraId="4409C97D">
                  <w:pPr>
                    <w:pStyle w:val="12"/>
                    <w:rPr>
                      <w:rFonts w:hint="default" w:ascii="Times New Roman" w:hAnsi="Times New Roman" w:eastAsia="宋体" w:cs="Times New Roman"/>
                      <w:sz w:val="21"/>
                      <w:szCs w:val="21"/>
                      <w:lang w:val="en-US" w:eastAsia="zh-CN"/>
                    </w:rPr>
                  </w:pPr>
                  <w:r>
                    <w:rPr>
                      <w:rFonts w:hint="eastAsia" w:cs="Times New Roman"/>
                      <w:sz w:val="21"/>
                      <w:szCs w:val="21"/>
                      <w:lang w:val="en-US" w:eastAsia="zh-CN"/>
                    </w:rPr>
                    <w:t>西南侧</w:t>
                  </w:r>
                </w:p>
              </w:tc>
              <w:tc>
                <w:tcPr>
                  <w:tcW w:w="549" w:type="pct"/>
                  <w:vAlign w:val="center"/>
                </w:tcPr>
                <w:p w14:paraId="6E94B12D">
                  <w:pPr>
                    <w:pStyle w:val="12"/>
                    <w:rPr>
                      <w:rFonts w:hint="default" w:ascii="Times New Roman" w:hAnsi="Times New Roman" w:eastAsia="宋体" w:cs="Times New Roman"/>
                      <w:sz w:val="21"/>
                      <w:szCs w:val="21"/>
                      <w:lang w:val="en-US" w:eastAsia="zh-CN"/>
                    </w:rPr>
                  </w:pPr>
                  <w:r>
                    <w:rPr>
                      <w:rFonts w:hint="eastAsia" w:ascii="Times New Roman" w:hAnsi="Times New Roman" w:cs="Times New Roman"/>
                      <w:sz w:val="21"/>
                      <w:szCs w:val="21"/>
                      <w:lang w:val="en-US" w:eastAsia="zh-CN"/>
                    </w:rPr>
                    <w:t>540</w:t>
                  </w:r>
                </w:p>
              </w:tc>
              <w:tc>
                <w:tcPr>
                  <w:tcW w:w="839" w:type="pct"/>
                  <w:gridSpan w:val="2"/>
                  <w:vAlign w:val="center"/>
                </w:tcPr>
                <w:p w14:paraId="330FFD4A">
                  <w:pPr>
                    <w:pStyle w:val="12"/>
                    <w:rPr>
                      <w:rFonts w:hint="default" w:ascii="Times New Roman" w:hAnsi="Times New Roman" w:eastAsia="宋体" w:cs="Times New Roman"/>
                      <w:sz w:val="21"/>
                      <w:szCs w:val="21"/>
                      <w:lang w:val="en-US" w:eastAsia="zh-CN"/>
                    </w:rPr>
                  </w:pPr>
                  <w:r>
                    <w:rPr>
                      <w:rFonts w:hint="eastAsia" w:cs="Times New Roman"/>
                      <w:sz w:val="21"/>
                      <w:szCs w:val="21"/>
                      <w:lang w:val="en-US" w:eastAsia="zh-CN"/>
                    </w:rPr>
                    <w:t>河流</w:t>
                  </w:r>
                </w:p>
              </w:tc>
              <w:tc>
                <w:tcPr>
                  <w:tcW w:w="717" w:type="pct"/>
                  <w:vAlign w:val="center"/>
                </w:tcPr>
                <w:p w14:paraId="567ACB7F">
                  <w:pPr>
                    <w:pStyle w:val="12"/>
                    <w:rPr>
                      <w:rFonts w:hint="default" w:ascii="Times New Roman" w:hAnsi="Times New Roman" w:cs="Times New Roman"/>
                      <w:sz w:val="21"/>
                      <w:szCs w:val="21"/>
                    </w:rPr>
                  </w:pPr>
                  <w:r>
                    <w:rPr>
                      <w:rFonts w:hint="default" w:ascii="Times New Roman" w:hAnsi="Times New Roman" w:cs="Times New Roman"/>
                      <w:sz w:val="21"/>
                      <w:szCs w:val="21"/>
                    </w:rPr>
                    <w:t>GB3838-2002Ⅲ类水体</w:t>
                  </w:r>
                </w:p>
              </w:tc>
            </w:tr>
            <w:tr w14:paraId="63189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559" w:type="pct"/>
                  <w:vAlign w:val="center"/>
                </w:tcPr>
                <w:p w14:paraId="105CE682">
                  <w:pPr>
                    <w:pStyle w:val="12"/>
                    <w:rPr>
                      <w:rFonts w:hint="default" w:ascii="Times New Roman" w:hAnsi="Times New Roman" w:cs="Times New Roman"/>
                      <w:sz w:val="21"/>
                      <w:szCs w:val="21"/>
                      <w:lang w:val="zh-CN"/>
                    </w:rPr>
                  </w:pPr>
                  <w:r>
                    <w:rPr>
                      <w:rFonts w:hint="default" w:ascii="Times New Roman" w:hAnsi="Times New Roman" w:cs="Times New Roman"/>
                      <w:sz w:val="21"/>
                      <w:szCs w:val="21"/>
                      <w:lang w:val="zh-CN"/>
                    </w:rPr>
                    <w:t>声环境</w:t>
                  </w:r>
                </w:p>
              </w:tc>
              <w:tc>
                <w:tcPr>
                  <w:tcW w:w="4440" w:type="pct"/>
                  <w:gridSpan w:val="8"/>
                  <w:vAlign w:val="center"/>
                </w:tcPr>
                <w:p w14:paraId="5EE39BEA">
                  <w:pPr>
                    <w:pStyle w:val="12"/>
                    <w:rPr>
                      <w:rFonts w:hint="default" w:ascii="Times New Roman" w:hAnsi="Times New Roman" w:eastAsia="新宋体" w:cs="Times New Roman"/>
                      <w:sz w:val="21"/>
                      <w:szCs w:val="21"/>
                    </w:rPr>
                  </w:pPr>
                  <w:r>
                    <w:rPr>
                      <w:rFonts w:hint="default" w:ascii="Times New Roman" w:hAnsi="Times New Roman" w:eastAsia="新宋体" w:cs="Times New Roman"/>
                      <w:sz w:val="21"/>
                      <w:szCs w:val="21"/>
                    </w:rPr>
                    <w:t>厂界外50m范围内无声环境保护目标</w:t>
                  </w:r>
                </w:p>
              </w:tc>
            </w:tr>
            <w:tr w14:paraId="18554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559" w:type="pct"/>
                  <w:vAlign w:val="center"/>
                </w:tcPr>
                <w:p w14:paraId="1DA3CED6">
                  <w:pPr>
                    <w:pStyle w:val="12"/>
                    <w:rPr>
                      <w:rFonts w:hint="default" w:ascii="Times New Roman" w:hAnsi="Times New Roman" w:cs="Times New Roman"/>
                      <w:sz w:val="21"/>
                      <w:szCs w:val="21"/>
                      <w:lang w:val="zh-CN"/>
                    </w:rPr>
                  </w:pPr>
                  <w:r>
                    <w:rPr>
                      <w:rFonts w:hint="default" w:ascii="Times New Roman" w:hAnsi="Times New Roman" w:cs="Times New Roman"/>
                      <w:sz w:val="21"/>
                      <w:szCs w:val="21"/>
                      <w:lang w:val="zh-CN"/>
                    </w:rPr>
                    <w:t>地下水</w:t>
                  </w:r>
                </w:p>
                <w:p w14:paraId="7C2B9AEC">
                  <w:pPr>
                    <w:pStyle w:val="12"/>
                    <w:rPr>
                      <w:rFonts w:hint="default" w:ascii="Times New Roman" w:hAnsi="Times New Roman" w:cs="Times New Roman"/>
                      <w:sz w:val="21"/>
                      <w:szCs w:val="21"/>
                      <w:lang w:val="zh-CN"/>
                    </w:rPr>
                  </w:pPr>
                  <w:r>
                    <w:rPr>
                      <w:rFonts w:hint="default" w:ascii="Times New Roman" w:hAnsi="Times New Roman" w:cs="Times New Roman"/>
                      <w:sz w:val="21"/>
                      <w:szCs w:val="21"/>
                      <w:lang w:val="zh-CN"/>
                    </w:rPr>
                    <w:t>环境</w:t>
                  </w:r>
                </w:p>
              </w:tc>
              <w:tc>
                <w:tcPr>
                  <w:tcW w:w="4440" w:type="pct"/>
                  <w:gridSpan w:val="8"/>
                  <w:vAlign w:val="center"/>
                </w:tcPr>
                <w:p w14:paraId="1D253E54">
                  <w:pPr>
                    <w:pStyle w:val="12"/>
                    <w:rPr>
                      <w:rFonts w:hint="default" w:ascii="Times New Roman" w:hAnsi="Times New Roman" w:cs="Times New Roman"/>
                      <w:sz w:val="21"/>
                      <w:szCs w:val="21"/>
                    </w:rPr>
                  </w:pPr>
                  <w:r>
                    <w:rPr>
                      <w:rFonts w:hint="default" w:ascii="Times New Roman" w:hAnsi="Times New Roman" w:cs="Times New Roman"/>
                      <w:sz w:val="21"/>
                      <w:szCs w:val="21"/>
                    </w:rPr>
                    <w:t>厂界外500米范围内无地下水集中式饮用水水源和热水、矿泉水、温泉等特殊地下水资源，无特定保护目标</w:t>
                  </w:r>
                </w:p>
              </w:tc>
            </w:tr>
            <w:tr w14:paraId="5C783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559" w:type="pct"/>
                  <w:vAlign w:val="center"/>
                </w:tcPr>
                <w:p w14:paraId="1230E207">
                  <w:pPr>
                    <w:pStyle w:val="12"/>
                    <w:rPr>
                      <w:rFonts w:hint="default" w:ascii="Times New Roman" w:hAnsi="Times New Roman" w:cs="Times New Roman"/>
                      <w:sz w:val="21"/>
                      <w:szCs w:val="21"/>
                      <w:lang w:val="zh-CN"/>
                    </w:rPr>
                  </w:pPr>
                  <w:r>
                    <w:rPr>
                      <w:rFonts w:hint="default" w:ascii="Times New Roman" w:hAnsi="Times New Roman" w:cs="Times New Roman"/>
                      <w:sz w:val="21"/>
                      <w:szCs w:val="21"/>
                      <w:lang w:val="zh-CN"/>
                    </w:rPr>
                    <w:t>风险环境</w:t>
                  </w:r>
                </w:p>
              </w:tc>
              <w:tc>
                <w:tcPr>
                  <w:tcW w:w="4440" w:type="pct"/>
                  <w:gridSpan w:val="8"/>
                  <w:vAlign w:val="center"/>
                </w:tcPr>
                <w:p w14:paraId="7074C8D6">
                  <w:pPr>
                    <w:pStyle w:val="12"/>
                    <w:rPr>
                      <w:rFonts w:hint="default" w:ascii="Times New Roman" w:hAnsi="Times New Roman" w:cs="Times New Roman"/>
                      <w:sz w:val="21"/>
                      <w:szCs w:val="21"/>
                    </w:rPr>
                  </w:pPr>
                  <w:r>
                    <w:rPr>
                      <w:rFonts w:hint="default" w:ascii="Times New Roman" w:hAnsi="Times New Roman" w:cs="Times New Roman"/>
                      <w:sz w:val="21"/>
                      <w:szCs w:val="21"/>
                    </w:rPr>
                    <w:t>上述环境空气、地表水保护目标</w:t>
                  </w:r>
                </w:p>
              </w:tc>
            </w:tr>
            <w:tr w14:paraId="46477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5000" w:type="pct"/>
                  <w:gridSpan w:val="9"/>
                  <w:vAlign w:val="center"/>
                </w:tcPr>
                <w:p w14:paraId="660D8945">
                  <w:pPr>
                    <w:pStyle w:val="12"/>
                    <w:rPr>
                      <w:rFonts w:hint="default" w:ascii="Times New Roman" w:hAnsi="Times New Roman" w:cs="Times New Roman"/>
                      <w:sz w:val="21"/>
                      <w:szCs w:val="21"/>
                    </w:rPr>
                  </w:pPr>
                  <w:r>
                    <w:rPr>
                      <w:rFonts w:hint="default" w:ascii="Times New Roman" w:hAnsi="Times New Roman" w:cs="Times New Roman"/>
                      <w:sz w:val="21"/>
                      <w:szCs w:val="21"/>
                    </w:rPr>
                    <w:t>注：根据《建设项目环境影响报告表编制技术指南（污染影响类）（试行）》，本项目不处于产业园区外，且不新增用地，无需明确生态环境保护目标</w:t>
                  </w:r>
                </w:p>
              </w:tc>
            </w:tr>
          </w:tbl>
          <w:p w14:paraId="15BFFAAA">
            <w:pPr>
              <w:ind w:firstLine="480" w:firstLineChars="200"/>
              <w:jc w:val="center"/>
              <w:rPr>
                <w:rFonts w:hint="default" w:ascii="Times New Roman" w:hAnsi="Times New Roman" w:eastAsia="宋体" w:cs="Times New Roman"/>
                <w:kern w:val="2"/>
                <w:sz w:val="24"/>
                <w:szCs w:val="22"/>
                <w:lang w:val="en-US" w:eastAsia="zh-CN" w:bidi="ar-SA"/>
              </w:rPr>
            </w:pPr>
          </w:p>
        </w:tc>
      </w:tr>
      <w:tr w14:paraId="0B7F1D3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80" w:hRule="atLeast"/>
          <w:jc w:val="center"/>
        </w:trPr>
        <w:tc>
          <w:tcPr>
            <w:tcW w:w="213" w:type="pct"/>
            <w:tcMar>
              <w:top w:w="16" w:type="dxa"/>
              <w:left w:w="16" w:type="dxa"/>
              <w:right w:w="16" w:type="dxa"/>
            </w:tcMar>
            <w:vAlign w:val="center"/>
          </w:tcPr>
          <w:p w14:paraId="1D8D437A">
            <w:pPr>
              <w:pStyle w:val="24"/>
              <w:rPr>
                <w:rFonts w:hint="default" w:ascii="Times New Roman" w:hAnsi="Times New Roman" w:cs="Times New Roman"/>
              </w:rPr>
            </w:pPr>
            <w:r>
              <w:rPr>
                <w:rFonts w:hint="default" w:ascii="Times New Roman" w:hAnsi="Times New Roman" w:cs="Times New Roman"/>
                <w:sz w:val="24"/>
                <w:szCs w:val="28"/>
              </w:rPr>
              <w:t>污染物排放控制标准</w:t>
            </w:r>
          </w:p>
        </w:tc>
        <w:tc>
          <w:tcPr>
            <w:tcW w:w="4786" w:type="pct"/>
            <w:vAlign w:val="center"/>
          </w:tcPr>
          <w:p w14:paraId="3BBC7228">
            <w:pPr>
              <w:pStyle w:val="3"/>
              <w:spacing w:before="163"/>
              <w:rPr>
                <w:rFonts w:hint="default" w:ascii="Times New Roman" w:hAnsi="Times New Roman" w:cs="Times New Roman"/>
              </w:rPr>
            </w:pPr>
            <w:r>
              <w:rPr>
                <w:rFonts w:hint="default" w:ascii="Times New Roman" w:hAnsi="Times New Roman" w:cs="Times New Roman"/>
              </w:rPr>
              <w:t>1、废气排放标准</w:t>
            </w:r>
          </w:p>
          <w:p w14:paraId="62149986">
            <w:pPr>
              <w:ind w:firstLine="482"/>
              <w:rPr>
                <w:rFonts w:hint="default" w:ascii="Times New Roman" w:hAnsi="Times New Roman" w:cs="Times New Roman"/>
                <w:b/>
              </w:rPr>
            </w:pPr>
            <w:r>
              <w:rPr>
                <w:rFonts w:hint="default" w:ascii="Times New Roman" w:hAnsi="Times New Roman" w:cs="Times New Roman"/>
                <w:b/>
              </w:rPr>
              <w:t>（1）施工期</w:t>
            </w:r>
          </w:p>
          <w:p w14:paraId="4E3A9E85">
            <w:pPr>
              <w:ind w:firstLine="480"/>
              <w:rPr>
                <w:rFonts w:hint="default" w:ascii="Times New Roman" w:hAnsi="Times New Roman" w:cs="Times New Roman"/>
              </w:rPr>
            </w:pPr>
            <w:r>
              <w:rPr>
                <w:rFonts w:hint="default" w:ascii="Times New Roman" w:hAnsi="Times New Roman" w:cs="Times New Roman"/>
              </w:rPr>
              <w:t>项目施工期施工场地扬尘执行《四川省施工场地扬尘排放标准》（DB51/2682-2020），</w:t>
            </w:r>
            <w:r>
              <w:rPr>
                <w:rFonts w:hint="default" w:ascii="Times New Roman" w:hAnsi="Times New Roman" w:cs="Times New Roman"/>
                <w:kern w:val="0"/>
                <w:szCs w:val="21"/>
              </w:rPr>
              <w:t>标准值如下表：</w:t>
            </w:r>
          </w:p>
          <w:p w14:paraId="1DFEFA75">
            <w:pPr>
              <w:pStyle w:val="11"/>
              <w:keepNext/>
              <w:rPr>
                <w:rFonts w:hint="default" w:ascii="Times New Roman" w:hAnsi="Times New Roman" w:cs="Times New Roman"/>
              </w:rPr>
            </w:pPr>
            <w:r>
              <w:rPr>
                <w:rFonts w:hint="default" w:ascii="Times New Roman" w:hAnsi="Times New Roman" w:cs="Times New Roman"/>
              </w:rPr>
              <w:t>表</w:t>
            </w:r>
            <w:r>
              <w:rPr>
                <w:rFonts w:hint="eastAsia" w:cs="Times New Roman"/>
                <w:lang w:val="en-US" w:eastAsia="zh-CN"/>
              </w:rPr>
              <w:t>3</w:t>
            </w:r>
            <w:r>
              <w:rPr>
                <w:rFonts w:hint="default" w:ascii="Times New Roman" w:hAnsi="Times New Roman" w:cs="Times New Roman"/>
              </w:rPr>
              <w:noBreakHyphen/>
            </w:r>
            <w:r>
              <w:rPr>
                <w:rFonts w:hint="default" w:ascii="Times New Roman" w:hAnsi="Times New Roman" w:cs="Times New Roman"/>
              </w:rPr>
              <w:fldChar w:fldCharType="begin"/>
            </w:r>
            <w:r>
              <w:rPr>
                <w:rFonts w:hint="default" w:ascii="Times New Roman" w:hAnsi="Times New Roman" w:cs="Times New Roman"/>
              </w:rPr>
              <w:instrText xml:space="preserve"> SEQ 表 \* ARABIC \s 1 </w:instrText>
            </w:r>
            <w:r>
              <w:rPr>
                <w:rFonts w:hint="default" w:ascii="Times New Roman" w:hAnsi="Times New Roman" w:cs="Times New Roman"/>
              </w:rPr>
              <w:fldChar w:fldCharType="separate"/>
            </w:r>
            <w:r>
              <w:rPr>
                <w:rFonts w:hint="default" w:ascii="Times New Roman" w:hAnsi="Times New Roman" w:cs="Times New Roman"/>
              </w:rPr>
              <w:t>5</w:t>
            </w:r>
            <w:r>
              <w:rPr>
                <w:rFonts w:hint="default" w:ascii="Times New Roman" w:hAnsi="Times New Roman" w:cs="Times New Roman"/>
              </w:rPr>
              <w:fldChar w:fldCharType="end"/>
            </w:r>
            <w:r>
              <w:rPr>
                <w:rFonts w:hint="default" w:ascii="Times New Roman" w:hAnsi="Times New Roman" w:cs="Times New Roman"/>
              </w:rPr>
              <w:t xml:space="preserve"> 四川省施工场地扬尘排放限值</w:t>
            </w:r>
          </w:p>
          <w:tbl>
            <w:tblPr>
              <w:tblStyle w:val="4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69"/>
              <w:gridCol w:w="3778"/>
              <w:gridCol w:w="1650"/>
              <w:gridCol w:w="1759"/>
              <w:gridCol w:w="1136"/>
            </w:tblGrid>
            <w:tr w14:paraId="5F037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69" w:type="pct"/>
                  <w:vAlign w:val="center"/>
                </w:tcPr>
                <w:p w14:paraId="2971388E">
                  <w:pPr>
                    <w:pStyle w:val="45"/>
                    <w:rPr>
                      <w:rFonts w:hint="default" w:ascii="Times New Roman" w:hAnsi="Times New Roman" w:cs="Times New Roman"/>
                    </w:rPr>
                  </w:pPr>
                  <w:r>
                    <w:rPr>
                      <w:rFonts w:hint="default" w:ascii="Times New Roman" w:hAnsi="Times New Roman" w:cs="Times New Roman"/>
                    </w:rPr>
                    <w:t>监测项目</w:t>
                  </w:r>
                </w:p>
              </w:tc>
              <w:tc>
                <w:tcPr>
                  <w:tcW w:w="2010" w:type="pct"/>
                  <w:vAlign w:val="center"/>
                </w:tcPr>
                <w:p w14:paraId="316D0368">
                  <w:pPr>
                    <w:pStyle w:val="45"/>
                    <w:rPr>
                      <w:rFonts w:hint="eastAsia" w:ascii="Times New Roman" w:hAnsi="Times New Roman" w:eastAsia="宋体" w:cs="Times New Roman"/>
                      <w:lang w:val="en-US" w:eastAsia="zh-CN"/>
                    </w:rPr>
                  </w:pPr>
                  <w:r>
                    <w:rPr>
                      <w:rFonts w:hint="eastAsia" w:cs="Times New Roman"/>
                      <w:lang w:val="en-US" w:eastAsia="zh-CN"/>
                    </w:rPr>
                    <w:t>区域</w:t>
                  </w:r>
                </w:p>
              </w:tc>
              <w:tc>
                <w:tcPr>
                  <w:tcW w:w="878" w:type="pct"/>
                  <w:vAlign w:val="center"/>
                </w:tcPr>
                <w:p w14:paraId="77937839">
                  <w:pPr>
                    <w:pStyle w:val="45"/>
                    <w:rPr>
                      <w:rFonts w:hint="default" w:ascii="Times New Roman" w:hAnsi="Times New Roman" w:cs="Times New Roman"/>
                    </w:rPr>
                  </w:pPr>
                  <w:r>
                    <w:rPr>
                      <w:rFonts w:hint="default" w:ascii="Times New Roman" w:hAnsi="Times New Roman" w:cs="Times New Roman"/>
                    </w:rPr>
                    <w:t>施工阶段</w:t>
                  </w:r>
                </w:p>
              </w:tc>
              <w:tc>
                <w:tcPr>
                  <w:tcW w:w="936" w:type="pct"/>
                  <w:vAlign w:val="center"/>
                </w:tcPr>
                <w:p w14:paraId="6F781E56">
                  <w:pPr>
                    <w:pStyle w:val="45"/>
                    <w:rPr>
                      <w:rFonts w:hint="default" w:ascii="Times New Roman" w:hAnsi="Times New Roman" w:cs="Times New Roman"/>
                    </w:rPr>
                  </w:pPr>
                  <w:r>
                    <w:rPr>
                      <w:rFonts w:hint="default" w:ascii="Times New Roman" w:hAnsi="Times New Roman" w:cs="Times New Roman"/>
                    </w:rPr>
                    <w:t>监测点排放限值</w:t>
                  </w:r>
                </w:p>
              </w:tc>
              <w:tc>
                <w:tcPr>
                  <w:tcW w:w="604" w:type="pct"/>
                  <w:vAlign w:val="center"/>
                </w:tcPr>
                <w:p w14:paraId="6E30BE5A">
                  <w:pPr>
                    <w:pStyle w:val="45"/>
                    <w:rPr>
                      <w:rFonts w:hint="default" w:ascii="Times New Roman" w:hAnsi="Times New Roman" w:cs="Times New Roman"/>
                    </w:rPr>
                  </w:pPr>
                  <w:r>
                    <w:rPr>
                      <w:rFonts w:hint="default" w:ascii="Times New Roman" w:hAnsi="Times New Roman" w:cs="Times New Roman"/>
                    </w:rPr>
                    <w:t>监测时间</w:t>
                  </w:r>
                </w:p>
              </w:tc>
            </w:tr>
            <w:tr w14:paraId="42241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69" w:type="pct"/>
                  <w:vMerge w:val="restart"/>
                  <w:vAlign w:val="center"/>
                </w:tcPr>
                <w:p w14:paraId="7180782F">
                  <w:pPr>
                    <w:pStyle w:val="12"/>
                    <w:rPr>
                      <w:rFonts w:hint="default" w:ascii="Times New Roman" w:hAnsi="Times New Roman" w:cs="Times New Roman"/>
                    </w:rPr>
                  </w:pPr>
                  <w:r>
                    <w:rPr>
                      <w:rFonts w:hint="default" w:ascii="Times New Roman" w:hAnsi="Times New Roman" w:cs="Times New Roman"/>
                    </w:rPr>
                    <w:t>总悬浮颗粒物（TSP）</w:t>
                  </w:r>
                </w:p>
              </w:tc>
              <w:tc>
                <w:tcPr>
                  <w:tcW w:w="2010" w:type="pct"/>
                  <w:vMerge w:val="restart"/>
                  <w:vAlign w:val="center"/>
                </w:tcPr>
                <w:p w14:paraId="65139AF9">
                  <w:pPr>
                    <w:pStyle w:val="12"/>
                    <w:rPr>
                      <w:rFonts w:hint="default" w:ascii="Times New Roman" w:hAnsi="Times New Roman" w:cs="Times New Roman"/>
                    </w:rPr>
                  </w:pPr>
                  <w:r>
                    <w:rPr>
                      <w:rFonts w:hint="default" w:cs="Times New Roman"/>
                    </w:rPr>
                    <w:t>成都市、自贡市、泸州市、德阳市、绵市：广元市</w:t>
                  </w:r>
                  <w:r>
                    <w:rPr>
                      <w:rFonts w:hint="eastAsia" w:cs="Times New Roman"/>
                      <w:lang w:eastAsia="zh-CN"/>
                    </w:rPr>
                    <w:t>、</w:t>
                  </w:r>
                  <w:r>
                    <w:rPr>
                      <w:rFonts w:hint="eastAsia" w:cs="Times New Roman"/>
                      <w:lang w:val="en-US" w:eastAsia="zh-CN"/>
                    </w:rPr>
                    <w:t>遂宁市、内江市、乐山市、</w:t>
                  </w:r>
                  <w:r>
                    <w:rPr>
                      <w:rFonts w:hint="default" w:cs="Times New Roman"/>
                    </w:rPr>
                    <w:t>南充市、</w:t>
                  </w:r>
                  <w:r>
                    <w:rPr>
                      <w:rFonts w:hint="eastAsia" w:cs="Times New Roman"/>
                      <w:lang w:val="en-US" w:eastAsia="zh-CN"/>
                    </w:rPr>
                    <w:t>宜宾市、</w:t>
                  </w:r>
                  <w:r>
                    <w:rPr>
                      <w:rFonts w:hint="default" w:cs="Times New Roman"/>
                    </w:rPr>
                    <w:t>广安市</w:t>
                  </w:r>
                  <w:r>
                    <w:rPr>
                      <w:rFonts w:hint="eastAsia" w:cs="Times New Roman"/>
                      <w:lang w:eastAsia="zh-CN"/>
                    </w:rPr>
                    <w:t>、</w:t>
                  </w:r>
                  <w:r>
                    <w:rPr>
                      <w:rFonts w:hint="eastAsia" w:cs="Times New Roman"/>
                      <w:lang w:val="en-US" w:eastAsia="zh-CN"/>
                    </w:rPr>
                    <w:t>达州市、</w:t>
                  </w:r>
                  <w:r>
                    <w:rPr>
                      <w:rFonts w:hint="default" w:cs="Times New Roman"/>
                      <w:b/>
                      <w:bCs w:val="0"/>
                    </w:rPr>
                    <w:t>巴中市</w:t>
                  </w:r>
                  <w:r>
                    <w:rPr>
                      <w:rFonts w:hint="default" w:cs="Times New Roman"/>
                    </w:rPr>
                    <w:t>、雅安市、眉山市、资阳市</w:t>
                  </w:r>
                </w:p>
              </w:tc>
              <w:tc>
                <w:tcPr>
                  <w:tcW w:w="878" w:type="pct"/>
                  <w:vAlign w:val="center"/>
                </w:tcPr>
                <w:p w14:paraId="501856A8">
                  <w:pPr>
                    <w:pStyle w:val="12"/>
                    <w:rPr>
                      <w:rFonts w:hint="default" w:ascii="Times New Roman" w:hAnsi="Times New Roman" w:eastAsia="宋体" w:cs="Times New Roman"/>
                      <w:lang w:val="en-US" w:eastAsia="zh-CN"/>
                    </w:rPr>
                  </w:pPr>
                  <w:r>
                    <w:rPr>
                      <w:rFonts w:hint="eastAsia" w:ascii="Times New Roman" w:hAnsi="Times New Roman" w:cs="Times New Roman"/>
                      <w:lang w:val="en-US" w:eastAsia="zh-CN"/>
                    </w:rPr>
                    <w:t>拆除工程/土石方开挖/土方回填</w:t>
                  </w:r>
                </w:p>
              </w:tc>
              <w:tc>
                <w:tcPr>
                  <w:tcW w:w="936" w:type="pct"/>
                  <w:vAlign w:val="center"/>
                </w:tcPr>
                <w:p w14:paraId="0C3BD0AC">
                  <w:pPr>
                    <w:pStyle w:val="12"/>
                    <w:rPr>
                      <w:rFonts w:hint="default" w:ascii="Times New Roman" w:hAnsi="Times New Roman" w:cs="Times New Roman"/>
                    </w:rPr>
                  </w:pPr>
                  <w:r>
                    <w:rPr>
                      <w:rFonts w:hint="eastAsia" w:ascii="Times New Roman" w:hAnsi="Times New Roman" w:cs="Times New Roman"/>
                      <w:lang w:val="en-US" w:eastAsia="zh-CN"/>
                    </w:rPr>
                    <w:t>600</w:t>
                  </w:r>
                  <w:r>
                    <w:rPr>
                      <w:rFonts w:hint="default" w:ascii="Times New Roman" w:hAnsi="Times New Roman" w:cs="Times New Roman"/>
                    </w:rPr>
                    <w:t>μg/m</w:t>
                  </w:r>
                  <w:r>
                    <w:rPr>
                      <w:rFonts w:hint="default" w:ascii="Times New Roman" w:hAnsi="Times New Roman" w:cs="Times New Roman"/>
                      <w:vertAlign w:val="superscript"/>
                    </w:rPr>
                    <w:t>3</w:t>
                  </w:r>
                </w:p>
              </w:tc>
              <w:tc>
                <w:tcPr>
                  <w:tcW w:w="604" w:type="pct"/>
                  <w:vMerge w:val="restart"/>
                  <w:vAlign w:val="center"/>
                </w:tcPr>
                <w:p w14:paraId="4CACFC28">
                  <w:pPr>
                    <w:pStyle w:val="12"/>
                    <w:rPr>
                      <w:rFonts w:hint="default" w:ascii="Times New Roman" w:hAnsi="Times New Roman" w:cs="Times New Roman"/>
                    </w:rPr>
                  </w:pPr>
                  <w:r>
                    <w:rPr>
                      <w:rFonts w:hint="default" w:ascii="Times New Roman" w:hAnsi="Times New Roman" w:cs="Times New Roman"/>
                    </w:rPr>
                    <w:t>自监测起持续15分钟</w:t>
                  </w:r>
                </w:p>
              </w:tc>
            </w:tr>
            <w:tr w14:paraId="39856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69" w:type="pct"/>
                  <w:vMerge w:val="continue"/>
                  <w:vAlign w:val="center"/>
                </w:tcPr>
                <w:p w14:paraId="24378983">
                  <w:pPr>
                    <w:pStyle w:val="12"/>
                    <w:rPr>
                      <w:rFonts w:hint="default" w:ascii="Times New Roman" w:hAnsi="Times New Roman" w:cs="Times New Roman"/>
                    </w:rPr>
                  </w:pPr>
                </w:p>
              </w:tc>
              <w:tc>
                <w:tcPr>
                  <w:tcW w:w="2010" w:type="pct"/>
                  <w:vMerge w:val="continue"/>
                  <w:vAlign w:val="center"/>
                </w:tcPr>
                <w:p w14:paraId="173FD20C">
                  <w:pPr>
                    <w:pStyle w:val="12"/>
                    <w:rPr>
                      <w:rFonts w:hint="default" w:ascii="Times New Roman" w:hAnsi="Times New Roman" w:cs="Times New Roman"/>
                    </w:rPr>
                  </w:pPr>
                </w:p>
              </w:tc>
              <w:tc>
                <w:tcPr>
                  <w:tcW w:w="878" w:type="pct"/>
                  <w:vAlign w:val="center"/>
                </w:tcPr>
                <w:p w14:paraId="01A32695">
                  <w:pPr>
                    <w:pStyle w:val="12"/>
                    <w:rPr>
                      <w:rFonts w:hint="default" w:ascii="Times New Roman" w:hAnsi="Times New Roman" w:cs="Times New Roman"/>
                    </w:rPr>
                  </w:pPr>
                  <w:r>
                    <w:rPr>
                      <w:rFonts w:hint="default" w:ascii="Times New Roman" w:hAnsi="Times New Roman" w:cs="Times New Roman"/>
                    </w:rPr>
                    <w:t>其他工程阶段</w:t>
                  </w:r>
                </w:p>
              </w:tc>
              <w:tc>
                <w:tcPr>
                  <w:tcW w:w="936" w:type="pct"/>
                  <w:vAlign w:val="center"/>
                </w:tcPr>
                <w:p w14:paraId="6B0BDA3F">
                  <w:pPr>
                    <w:pStyle w:val="12"/>
                    <w:rPr>
                      <w:rFonts w:hint="default" w:ascii="Times New Roman" w:hAnsi="Times New Roman" w:cs="Times New Roman"/>
                    </w:rPr>
                  </w:pPr>
                  <w:r>
                    <w:rPr>
                      <w:rFonts w:hint="default" w:ascii="Times New Roman" w:hAnsi="Times New Roman" w:cs="Times New Roman"/>
                    </w:rPr>
                    <w:t>250μg/m</w:t>
                  </w:r>
                  <w:r>
                    <w:rPr>
                      <w:rFonts w:hint="default" w:ascii="Times New Roman" w:hAnsi="Times New Roman" w:cs="Times New Roman"/>
                      <w:vertAlign w:val="superscript"/>
                    </w:rPr>
                    <w:t>3</w:t>
                  </w:r>
                </w:p>
              </w:tc>
              <w:tc>
                <w:tcPr>
                  <w:tcW w:w="604" w:type="pct"/>
                  <w:vMerge w:val="continue"/>
                  <w:vAlign w:val="center"/>
                </w:tcPr>
                <w:p w14:paraId="40C0A4F7">
                  <w:pPr>
                    <w:pStyle w:val="12"/>
                    <w:rPr>
                      <w:rFonts w:hint="default" w:ascii="Times New Roman" w:hAnsi="Times New Roman" w:cs="Times New Roman"/>
                    </w:rPr>
                  </w:pPr>
                </w:p>
              </w:tc>
            </w:tr>
          </w:tbl>
          <w:p w14:paraId="637BA124">
            <w:pPr>
              <w:ind w:firstLine="482"/>
              <w:rPr>
                <w:rFonts w:hint="default" w:ascii="Times New Roman" w:hAnsi="Times New Roman" w:cs="Times New Roman"/>
                <w:b/>
              </w:rPr>
            </w:pPr>
            <w:r>
              <w:rPr>
                <w:rFonts w:hint="default" w:ascii="Times New Roman" w:hAnsi="Times New Roman" w:cs="Times New Roman"/>
                <w:b/>
              </w:rPr>
              <w:t>（2）营运期</w:t>
            </w:r>
          </w:p>
          <w:p w14:paraId="7E4106E8">
            <w:pPr>
              <w:keepNext w:val="0"/>
              <w:keepLines w:val="0"/>
              <w:widowControl/>
              <w:suppressLineNumbers w:val="0"/>
              <w:jc w:val="left"/>
              <w:rPr>
                <w:rFonts w:hint="eastAsia" w:cs="Times New Roman"/>
                <w:b/>
                <w:bCs/>
                <w:color w:val="000000"/>
                <w:kern w:val="0"/>
                <w:sz w:val="24"/>
                <w:szCs w:val="24"/>
                <w:lang w:val="en-US" w:eastAsia="zh-CN" w:bidi="ar"/>
              </w:rPr>
            </w:pPr>
            <w:r>
              <w:rPr>
                <w:rFonts w:hint="eastAsia" w:cs="Times New Roman"/>
                <w:b/>
                <w:bCs/>
                <w:color w:val="000000"/>
                <w:kern w:val="0"/>
                <w:sz w:val="24"/>
                <w:szCs w:val="24"/>
                <w:lang w:val="en-US" w:eastAsia="zh-CN" w:bidi="ar"/>
              </w:rPr>
              <w:t>①有组织废气：</w:t>
            </w:r>
          </w:p>
          <w:p w14:paraId="20E4C493">
            <w:pPr>
              <w:keepNext w:val="0"/>
              <w:keepLines w:val="0"/>
              <w:widowControl/>
              <w:suppressLineNumbers w:val="0"/>
              <w:jc w:val="left"/>
              <w:rPr>
                <w:rFonts w:hint="default" w:ascii="Times New Roman" w:hAnsi="Times New Roman" w:cs="Times New Roman"/>
                <w:color w:val="auto"/>
                <w:sz w:val="24"/>
                <w:lang w:eastAsia="zh-CN"/>
              </w:rPr>
            </w:pPr>
            <w:r>
              <w:rPr>
                <w:rFonts w:hint="default" w:ascii="Times New Roman" w:hAnsi="Times New Roman" w:eastAsia="宋体" w:cs="Times New Roman"/>
                <w:color w:val="000000"/>
                <w:kern w:val="0"/>
                <w:sz w:val="24"/>
                <w:szCs w:val="24"/>
                <w:lang w:val="en-US" w:eastAsia="zh-CN" w:bidi="ar"/>
              </w:rPr>
              <w:t>煅烧废气经</w:t>
            </w:r>
            <w:r>
              <w:rPr>
                <w:rFonts w:hint="default" w:ascii="Times New Roman" w:hAnsi="Times New Roman" w:cs="Times New Roman"/>
                <w:color w:val="000000"/>
                <w:kern w:val="0"/>
                <w:sz w:val="24"/>
                <w:szCs w:val="24"/>
                <w:lang w:val="en-US" w:eastAsia="zh-CN" w:bidi="ar"/>
              </w:rPr>
              <w:t>旋风除尘器+布袋除尘器1#+活性炭喷射+布袋除尘器2#+</w:t>
            </w:r>
            <w:r>
              <w:rPr>
                <w:rFonts w:hint="eastAsia" w:cs="Times New Roman"/>
                <w:color w:val="000000"/>
                <w:kern w:val="0"/>
                <w:sz w:val="24"/>
                <w:szCs w:val="24"/>
                <w:lang w:val="en-US" w:eastAsia="zh-CN" w:bidi="ar"/>
              </w:rPr>
              <w:t>3座脱酸塔</w:t>
            </w:r>
            <w:r>
              <w:rPr>
                <w:rFonts w:hint="default" w:ascii="Times New Roman" w:hAnsi="Times New Roman" w:cs="Times New Roman"/>
                <w:color w:val="000000"/>
                <w:kern w:val="0"/>
                <w:sz w:val="24"/>
                <w:szCs w:val="24"/>
                <w:lang w:val="en-US" w:eastAsia="zh-CN" w:bidi="ar"/>
              </w:rPr>
              <w:t>处理</w:t>
            </w:r>
            <w:r>
              <w:rPr>
                <w:rFonts w:hint="default" w:ascii="Times New Roman" w:hAnsi="Times New Roman" w:eastAsia="宋体" w:cs="Times New Roman"/>
                <w:color w:val="000000"/>
                <w:kern w:val="0"/>
                <w:sz w:val="24"/>
                <w:szCs w:val="24"/>
                <w:lang w:val="en-US" w:eastAsia="zh-CN" w:bidi="ar"/>
              </w:rPr>
              <w:t>后经</w:t>
            </w:r>
            <w:r>
              <w:rPr>
                <w:rFonts w:hint="default" w:ascii="Times New Roman" w:hAnsi="Times New Roman" w:cs="Times New Roman"/>
                <w:color w:val="000000"/>
                <w:kern w:val="0"/>
                <w:sz w:val="24"/>
                <w:szCs w:val="24"/>
                <w:lang w:val="en-US" w:eastAsia="zh-CN" w:bidi="ar"/>
              </w:rPr>
              <w:t>1根25</w:t>
            </w:r>
            <w:r>
              <w:rPr>
                <w:rFonts w:hint="default" w:ascii="Times New Roman" w:hAnsi="Times New Roman" w:eastAsia="宋体" w:cs="Times New Roman"/>
                <w:color w:val="000000"/>
                <w:kern w:val="0"/>
                <w:sz w:val="24"/>
                <w:szCs w:val="24"/>
                <w:lang w:val="en-US" w:eastAsia="zh-CN" w:bidi="ar"/>
              </w:rPr>
              <w:t>m高排气筒</w:t>
            </w:r>
            <w:r>
              <w:rPr>
                <w:rFonts w:hint="default" w:ascii="Times New Roman" w:hAnsi="Times New Roman" w:eastAsia="宋体" w:cs="Times New Roman"/>
                <w:color w:val="auto"/>
                <w:sz w:val="24"/>
                <w:lang w:val="en-US" w:eastAsia="zh-CN"/>
              </w:rPr>
              <w:t>(DA001)排</w:t>
            </w:r>
            <w:r>
              <w:rPr>
                <w:rFonts w:hint="default" w:ascii="Times New Roman" w:hAnsi="Times New Roman" w:eastAsia="宋体" w:cs="Times New Roman"/>
                <w:color w:val="000000"/>
                <w:kern w:val="0"/>
                <w:sz w:val="24"/>
                <w:szCs w:val="24"/>
                <w:lang w:val="en-US" w:eastAsia="zh-CN" w:bidi="ar"/>
              </w:rPr>
              <w:t>放，废气中</w:t>
            </w:r>
            <w:r>
              <w:rPr>
                <w:rFonts w:hint="default" w:ascii="Times New Roman" w:hAnsi="Times New Roman" w:cs="Times New Roman"/>
                <w:color w:val="auto"/>
                <w:sz w:val="24"/>
              </w:rPr>
              <w:t>颗粒物、</w:t>
            </w:r>
            <w:r>
              <w:rPr>
                <w:rFonts w:hint="default" w:ascii="Times New Roman" w:hAnsi="Times New Roman" w:cs="Times New Roman"/>
                <w:color w:val="auto"/>
                <w:sz w:val="24"/>
                <w:lang w:val="en-US" w:eastAsia="zh-CN"/>
              </w:rPr>
              <w:t>氟化物执行《工业炉窑大气污染物排放标准》（G9078-1996）中非金属焙（煅）烧炉窑二级标准限值；</w:t>
            </w:r>
            <w:r>
              <w:rPr>
                <w:rFonts w:hint="default" w:ascii="Times New Roman" w:hAnsi="Times New Roman" w:cs="Times New Roman"/>
                <w:color w:val="auto"/>
                <w:sz w:val="24"/>
              </w:rPr>
              <w:t>SO</w:t>
            </w:r>
            <w:r>
              <w:rPr>
                <w:rFonts w:hint="default" w:ascii="Times New Roman" w:hAnsi="Times New Roman" w:cs="Times New Roman"/>
                <w:color w:val="auto"/>
                <w:sz w:val="24"/>
                <w:vertAlign w:val="subscript"/>
              </w:rPr>
              <w:t>2</w:t>
            </w:r>
            <w:r>
              <w:rPr>
                <w:rFonts w:hint="default" w:ascii="Times New Roman" w:hAnsi="Times New Roman" w:cs="Times New Roman"/>
                <w:color w:val="auto"/>
                <w:sz w:val="24"/>
              </w:rPr>
              <w:t>、NO</w:t>
            </w:r>
            <w:r>
              <w:rPr>
                <w:rFonts w:hint="default" w:ascii="Times New Roman" w:hAnsi="Times New Roman" w:cs="Times New Roman"/>
                <w:color w:val="auto"/>
                <w:sz w:val="24"/>
                <w:vertAlign w:val="subscript"/>
              </w:rPr>
              <w:t>x</w:t>
            </w:r>
            <w:r>
              <w:rPr>
                <w:rFonts w:hint="default" w:ascii="Times New Roman" w:hAnsi="Times New Roman" w:cs="Times New Roman"/>
                <w:color w:val="auto"/>
                <w:sz w:val="24"/>
              </w:rPr>
              <w:t>排放执行《</w:t>
            </w:r>
            <w:r>
              <w:rPr>
                <w:rFonts w:hint="eastAsia" w:cs="Times New Roman"/>
                <w:color w:val="auto"/>
                <w:sz w:val="24"/>
                <w:lang w:val="en-US" w:eastAsia="zh-CN"/>
              </w:rPr>
              <w:t>关于印发&lt;工业炉窑大气污染综合治理方案&gt;的通知</w:t>
            </w:r>
            <w:r>
              <w:rPr>
                <w:rFonts w:hint="default" w:ascii="Times New Roman" w:hAnsi="Times New Roman" w:cs="Times New Roman"/>
                <w:color w:val="auto"/>
                <w:sz w:val="24"/>
              </w:rPr>
              <w:t>》（</w:t>
            </w:r>
            <w:r>
              <w:rPr>
                <w:rFonts w:hint="eastAsia" w:cs="Times New Roman"/>
                <w:color w:val="auto"/>
                <w:sz w:val="24"/>
                <w:lang w:val="en-US" w:eastAsia="zh-CN"/>
              </w:rPr>
              <w:t>环大气〔2019〕56号</w:t>
            </w:r>
            <w:r>
              <w:rPr>
                <w:rFonts w:hint="default" w:ascii="Times New Roman" w:hAnsi="Times New Roman" w:cs="Times New Roman"/>
                <w:color w:val="auto"/>
                <w:sz w:val="24"/>
              </w:rPr>
              <w:t>）中排放限值要求</w:t>
            </w:r>
            <w:r>
              <w:rPr>
                <w:rFonts w:hint="default" w:ascii="Times New Roman" w:hAnsi="Times New Roman" w:cs="Times New Roman"/>
                <w:color w:val="auto"/>
                <w:sz w:val="24"/>
                <w:lang w:eastAsia="zh-CN"/>
              </w:rPr>
              <w:t>；</w:t>
            </w:r>
            <w:r>
              <w:rPr>
                <w:rFonts w:hint="eastAsia" w:cs="Times New Roman"/>
                <w:color w:val="auto"/>
                <w:sz w:val="24"/>
                <w:lang w:val="en-US" w:eastAsia="zh-CN"/>
              </w:rPr>
              <w:t>由于本项目使用的水基岩屑种类包括磺化钻井岩屑，应《石油天然气开采固体废物污染控制技术规范（试行）》（HJ1461-2026）要求，</w:t>
            </w:r>
            <w:r>
              <w:rPr>
                <w:rFonts w:hint="default" w:ascii="Times New Roman" w:hAnsi="Times New Roman" w:cs="Times New Roman"/>
                <w:color w:val="auto"/>
                <w:sz w:val="24"/>
              </w:rPr>
              <w:t>二噁英执行</w:t>
            </w:r>
            <w:r>
              <w:rPr>
                <w:rFonts w:hint="eastAsia" w:cs="Times New Roman"/>
                <w:color w:val="auto"/>
                <w:sz w:val="24"/>
                <w:lang w:eastAsia="zh-CN"/>
              </w:rPr>
              <w:t>《危险废物焚烧污染控制标准》（GB18484-2020）</w:t>
            </w:r>
            <w:r>
              <w:rPr>
                <w:rFonts w:hint="eastAsia" w:cs="Times New Roman"/>
                <w:color w:val="auto"/>
                <w:sz w:val="24"/>
                <w:lang w:val="en-US" w:eastAsia="zh-CN"/>
              </w:rPr>
              <w:t>表3中排放限值要求；臭气浓度执行《</w:t>
            </w:r>
            <w:r>
              <w:rPr>
                <w:rFonts w:hint="eastAsia" w:cs="Times New Roman"/>
                <w:color w:val="auto"/>
              </w:rPr>
              <w:t>恶臭污染物排放标准</w:t>
            </w:r>
            <w:r>
              <w:rPr>
                <w:rFonts w:hint="eastAsia" w:cs="Times New Roman"/>
                <w:color w:val="auto"/>
                <w:sz w:val="24"/>
                <w:lang w:val="en-US" w:eastAsia="zh-CN"/>
              </w:rPr>
              <w:t>》（GB14554-93）表2中相关排放标准；VOCs（以非甲烷总烃计）执行《大气污染物综合排放标准》（GB16297-1996）表2中相关排放标准</w:t>
            </w:r>
            <w:r>
              <w:rPr>
                <w:rFonts w:hint="default" w:ascii="Times New Roman" w:hAnsi="Times New Roman" w:cs="Times New Roman"/>
                <w:color w:val="auto"/>
                <w:sz w:val="24"/>
                <w:lang w:eastAsia="zh-CN"/>
              </w:rPr>
              <w:t>。</w:t>
            </w:r>
          </w:p>
          <w:p w14:paraId="733A44CC">
            <w:pPr>
              <w:keepNext w:val="0"/>
              <w:keepLines w:val="0"/>
              <w:widowControl/>
              <w:suppressLineNumbers w:val="0"/>
              <w:jc w:val="left"/>
              <w:rPr>
                <w:rFonts w:hint="default" w:ascii="Times New Roman" w:hAnsi="Times New Roman" w:eastAsia="宋体" w:cs="Times New Roman"/>
                <w:color w:val="auto"/>
                <w:sz w:val="24"/>
                <w:lang w:val="en-US" w:eastAsia="zh-CN"/>
              </w:rPr>
            </w:pPr>
            <w:r>
              <w:rPr>
                <w:rFonts w:hint="default" w:ascii="Times New Roman" w:hAnsi="Times New Roman" w:cs="Times New Roman"/>
                <w:color w:val="auto"/>
                <w:kern w:val="0"/>
                <w:sz w:val="24"/>
              </w:rPr>
              <w:t>排气筒高度需</w:t>
            </w:r>
            <w:r>
              <w:rPr>
                <w:rFonts w:hint="default" w:ascii="Times New Roman" w:hAnsi="Times New Roman" w:cs="Times New Roman"/>
                <w:color w:val="auto"/>
                <w:kern w:val="0"/>
                <w:sz w:val="24"/>
                <w:lang w:val="en-US" w:eastAsia="zh-CN"/>
              </w:rPr>
              <w:t>满足最低15m要求</w:t>
            </w:r>
            <w:r>
              <w:rPr>
                <w:rFonts w:hint="default" w:ascii="Times New Roman" w:hAnsi="Times New Roman" w:cs="Times New Roman"/>
                <w:color w:val="auto"/>
                <w:kern w:val="0"/>
                <w:sz w:val="24"/>
              </w:rPr>
              <w:t>。</w:t>
            </w:r>
            <w:r>
              <w:rPr>
                <w:rFonts w:hint="default" w:ascii="Times New Roman" w:hAnsi="Times New Roman" w:cs="Times New Roman"/>
                <w:color w:val="auto"/>
                <w:kern w:val="0"/>
                <w:sz w:val="24"/>
                <w:lang w:val="en-US" w:eastAsia="zh-CN"/>
              </w:rPr>
              <w:t>根据现场调查，周边厂房</w:t>
            </w:r>
            <w:r>
              <w:rPr>
                <w:rFonts w:hint="eastAsia" w:cs="Times New Roman"/>
                <w:color w:val="auto"/>
                <w:kern w:val="0"/>
                <w:sz w:val="24"/>
                <w:lang w:val="en-US" w:eastAsia="zh-CN"/>
              </w:rPr>
              <w:t>高度为12m，</w:t>
            </w:r>
            <w:r>
              <w:rPr>
                <w:rFonts w:hint="default" w:ascii="Times New Roman" w:hAnsi="Times New Roman" w:cs="Times New Roman"/>
                <w:color w:val="auto"/>
                <w:kern w:val="0"/>
                <w:sz w:val="24"/>
                <w:lang w:val="en-US" w:eastAsia="zh-CN"/>
              </w:rPr>
              <w:t>办公楼及宿舍高度为1</w:t>
            </w:r>
            <w:r>
              <w:rPr>
                <w:rFonts w:hint="eastAsia" w:cs="Times New Roman"/>
                <w:color w:val="auto"/>
                <w:kern w:val="0"/>
                <w:sz w:val="24"/>
                <w:lang w:val="en-US" w:eastAsia="zh-CN"/>
              </w:rPr>
              <w:t>3</w:t>
            </w:r>
            <w:r>
              <w:rPr>
                <w:rFonts w:hint="default" w:ascii="Times New Roman" w:hAnsi="Times New Roman" w:cs="Times New Roman"/>
                <w:color w:val="auto"/>
                <w:kern w:val="0"/>
                <w:sz w:val="24"/>
                <w:lang w:val="en-US" w:eastAsia="zh-CN"/>
              </w:rPr>
              <w:t>m，</w:t>
            </w:r>
            <w:r>
              <w:rPr>
                <w:rFonts w:hint="eastAsia" w:cs="Times New Roman"/>
                <w:color w:val="auto"/>
                <w:kern w:val="0"/>
                <w:sz w:val="24"/>
                <w:lang w:val="en-US" w:eastAsia="zh-CN"/>
              </w:rPr>
              <w:t>本项目设置排气筒高度为25m，</w:t>
            </w:r>
            <w:r>
              <w:rPr>
                <w:rFonts w:hint="default" w:ascii="Times New Roman" w:hAnsi="Times New Roman" w:cs="Times New Roman"/>
                <w:color w:val="auto"/>
                <w:kern w:val="0"/>
                <w:sz w:val="24"/>
                <w:lang w:val="en-US" w:eastAsia="zh-CN"/>
              </w:rPr>
              <w:t>排气筒高度高于周边200m范围内最高建筑物3m以上，满足要求。</w:t>
            </w:r>
          </w:p>
          <w:p w14:paraId="71F9C306">
            <w:pPr>
              <w:ind w:firstLine="480"/>
              <w:rPr>
                <w:rFonts w:hint="eastAsia" w:cs="Times New Roman"/>
                <w:b/>
                <w:bCs/>
                <w:lang w:val="en-US" w:eastAsia="zh-CN"/>
              </w:rPr>
            </w:pPr>
            <w:r>
              <w:rPr>
                <w:rFonts w:hint="eastAsia" w:cs="Times New Roman"/>
                <w:b/>
                <w:bCs/>
                <w:lang w:val="en-US" w:eastAsia="zh-CN"/>
              </w:rPr>
              <w:t>②无组织废气：</w:t>
            </w:r>
          </w:p>
          <w:p w14:paraId="1C4F53C3">
            <w:pPr>
              <w:ind w:firstLine="480"/>
              <w:rPr>
                <w:rFonts w:hint="default" w:ascii="Times New Roman" w:hAnsi="Times New Roman" w:eastAsia="宋体" w:cs="Times New Roman"/>
                <w:kern w:val="0"/>
                <w:szCs w:val="24"/>
                <w:lang w:val="en-US" w:eastAsia="zh-CN"/>
              </w:rPr>
            </w:pPr>
            <w:r>
              <w:rPr>
                <w:rFonts w:hint="default" w:ascii="Times New Roman" w:hAnsi="Times New Roman" w:cs="Times New Roman"/>
                <w:lang w:val="en-US" w:eastAsia="zh-CN"/>
              </w:rPr>
              <w:t>厂界</w:t>
            </w:r>
            <w:r>
              <w:rPr>
                <w:rFonts w:hint="default" w:ascii="Times New Roman" w:hAnsi="Times New Roman" w:cs="Times New Roman"/>
              </w:rPr>
              <w:t>无组织废气</w:t>
            </w:r>
            <w:r>
              <w:rPr>
                <w:rFonts w:hint="default" w:ascii="Times New Roman" w:hAnsi="Times New Roman" w:cs="Times New Roman"/>
                <w:lang w:val="en-US" w:eastAsia="zh-CN"/>
              </w:rPr>
              <w:t>主要为颗粒物</w:t>
            </w:r>
            <w:r>
              <w:rPr>
                <w:rFonts w:hint="eastAsia" w:cs="Times New Roman"/>
                <w:lang w:val="en-US" w:eastAsia="zh-CN"/>
              </w:rPr>
              <w:t>、臭气浓度</w:t>
            </w:r>
            <w:r>
              <w:rPr>
                <w:rFonts w:hint="default" w:ascii="Times New Roman" w:hAnsi="Times New Roman" w:cs="Times New Roman"/>
                <w:lang w:val="en-US" w:eastAsia="zh-CN"/>
              </w:rPr>
              <w:t>，</w:t>
            </w:r>
            <w:r>
              <w:rPr>
                <w:rFonts w:hint="eastAsia" w:cs="Times New Roman"/>
                <w:lang w:val="en-US" w:eastAsia="zh-CN"/>
              </w:rPr>
              <w:t>颗粒物</w:t>
            </w:r>
            <w:r>
              <w:rPr>
                <w:rFonts w:hint="default" w:ascii="Times New Roman" w:hAnsi="Times New Roman" w:cs="Times New Roman"/>
                <w:lang w:val="en-US" w:eastAsia="zh-CN"/>
              </w:rPr>
              <w:t>执行</w:t>
            </w:r>
            <w:r>
              <w:rPr>
                <w:rFonts w:hint="default" w:ascii="Times New Roman" w:hAnsi="Times New Roman" w:cs="Times New Roman"/>
                <w:color w:val="auto"/>
                <w:sz w:val="24"/>
              </w:rPr>
              <w:t>《砖瓦工业大气污染物排放标准》（GB29620-2013）表</w:t>
            </w:r>
            <w:r>
              <w:rPr>
                <w:rFonts w:hint="default" w:ascii="Times New Roman" w:hAnsi="Times New Roman" w:cs="Times New Roman"/>
                <w:color w:val="auto"/>
                <w:sz w:val="24"/>
                <w:lang w:val="en-US" w:eastAsia="zh-CN"/>
              </w:rPr>
              <w:t>3</w:t>
            </w:r>
            <w:r>
              <w:rPr>
                <w:rFonts w:hint="default" w:ascii="Times New Roman" w:hAnsi="Times New Roman" w:cs="Times New Roman"/>
                <w:color w:val="auto"/>
                <w:sz w:val="24"/>
              </w:rPr>
              <w:t>中排放限值要求</w:t>
            </w:r>
            <w:r>
              <w:rPr>
                <w:rFonts w:hint="eastAsia" w:cs="Times New Roman"/>
                <w:color w:val="auto"/>
                <w:sz w:val="24"/>
                <w:lang w:eastAsia="zh-CN"/>
              </w:rPr>
              <w:t>；</w:t>
            </w:r>
            <w:r>
              <w:rPr>
                <w:rFonts w:hint="eastAsia" w:cs="Times New Roman"/>
                <w:color w:val="auto"/>
                <w:sz w:val="24"/>
                <w:lang w:val="en-US" w:eastAsia="zh-CN"/>
              </w:rPr>
              <w:t>臭气浓度执行《恶臭污染物排放标准》（GB14554-93）表1中排放限值要求</w:t>
            </w:r>
            <w:r>
              <w:rPr>
                <w:rFonts w:hint="default" w:ascii="Times New Roman" w:hAnsi="Times New Roman" w:cs="Times New Roman"/>
                <w:kern w:val="0"/>
                <w:szCs w:val="24"/>
              </w:rPr>
              <w:t>。</w:t>
            </w:r>
            <w:r>
              <w:rPr>
                <w:rFonts w:hint="eastAsia" w:cs="Times New Roman"/>
                <w:kern w:val="0"/>
                <w:szCs w:val="24"/>
                <w:lang w:val="en-US" w:eastAsia="zh-CN"/>
              </w:rPr>
              <w:t>厂区内VOCs执行《挥发性有机物无组织排放控制标准》（GB37822-2019）中附录A中相关限值要求。</w:t>
            </w:r>
          </w:p>
          <w:p w14:paraId="1BC1A161">
            <w:pPr>
              <w:pStyle w:val="11"/>
              <w:keepNext/>
              <w:rPr>
                <w:rFonts w:hint="default" w:ascii="Times New Roman" w:hAnsi="Times New Roman" w:cs="Times New Roman"/>
              </w:rPr>
            </w:pPr>
            <w:r>
              <w:rPr>
                <w:rFonts w:hint="default" w:ascii="Times New Roman" w:hAnsi="Times New Roman" w:cs="Times New Roman"/>
              </w:rPr>
              <w:t>表</w:t>
            </w:r>
            <w:r>
              <w:rPr>
                <w:rFonts w:hint="eastAsia" w:cs="Times New Roman"/>
                <w:lang w:val="en-US" w:eastAsia="zh-CN"/>
              </w:rPr>
              <w:t>3</w:t>
            </w:r>
            <w:r>
              <w:rPr>
                <w:rFonts w:hint="default" w:ascii="Times New Roman" w:hAnsi="Times New Roman" w:cs="Times New Roman"/>
              </w:rPr>
              <w:noBreakHyphen/>
            </w:r>
            <w:r>
              <w:rPr>
                <w:rFonts w:hint="default" w:ascii="Times New Roman" w:hAnsi="Times New Roman" w:cs="Times New Roman"/>
              </w:rPr>
              <w:fldChar w:fldCharType="begin"/>
            </w:r>
            <w:r>
              <w:rPr>
                <w:rFonts w:hint="default" w:ascii="Times New Roman" w:hAnsi="Times New Roman" w:cs="Times New Roman"/>
              </w:rPr>
              <w:instrText xml:space="preserve"> SEQ 表 \* ARABIC \s 1 </w:instrText>
            </w:r>
            <w:r>
              <w:rPr>
                <w:rFonts w:hint="default" w:ascii="Times New Roman" w:hAnsi="Times New Roman" w:cs="Times New Roman"/>
              </w:rPr>
              <w:fldChar w:fldCharType="separate"/>
            </w:r>
            <w:r>
              <w:rPr>
                <w:rFonts w:hint="default" w:ascii="Times New Roman" w:hAnsi="Times New Roman" w:cs="Times New Roman"/>
              </w:rPr>
              <w:t>6</w:t>
            </w:r>
            <w:r>
              <w:rPr>
                <w:rFonts w:hint="default" w:ascii="Times New Roman" w:hAnsi="Times New Roman" w:cs="Times New Roman"/>
              </w:rPr>
              <w:fldChar w:fldCharType="end"/>
            </w:r>
            <w:r>
              <w:rPr>
                <w:rFonts w:hint="default" w:ascii="Times New Roman" w:hAnsi="Times New Roman" w:cs="Times New Roman"/>
              </w:rPr>
              <w:t xml:space="preserve"> 废气污染物排放标准</w:t>
            </w:r>
          </w:p>
          <w:tbl>
            <w:tblPr>
              <w:tblStyle w:val="26"/>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824"/>
              <w:gridCol w:w="1030"/>
              <w:gridCol w:w="945"/>
              <w:gridCol w:w="2255"/>
              <w:gridCol w:w="1620"/>
              <w:gridCol w:w="2714"/>
            </w:tblGrid>
            <w:tr w14:paraId="1B125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7" w:hRule="atLeast"/>
                <w:jc w:val="center"/>
              </w:trPr>
              <w:tc>
                <w:tcPr>
                  <w:tcW w:w="439" w:type="pct"/>
                  <w:vAlign w:val="center"/>
                </w:tcPr>
                <w:p w14:paraId="297DD07F">
                  <w:pPr>
                    <w:pStyle w:val="45"/>
                    <w:rPr>
                      <w:rFonts w:hint="eastAsia" w:ascii="Times New Roman" w:hAnsi="Times New Roman" w:eastAsia="宋体" w:cs="Times New Roman"/>
                      <w:lang w:val="en-US" w:eastAsia="zh-CN"/>
                    </w:rPr>
                  </w:pPr>
                  <w:r>
                    <w:rPr>
                      <w:rFonts w:hint="eastAsia" w:ascii="Times New Roman" w:hAnsi="Times New Roman" w:cs="Times New Roman"/>
                      <w:lang w:val="en-US" w:eastAsia="zh-CN"/>
                    </w:rPr>
                    <w:t>排气筒</w:t>
                  </w:r>
                </w:p>
              </w:tc>
              <w:tc>
                <w:tcPr>
                  <w:tcW w:w="548" w:type="pct"/>
                  <w:vAlign w:val="center"/>
                </w:tcPr>
                <w:p w14:paraId="3EC62AB2">
                  <w:pPr>
                    <w:pStyle w:val="45"/>
                    <w:rPr>
                      <w:rFonts w:hint="default" w:ascii="Times New Roman" w:hAnsi="Times New Roman" w:cs="Times New Roman"/>
                    </w:rPr>
                  </w:pPr>
                  <w:r>
                    <w:rPr>
                      <w:rFonts w:hint="default" w:ascii="Times New Roman" w:hAnsi="Times New Roman" w:cs="Times New Roman"/>
                    </w:rPr>
                    <w:t>污染物名称</w:t>
                  </w:r>
                </w:p>
              </w:tc>
              <w:tc>
                <w:tcPr>
                  <w:tcW w:w="503" w:type="pct"/>
                  <w:vAlign w:val="center"/>
                </w:tcPr>
                <w:p w14:paraId="19C2B8AB">
                  <w:pPr>
                    <w:pStyle w:val="45"/>
                    <w:rPr>
                      <w:rFonts w:hint="default" w:ascii="Times New Roman" w:hAnsi="Times New Roman" w:eastAsia="宋体" w:cs="Times New Roman"/>
                      <w:lang w:val="en-US" w:eastAsia="zh-CN"/>
                    </w:rPr>
                  </w:pPr>
                  <w:r>
                    <w:rPr>
                      <w:rFonts w:hint="eastAsia" w:cs="Times New Roman"/>
                      <w:lang w:val="en-US" w:eastAsia="zh-CN"/>
                    </w:rPr>
                    <w:t>排气筒高度（m）</w:t>
                  </w:r>
                </w:p>
              </w:tc>
              <w:tc>
                <w:tcPr>
                  <w:tcW w:w="1200" w:type="pct"/>
                  <w:vAlign w:val="center"/>
                </w:tcPr>
                <w:p w14:paraId="5360C1E9">
                  <w:pPr>
                    <w:pStyle w:val="45"/>
                    <w:rPr>
                      <w:rFonts w:hint="default" w:ascii="Times New Roman" w:hAnsi="Times New Roman" w:cs="Times New Roman"/>
                    </w:rPr>
                  </w:pPr>
                  <w:r>
                    <w:rPr>
                      <w:rFonts w:hint="default" w:ascii="Times New Roman" w:hAnsi="Times New Roman" w:cs="Times New Roman"/>
                    </w:rPr>
                    <w:t>最高允许排放浓度</w:t>
                  </w:r>
                </w:p>
                <w:p w14:paraId="75E3D0C7">
                  <w:pPr>
                    <w:pStyle w:val="45"/>
                    <w:rPr>
                      <w:rFonts w:hint="default" w:ascii="Times New Roman" w:hAnsi="Times New Roman" w:cs="Times New Roman"/>
                    </w:rPr>
                  </w:pPr>
                  <w:r>
                    <w:rPr>
                      <w:rFonts w:hint="default" w:ascii="Times New Roman" w:hAnsi="Times New Roman" w:cs="Times New Roman"/>
                      <w:bCs/>
                    </w:rPr>
                    <w:t>（mg/m</w:t>
                  </w:r>
                  <w:r>
                    <w:rPr>
                      <w:rFonts w:hint="default" w:ascii="Times New Roman" w:hAnsi="Times New Roman" w:cs="Times New Roman"/>
                      <w:bCs/>
                      <w:vertAlign w:val="superscript"/>
                    </w:rPr>
                    <w:t>3</w:t>
                  </w:r>
                  <w:r>
                    <w:rPr>
                      <w:rFonts w:hint="default" w:ascii="Times New Roman" w:hAnsi="Times New Roman" w:cs="Times New Roman"/>
                      <w:bCs/>
                    </w:rPr>
                    <w:t>）</w:t>
                  </w:r>
                </w:p>
              </w:tc>
              <w:tc>
                <w:tcPr>
                  <w:tcW w:w="862" w:type="pct"/>
                  <w:vAlign w:val="center"/>
                </w:tcPr>
                <w:p w14:paraId="3FCD5C47">
                  <w:pPr>
                    <w:pStyle w:val="45"/>
                    <w:rPr>
                      <w:rFonts w:hint="default" w:ascii="Times New Roman" w:hAnsi="Times New Roman" w:cs="Times New Roman"/>
                      <w:bCs/>
                      <w:caps/>
                    </w:rPr>
                  </w:pPr>
                  <w:r>
                    <w:rPr>
                      <w:rFonts w:hint="default" w:ascii="Times New Roman" w:hAnsi="Times New Roman" w:cs="Times New Roman"/>
                      <w:bCs/>
                      <w:caps/>
                    </w:rPr>
                    <w:t>无组织排放浓度</w:t>
                  </w:r>
                </w:p>
                <w:p w14:paraId="4459DE8B">
                  <w:pPr>
                    <w:pStyle w:val="45"/>
                    <w:rPr>
                      <w:rFonts w:hint="default" w:ascii="Times New Roman" w:hAnsi="Times New Roman" w:cs="Times New Roman"/>
                    </w:rPr>
                  </w:pPr>
                  <w:r>
                    <w:rPr>
                      <w:rFonts w:hint="default" w:ascii="Times New Roman" w:hAnsi="Times New Roman" w:cs="Times New Roman"/>
                      <w:bCs/>
                    </w:rPr>
                    <w:t>（mg/m</w:t>
                  </w:r>
                  <w:r>
                    <w:rPr>
                      <w:rFonts w:hint="default" w:ascii="Times New Roman" w:hAnsi="Times New Roman" w:cs="Times New Roman"/>
                      <w:bCs/>
                      <w:vertAlign w:val="superscript"/>
                    </w:rPr>
                    <w:t>3</w:t>
                  </w:r>
                  <w:r>
                    <w:rPr>
                      <w:rFonts w:hint="default" w:ascii="Times New Roman" w:hAnsi="Times New Roman" w:cs="Times New Roman"/>
                      <w:bCs/>
                    </w:rPr>
                    <w:t>）</w:t>
                  </w:r>
                </w:p>
              </w:tc>
              <w:tc>
                <w:tcPr>
                  <w:tcW w:w="1444" w:type="pct"/>
                  <w:vAlign w:val="center"/>
                </w:tcPr>
                <w:p w14:paraId="46BB50AA">
                  <w:pPr>
                    <w:pStyle w:val="45"/>
                    <w:rPr>
                      <w:rFonts w:hint="default" w:ascii="Times New Roman" w:hAnsi="Times New Roman" w:cs="Times New Roman"/>
                    </w:rPr>
                  </w:pPr>
                  <w:r>
                    <w:rPr>
                      <w:rFonts w:hint="default" w:ascii="Times New Roman" w:hAnsi="Times New Roman" w:cs="Times New Roman"/>
                    </w:rPr>
                    <w:t>排放标准</w:t>
                  </w:r>
                </w:p>
              </w:tc>
            </w:tr>
            <w:tr w14:paraId="26A46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7" w:hRule="atLeast"/>
                <w:jc w:val="center"/>
              </w:trPr>
              <w:tc>
                <w:tcPr>
                  <w:tcW w:w="439" w:type="pct"/>
                  <w:vMerge w:val="restart"/>
                  <w:vAlign w:val="center"/>
                </w:tcPr>
                <w:p w14:paraId="172ADD46">
                  <w:pPr>
                    <w:pStyle w:val="12"/>
                    <w:rPr>
                      <w:rFonts w:hint="default" w:ascii="Times New Roman" w:hAnsi="Times New Roman" w:eastAsia="宋体" w:cs="Times New Roman"/>
                      <w:lang w:val="en-US" w:eastAsia="zh-CN"/>
                    </w:rPr>
                  </w:pPr>
                  <w:r>
                    <w:rPr>
                      <w:rFonts w:hint="eastAsia" w:ascii="Times New Roman" w:hAnsi="Times New Roman" w:cs="Times New Roman"/>
                      <w:lang w:val="en-US" w:eastAsia="zh-CN"/>
                    </w:rPr>
                    <w:t>DA001</w:t>
                  </w:r>
                </w:p>
              </w:tc>
              <w:tc>
                <w:tcPr>
                  <w:tcW w:w="548" w:type="pct"/>
                  <w:vAlign w:val="center"/>
                </w:tcPr>
                <w:p w14:paraId="11BA02D3">
                  <w:pPr>
                    <w:pStyle w:val="12"/>
                    <w:rPr>
                      <w:rFonts w:hint="default" w:ascii="Times New Roman" w:hAnsi="Times New Roman" w:cs="Times New Roman"/>
                    </w:rPr>
                  </w:pPr>
                  <w:r>
                    <w:rPr>
                      <w:rFonts w:hint="default" w:ascii="Times New Roman" w:hAnsi="Times New Roman" w:cs="Times New Roman"/>
                    </w:rPr>
                    <w:t>颗粒物</w:t>
                  </w:r>
                </w:p>
              </w:tc>
              <w:tc>
                <w:tcPr>
                  <w:tcW w:w="503" w:type="pct"/>
                  <w:vMerge w:val="restart"/>
                  <w:vAlign w:val="center"/>
                </w:tcPr>
                <w:p w14:paraId="12E04165">
                  <w:pPr>
                    <w:pStyle w:val="12"/>
                    <w:ind w:firstLine="0" w:firstLineChars="0"/>
                    <w:rPr>
                      <w:rFonts w:hint="default" w:ascii="Times New Roman" w:hAnsi="Times New Roman" w:eastAsia="宋体" w:cs="Times New Roman"/>
                      <w:lang w:val="en-US" w:eastAsia="zh-CN"/>
                    </w:rPr>
                  </w:pPr>
                  <w:r>
                    <w:rPr>
                      <w:rFonts w:hint="eastAsia" w:cs="Times New Roman"/>
                      <w:lang w:val="en-US" w:eastAsia="zh-CN"/>
                    </w:rPr>
                    <w:t>25</w:t>
                  </w:r>
                </w:p>
              </w:tc>
              <w:tc>
                <w:tcPr>
                  <w:tcW w:w="1200" w:type="pct"/>
                  <w:vAlign w:val="center"/>
                </w:tcPr>
                <w:p w14:paraId="4D8F009F">
                  <w:pPr>
                    <w:pStyle w:val="12"/>
                    <w:rPr>
                      <w:rFonts w:hint="default" w:ascii="Times New Roman" w:hAnsi="Times New Roman" w:eastAsia="宋体" w:cs="Times New Roman"/>
                      <w:lang w:val="en-US" w:eastAsia="zh-CN"/>
                    </w:rPr>
                  </w:pPr>
                  <w:r>
                    <w:rPr>
                      <w:rFonts w:hint="eastAsia" w:ascii="Times New Roman" w:hAnsi="Times New Roman" w:cs="Times New Roman"/>
                      <w:lang w:val="en-US" w:eastAsia="zh-CN"/>
                    </w:rPr>
                    <w:t>200</w:t>
                  </w:r>
                </w:p>
              </w:tc>
              <w:tc>
                <w:tcPr>
                  <w:tcW w:w="862" w:type="pct"/>
                  <w:vAlign w:val="center"/>
                </w:tcPr>
                <w:p w14:paraId="0217B58C">
                  <w:pPr>
                    <w:pStyle w:val="12"/>
                    <w:rPr>
                      <w:rFonts w:hint="default" w:ascii="Times New Roman" w:hAnsi="Times New Roman" w:cs="Times New Roman"/>
                    </w:rPr>
                  </w:pPr>
                  <w:r>
                    <w:rPr>
                      <w:rFonts w:hint="eastAsia" w:ascii="Times New Roman" w:hAnsi="Times New Roman" w:cs="Times New Roman"/>
                      <w:lang w:val="en-US" w:eastAsia="zh-CN"/>
                    </w:rPr>
                    <w:t>/</w:t>
                  </w:r>
                </w:p>
              </w:tc>
              <w:tc>
                <w:tcPr>
                  <w:tcW w:w="1444" w:type="pct"/>
                  <w:vMerge w:val="restart"/>
                  <w:vAlign w:val="center"/>
                </w:tcPr>
                <w:p w14:paraId="629C70E8">
                  <w:pPr>
                    <w:pStyle w:val="12"/>
                    <w:rPr>
                      <w:rFonts w:hint="default" w:ascii="Times New Roman" w:hAnsi="Times New Roman" w:eastAsia="宋体" w:cs="Times New Roman"/>
                    </w:rPr>
                  </w:pPr>
                  <w:r>
                    <w:rPr>
                      <w:rFonts w:hint="eastAsia" w:ascii="Times New Roman" w:hAnsi="Times New Roman" w:eastAsia="宋体" w:cs="Times New Roman"/>
                      <w:lang w:val="en-US" w:eastAsia="zh-CN"/>
                    </w:rPr>
                    <w:t>《工业炉窑大气污染物排放标准》（G9078-1996）</w:t>
                  </w:r>
                </w:p>
              </w:tc>
            </w:tr>
            <w:tr w14:paraId="3CEB9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7" w:hRule="atLeast"/>
                <w:jc w:val="center"/>
              </w:trPr>
              <w:tc>
                <w:tcPr>
                  <w:tcW w:w="439" w:type="pct"/>
                  <w:vMerge w:val="continue"/>
                  <w:vAlign w:val="center"/>
                </w:tcPr>
                <w:p w14:paraId="41DAF654">
                  <w:pPr>
                    <w:pStyle w:val="12"/>
                    <w:rPr>
                      <w:rFonts w:hint="default" w:ascii="Times New Roman" w:hAnsi="Times New Roman" w:cs="Times New Roman"/>
                    </w:rPr>
                  </w:pPr>
                </w:p>
              </w:tc>
              <w:tc>
                <w:tcPr>
                  <w:tcW w:w="548" w:type="pct"/>
                  <w:vAlign w:val="center"/>
                </w:tcPr>
                <w:p w14:paraId="31D3FBA1">
                  <w:pPr>
                    <w:pStyle w:val="12"/>
                    <w:rPr>
                      <w:rFonts w:hint="eastAsia" w:ascii="Times New Roman" w:hAnsi="Times New Roman" w:eastAsia="宋体" w:cs="Times New Roman"/>
                      <w:lang w:eastAsia="zh-CN"/>
                    </w:rPr>
                  </w:pPr>
                  <w:r>
                    <w:rPr>
                      <w:rFonts w:hint="eastAsia" w:ascii="Times New Roman" w:hAnsi="Times New Roman" w:cs="Times New Roman"/>
                      <w:lang w:val="en-US" w:eastAsia="zh-CN"/>
                    </w:rPr>
                    <w:t>氟化物</w:t>
                  </w:r>
                </w:p>
              </w:tc>
              <w:tc>
                <w:tcPr>
                  <w:tcW w:w="503" w:type="pct"/>
                  <w:vMerge w:val="continue"/>
                  <w:vAlign w:val="center"/>
                </w:tcPr>
                <w:p w14:paraId="57281DE3">
                  <w:pPr>
                    <w:pStyle w:val="12"/>
                    <w:rPr>
                      <w:rFonts w:hint="default" w:ascii="Times New Roman" w:hAnsi="Times New Roman" w:cs="Times New Roman"/>
                      <w:lang w:val="en-US" w:eastAsia="zh-CN"/>
                    </w:rPr>
                  </w:pPr>
                </w:p>
              </w:tc>
              <w:tc>
                <w:tcPr>
                  <w:tcW w:w="1200" w:type="pct"/>
                  <w:vAlign w:val="center"/>
                </w:tcPr>
                <w:p w14:paraId="5A2F6401">
                  <w:pPr>
                    <w:pStyle w:val="12"/>
                    <w:rPr>
                      <w:rFonts w:hint="eastAsia" w:ascii="Times New Roman" w:hAnsi="Times New Roman" w:eastAsia="宋体" w:cs="Times New Roman"/>
                      <w:lang w:val="en-US" w:eastAsia="zh-CN"/>
                    </w:rPr>
                  </w:pPr>
                  <w:r>
                    <w:rPr>
                      <w:rFonts w:hint="eastAsia" w:ascii="Times New Roman" w:hAnsi="Times New Roman" w:cs="Times New Roman"/>
                      <w:lang w:val="en-US" w:eastAsia="zh-CN"/>
                    </w:rPr>
                    <w:t>6</w:t>
                  </w:r>
                </w:p>
              </w:tc>
              <w:tc>
                <w:tcPr>
                  <w:tcW w:w="862" w:type="pct"/>
                  <w:vAlign w:val="center"/>
                </w:tcPr>
                <w:p w14:paraId="671C6210">
                  <w:pPr>
                    <w:pStyle w:val="12"/>
                    <w:rPr>
                      <w:rFonts w:hint="default" w:ascii="Times New Roman" w:hAnsi="Times New Roman" w:eastAsia="宋体" w:cs="Times New Roman"/>
                      <w:lang w:val="en-US" w:eastAsia="zh-CN"/>
                    </w:rPr>
                  </w:pPr>
                  <w:r>
                    <w:rPr>
                      <w:rFonts w:hint="eastAsia" w:ascii="Times New Roman" w:hAnsi="Times New Roman" w:cs="Times New Roman"/>
                      <w:lang w:val="en-US" w:eastAsia="zh-CN"/>
                    </w:rPr>
                    <w:t>/</w:t>
                  </w:r>
                </w:p>
              </w:tc>
              <w:tc>
                <w:tcPr>
                  <w:tcW w:w="1444" w:type="pct"/>
                  <w:vMerge w:val="continue"/>
                  <w:vAlign w:val="center"/>
                </w:tcPr>
                <w:p w14:paraId="46EAE8A3">
                  <w:pPr>
                    <w:pStyle w:val="12"/>
                    <w:rPr>
                      <w:rFonts w:hint="default" w:ascii="Times New Roman" w:hAnsi="Times New Roman" w:eastAsia="宋体" w:cs="Times New Roman"/>
                    </w:rPr>
                  </w:pPr>
                </w:p>
              </w:tc>
            </w:tr>
            <w:tr w14:paraId="4E0FD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7" w:hRule="atLeast"/>
                <w:jc w:val="center"/>
              </w:trPr>
              <w:tc>
                <w:tcPr>
                  <w:tcW w:w="439" w:type="pct"/>
                  <w:vMerge w:val="continue"/>
                  <w:vAlign w:val="center"/>
                </w:tcPr>
                <w:p w14:paraId="14B30321">
                  <w:pPr>
                    <w:pStyle w:val="12"/>
                    <w:rPr>
                      <w:rFonts w:hint="default" w:ascii="Times New Roman" w:hAnsi="Times New Roman" w:cs="Times New Roman"/>
                    </w:rPr>
                  </w:pPr>
                </w:p>
              </w:tc>
              <w:tc>
                <w:tcPr>
                  <w:tcW w:w="548" w:type="pct"/>
                  <w:vAlign w:val="center"/>
                </w:tcPr>
                <w:p w14:paraId="4964139E">
                  <w:pPr>
                    <w:pStyle w:val="12"/>
                    <w:ind w:firstLine="0" w:firstLineChars="0"/>
                    <w:rPr>
                      <w:rFonts w:hint="default" w:ascii="Times New Roman" w:hAnsi="Times New Roman" w:cs="Times New Roman"/>
                    </w:rPr>
                  </w:pPr>
                  <w:r>
                    <w:rPr>
                      <w:rFonts w:hint="default" w:ascii="Times New Roman" w:hAnsi="Times New Roman" w:cs="Times New Roman"/>
                    </w:rPr>
                    <w:t>二氧化硫</w:t>
                  </w:r>
                </w:p>
              </w:tc>
              <w:tc>
                <w:tcPr>
                  <w:tcW w:w="503" w:type="pct"/>
                  <w:vMerge w:val="continue"/>
                  <w:vAlign w:val="center"/>
                </w:tcPr>
                <w:p w14:paraId="77E87EBB">
                  <w:pPr>
                    <w:pStyle w:val="12"/>
                    <w:ind w:firstLine="0" w:firstLineChars="0"/>
                    <w:rPr>
                      <w:rFonts w:hint="default" w:ascii="Times New Roman" w:hAnsi="Times New Roman" w:eastAsia="宋体" w:cs="Times New Roman"/>
                      <w:lang w:val="en-US" w:eastAsia="zh-CN"/>
                    </w:rPr>
                  </w:pPr>
                </w:p>
              </w:tc>
              <w:tc>
                <w:tcPr>
                  <w:tcW w:w="1200" w:type="pct"/>
                  <w:vAlign w:val="center"/>
                </w:tcPr>
                <w:p w14:paraId="10CB59AC">
                  <w:pPr>
                    <w:pStyle w:val="12"/>
                    <w:rPr>
                      <w:rFonts w:hint="default" w:ascii="Times New Roman" w:hAnsi="Times New Roman" w:eastAsia="宋体" w:cs="Times New Roman"/>
                      <w:lang w:val="en-US" w:eastAsia="zh-CN"/>
                    </w:rPr>
                  </w:pPr>
                  <w:r>
                    <w:rPr>
                      <w:rFonts w:hint="eastAsia" w:cs="Times New Roman"/>
                      <w:lang w:val="en-US" w:eastAsia="zh-CN"/>
                    </w:rPr>
                    <w:t>200</w:t>
                  </w:r>
                </w:p>
              </w:tc>
              <w:tc>
                <w:tcPr>
                  <w:tcW w:w="862" w:type="pct"/>
                  <w:vAlign w:val="center"/>
                </w:tcPr>
                <w:p w14:paraId="643BE177">
                  <w:pPr>
                    <w:pStyle w:val="12"/>
                    <w:rPr>
                      <w:rFonts w:hint="default" w:ascii="Times New Roman" w:hAnsi="Times New Roman" w:eastAsia="宋体" w:cs="Times New Roman"/>
                      <w:lang w:val="en-US" w:eastAsia="zh-CN"/>
                    </w:rPr>
                  </w:pPr>
                  <w:r>
                    <w:rPr>
                      <w:rFonts w:hint="eastAsia" w:cs="Times New Roman"/>
                      <w:lang w:val="en-US" w:eastAsia="zh-CN"/>
                    </w:rPr>
                    <w:t>/</w:t>
                  </w:r>
                </w:p>
              </w:tc>
              <w:tc>
                <w:tcPr>
                  <w:tcW w:w="1444" w:type="pct"/>
                  <w:vMerge w:val="restart"/>
                  <w:vAlign w:val="center"/>
                </w:tcPr>
                <w:p w14:paraId="68458518">
                  <w:pPr>
                    <w:pStyle w:val="12"/>
                    <w:rPr>
                      <w:rFonts w:hint="eastAsia" w:ascii="Times New Roman" w:hAnsi="Times New Roman" w:eastAsia="宋体" w:cs="Times New Roman"/>
                      <w:lang w:eastAsia="zh-CN"/>
                    </w:rPr>
                  </w:pPr>
                  <w:r>
                    <w:rPr>
                      <w:rFonts w:hint="eastAsia" w:cs="Times New Roman"/>
                      <w:lang w:eastAsia="zh-CN"/>
                    </w:rPr>
                    <w:t>《关于印发&lt;工业炉窑大气污染综合治理方案&gt;的通知》（环大气〔2019〕56号）</w:t>
                  </w:r>
                </w:p>
              </w:tc>
            </w:tr>
            <w:tr w14:paraId="35E57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7" w:hRule="atLeast"/>
                <w:jc w:val="center"/>
              </w:trPr>
              <w:tc>
                <w:tcPr>
                  <w:tcW w:w="439" w:type="pct"/>
                  <w:vMerge w:val="continue"/>
                  <w:vAlign w:val="center"/>
                </w:tcPr>
                <w:p w14:paraId="2AFD90A8">
                  <w:pPr>
                    <w:pStyle w:val="12"/>
                    <w:rPr>
                      <w:rFonts w:hint="default" w:ascii="Times New Roman" w:hAnsi="Times New Roman" w:cs="Times New Roman"/>
                    </w:rPr>
                  </w:pPr>
                </w:p>
              </w:tc>
              <w:tc>
                <w:tcPr>
                  <w:tcW w:w="548" w:type="pct"/>
                  <w:vAlign w:val="center"/>
                </w:tcPr>
                <w:p w14:paraId="74D3F7EB">
                  <w:pPr>
                    <w:pStyle w:val="12"/>
                    <w:ind w:firstLine="0" w:firstLineChars="0"/>
                    <w:rPr>
                      <w:rFonts w:hint="default" w:ascii="Times New Roman" w:hAnsi="Times New Roman" w:eastAsia="宋体" w:cs="Times New Roman"/>
                      <w:color w:val="00B050"/>
                      <w:lang w:val="en-US" w:eastAsia="zh-CN"/>
                    </w:rPr>
                  </w:pPr>
                  <w:r>
                    <w:rPr>
                      <w:rFonts w:hint="default" w:ascii="Times New Roman" w:hAnsi="Times New Roman" w:cs="Times New Roman"/>
                    </w:rPr>
                    <w:t>氮氧化物</w:t>
                  </w:r>
                </w:p>
              </w:tc>
              <w:tc>
                <w:tcPr>
                  <w:tcW w:w="503" w:type="pct"/>
                  <w:vMerge w:val="continue"/>
                  <w:vAlign w:val="center"/>
                </w:tcPr>
                <w:p w14:paraId="0D74080A">
                  <w:pPr>
                    <w:pStyle w:val="12"/>
                    <w:ind w:firstLine="0" w:firstLineChars="0"/>
                    <w:rPr>
                      <w:rFonts w:hint="eastAsia" w:ascii="Times New Roman" w:hAnsi="Times New Roman" w:eastAsia="宋体" w:cs="Times New Roman"/>
                      <w:lang w:val="en-US" w:eastAsia="zh-CN"/>
                    </w:rPr>
                  </w:pPr>
                </w:p>
              </w:tc>
              <w:tc>
                <w:tcPr>
                  <w:tcW w:w="1200" w:type="pct"/>
                  <w:vAlign w:val="center"/>
                </w:tcPr>
                <w:p w14:paraId="25C97571">
                  <w:pPr>
                    <w:pStyle w:val="12"/>
                    <w:rPr>
                      <w:rFonts w:hint="default" w:ascii="Times New Roman" w:hAnsi="Times New Roman" w:eastAsia="宋体" w:cs="Times New Roman"/>
                      <w:lang w:val="en-US" w:eastAsia="zh-CN"/>
                    </w:rPr>
                  </w:pPr>
                  <w:r>
                    <w:rPr>
                      <w:rFonts w:hint="eastAsia" w:cs="Times New Roman"/>
                      <w:lang w:val="en-US" w:eastAsia="zh-CN"/>
                    </w:rPr>
                    <w:t>300</w:t>
                  </w:r>
                </w:p>
              </w:tc>
              <w:tc>
                <w:tcPr>
                  <w:tcW w:w="862" w:type="pct"/>
                  <w:vAlign w:val="center"/>
                </w:tcPr>
                <w:p w14:paraId="3CAB4193">
                  <w:pPr>
                    <w:pStyle w:val="12"/>
                    <w:rPr>
                      <w:rFonts w:hint="default" w:ascii="Times New Roman" w:hAnsi="Times New Roman" w:eastAsia="宋体" w:cs="Times New Roman"/>
                      <w:lang w:val="en-US" w:eastAsia="zh-CN"/>
                    </w:rPr>
                  </w:pPr>
                  <w:r>
                    <w:rPr>
                      <w:rFonts w:hint="eastAsia" w:cs="Times New Roman"/>
                      <w:lang w:val="en-US" w:eastAsia="zh-CN"/>
                    </w:rPr>
                    <w:t>/</w:t>
                  </w:r>
                </w:p>
              </w:tc>
              <w:tc>
                <w:tcPr>
                  <w:tcW w:w="1444" w:type="pct"/>
                  <w:vMerge w:val="continue"/>
                  <w:vAlign w:val="center"/>
                </w:tcPr>
                <w:p w14:paraId="10FF86DC">
                  <w:pPr>
                    <w:pStyle w:val="12"/>
                    <w:rPr>
                      <w:rFonts w:hint="default" w:ascii="Times New Roman" w:hAnsi="Times New Roman" w:cs="Times New Roman"/>
                    </w:rPr>
                  </w:pPr>
                </w:p>
              </w:tc>
            </w:tr>
            <w:tr w14:paraId="73C49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7" w:hRule="atLeast"/>
                <w:jc w:val="center"/>
              </w:trPr>
              <w:tc>
                <w:tcPr>
                  <w:tcW w:w="439" w:type="pct"/>
                  <w:vMerge w:val="continue"/>
                  <w:vAlign w:val="center"/>
                </w:tcPr>
                <w:p w14:paraId="47ADD5D0">
                  <w:pPr>
                    <w:pStyle w:val="12"/>
                    <w:rPr>
                      <w:rFonts w:hint="default" w:ascii="Times New Roman" w:hAnsi="Times New Roman" w:cs="Times New Roman"/>
                    </w:rPr>
                  </w:pPr>
                </w:p>
              </w:tc>
              <w:tc>
                <w:tcPr>
                  <w:tcW w:w="548" w:type="pct"/>
                  <w:vAlign w:val="center"/>
                </w:tcPr>
                <w:p w14:paraId="33861999">
                  <w:pPr>
                    <w:pStyle w:val="12"/>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二噁英</w:t>
                  </w:r>
                </w:p>
              </w:tc>
              <w:tc>
                <w:tcPr>
                  <w:tcW w:w="503" w:type="pct"/>
                  <w:vMerge w:val="continue"/>
                  <w:vAlign w:val="center"/>
                </w:tcPr>
                <w:p w14:paraId="0C847C84">
                  <w:pPr>
                    <w:pStyle w:val="12"/>
                    <w:rPr>
                      <w:rFonts w:hint="eastAsia" w:ascii="Times New Roman" w:hAnsi="Times New Roman" w:eastAsia="宋体" w:cs="Times New Roman"/>
                      <w:lang w:val="en-US" w:eastAsia="zh-CN"/>
                    </w:rPr>
                  </w:pPr>
                </w:p>
              </w:tc>
              <w:tc>
                <w:tcPr>
                  <w:tcW w:w="1200" w:type="pct"/>
                  <w:vAlign w:val="center"/>
                </w:tcPr>
                <w:p w14:paraId="36332D24">
                  <w:pPr>
                    <w:pStyle w:val="12"/>
                    <w:rPr>
                      <w:rFonts w:hint="default" w:ascii="Times New Roman" w:hAnsi="Times New Roman" w:cs="Times New Roman"/>
                    </w:rPr>
                  </w:pPr>
                  <w:r>
                    <w:rPr>
                      <w:color w:val="auto"/>
                      <w:szCs w:val="21"/>
                    </w:rPr>
                    <w:t>0.</w:t>
                  </w:r>
                  <w:r>
                    <w:rPr>
                      <w:rFonts w:hint="eastAsia"/>
                      <w:color w:val="auto"/>
                      <w:szCs w:val="21"/>
                      <w:lang w:val="en-US" w:eastAsia="zh-CN"/>
                    </w:rPr>
                    <w:t>5</w:t>
                  </w:r>
                  <w:r>
                    <w:rPr>
                      <w:color w:val="auto"/>
                      <w:szCs w:val="21"/>
                    </w:rPr>
                    <w:t>ngTEQ/m</w:t>
                  </w:r>
                  <w:r>
                    <w:rPr>
                      <w:color w:val="auto"/>
                      <w:szCs w:val="21"/>
                      <w:vertAlign w:val="superscript"/>
                    </w:rPr>
                    <w:t>3</w:t>
                  </w:r>
                </w:p>
              </w:tc>
              <w:tc>
                <w:tcPr>
                  <w:tcW w:w="862" w:type="pct"/>
                  <w:vAlign w:val="center"/>
                </w:tcPr>
                <w:p w14:paraId="217BE0FD">
                  <w:pPr>
                    <w:pStyle w:val="12"/>
                    <w:rPr>
                      <w:rFonts w:hint="eastAsia" w:ascii="Times New Roman" w:hAnsi="Times New Roman" w:eastAsia="宋体" w:cs="Times New Roman"/>
                      <w:lang w:val="en-US" w:eastAsia="zh-CN"/>
                    </w:rPr>
                  </w:pPr>
                  <w:r>
                    <w:rPr>
                      <w:rFonts w:hint="eastAsia" w:ascii="Times New Roman" w:hAnsi="Times New Roman" w:cs="Times New Roman"/>
                      <w:lang w:val="en-US" w:eastAsia="zh-CN"/>
                    </w:rPr>
                    <w:t>/</w:t>
                  </w:r>
                </w:p>
              </w:tc>
              <w:tc>
                <w:tcPr>
                  <w:tcW w:w="1444" w:type="pct"/>
                  <w:vAlign w:val="center"/>
                </w:tcPr>
                <w:p w14:paraId="5D137F03">
                  <w:pPr>
                    <w:pStyle w:val="12"/>
                    <w:rPr>
                      <w:rFonts w:hint="eastAsia" w:ascii="Times New Roman" w:hAnsi="Times New Roman" w:eastAsia="宋体" w:cs="Times New Roman"/>
                      <w:lang w:eastAsia="zh-CN"/>
                    </w:rPr>
                  </w:pPr>
                  <w:r>
                    <w:rPr>
                      <w:rFonts w:hint="eastAsia" w:cs="Times New Roman"/>
                      <w:lang w:eastAsia="zh-CN"/>
                    </w:rPr>
                    <w:t>《危险废物焚烧污染控制标准》（GB18484-2020）</w:t>
                  </w:r>
                </w:p>
              </w:tc>
            </w:tr>
            <w:tr w14:paraId="5999A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7" w:hRule="atLeast"/>
                <w:jc w:val="center"/>
              </w:trPr>
              <w:tc>
                <w:tcPr>
                  <w:tcW w:w="439" w:type="pct"/>
                  <w:vMerge w:val="continue"/>
                  <w:vAlign w:val="center"/>
                </w:tcPr>
                <w:p w14:paraId="447036DB">
                  <w:pPr>
                    <w:pStyle w:val="12"/>
                    <w:rPr>
                      <w:rFonts w:hint="default" w:ascii="Times New Roman" w:hAnsi="Times New Roman" w:cs="Times New Roman"/>
                    </w:rPr>
                  </w:pPr>
                </w:p>
              </w:tc>
              <w:tc>
                <w:tcPr>
                  <w:tcW w:w="548" w:type="pct"/>
                  <w:vAlign w:val="center"/>
                </w:tcPr>
                <w:p w14:paraId="6F01C8D5">
                  <w:pPr>
                    <w:pStyle w:val="12"/>
                    <w:rPr>
                      <w:rFonts w:hint="default" w:ascii="Times New Roman" w:hAnsi="Times New Roman" w:eastAsia="宋体" w:cs="Times New Roman"/>
                      <w:lang w:val="en-US" w:eastAsia="zh-CN"/>
                    </w:rPr>
                  </w:pPr>
                  <w:r>
                    <w:rPr>
                      <w:rFonts w:hint="eastAsia" w:cs="Times New Roman"/>
                      <w:lang w:val="en-US" w:eastAsia="zh-CN"/>
                    </w:rPr>
                    <w:t>臭气浓度</w:t>
                  </w:r>
                </w:p>
              </w:tc>
              <w:tc>
                <w:tcPr>
                  <w:tcW w:w="503" w:type="pct"/>
                  <w:vMerge w:val="continue"/>
                  <w:vAlign w:val="center"/>
                </w:tcPr>
                <w:p w14:paraId="7CFE0A78">
                  <w:pPr>
                    <w:pStyle w:val="12"/>
                    <w:rPr>
                      <w:rFonts w:hint="eastAsia" w:cs="Times New Roman"/>
                      <w:lang w:val="en-US" w:eastAsia="zh-CN"/>
                    </w:rPr>
                  </w:pPr>
                </w:p>
              </w:tc>
              <w:tc>
                <w:tcPr>
                  <w:tcW w:w="1200" w:type="pct"/>
                  <w:vAlign w:val="center"/>
                </w:tcPr>
                <w:p w14:paraId="31FA9A46">
                  <w:pPr>
                    <w:pStyle w:val="12"/>
                    <w:rPr>
                      <w:rFonts w:hint="default" w:eastAsia="宋体"/>
                      <w:color w:val="auto"/>
                      <w:szCs w:val="21"/>
                      <w:lang w:val="en-US" w:eastAsia="zh-CN"/>
                    </w:rPr>
                  </w:pPr>
                  <w:r>
                    <w:rPr>
                      <w:rFonts w:hint="eastAsia"/>
                      <w:color w:val="auto"/>
                      <w:szCs w:val="21"/>
                      <w:lang w:val="en-US" w:eastAsia="zh-CN"/>
                    </w:rPr>
                    <w:t>6000（无量纲）</w:t>
                  </w:r>
                </w:p>
              </w:tc>
              <w:tc>
                <w:tcPr>
                  <w:tcW w:w="862" w:type="pct"/>
                  <w:vAlign w:val="center"/>
                </w:tcPr>
                <w:p w14:paraId="6A5F9B2E">
                  <w:pPr>
                    <w:pStyle w:val="12"/>
                    <w:rPr>
                      <w:rFonts w:hint="default" w:ascii="Times New Roman" w:hAnsi="Times New Roman" w:cs="Times New Roman"/>
                      <w:lang w:val="en-US" w:eastAsia="zh-CN"/>
                    </w:rPr>
                  </w:pPr>
                  <w:r>
                    <w:rPr>
                      <w:rFonts w:hint="eastAsia" w:cs="Times New Roman"/>
                      <w:lang w:val="en-US" w:eastAsia="zh-CN"/>
                    </w:rPr>
                    <w:t>20（无量纲）</w:t>
                  </w:r>
                </w:p>
              </w:tc>
              <w:tc>
                <w:tcPr>
                  <w:tcW w:w="1444" w:type="pct"/>
                  <w:vAlign w:val="center"/>
                </w:tcPr>
                <w:p w14:paraId="0E2F1DC8">
                  <w:pPr>
                    <w:pStyle w:val="12"/>
                    <w:rPr>
                      <w:rFonts w:hint="eastAsia" w:cs="Times New Roman"/>
                      <w:lang w:eastAsia="zh-CN"/>
                    </w:rPr>
                  </w:pPr>
                  <w:r>
                    <w:rPr>
                      <w:rFonts w:hint="eastAsia" w:cs="Times New Roman"/>
                      <w:lang w:eastAsia="zh-CN"/>
                    </w:rPr>
                    <w:t>《</w:t>
                  </w:r>
                  <w:r>
                    <w:rPr>
                      <w:rFonts w:hint="eastAsia" w:cs="Times New Roman"/>
                      <w:lang w:val="en-US" w:eastAsia="zh-CN"/>
                    </w:rPr>
                    <w:t>恶臭污染物排放标准</w:t>
                  </w:r>
                  <w:r>
                    <w:rPr>
                      <w:rFonts w:hint="eastAsia" w:cs="Times New Roman"/>
                      <w:lang w:eastAsia="zh-CN"/>
                    </w:rPr>
                    <w:t>》（</w:t>
                  </w:r>
                  <w:r>
                    <w:rPr>
                      <w:rFonts w:hint="eastAsia" w:cs="Times New Roman"/>
                      <w:lang w:val="en-US" w:eastAsia="zh-CN"/>
                    </w:rPr>
                    <w:t>GB14554-93</w:t>
                  </w:r>
                  <w:r>
                    <w:rPr>
                      <w:rFonts w:hint="eastAsia" w:cs="Times New Roman"/>
                      <w:lang w:eastAsia="zh-CN"/>
                    </w:rPr>
                    <w:t>）</w:t>
                  </w:r>
                </w:p>
              </w:tc>
            </w:tr>
            <w:tr w14:paraId="1AA24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7" w:hRule="atLeast"/>
                <w:jc w:val="center"/>
              </w:trPr>
              <w:tc>
                <w:tcPr>
                  <w:tcW w:w="439" w:type="pct"/>
                  <w:vMerge w:val="continue"/>
                  <w:vAlign w:val="center"/>
                </w:tcPr>
                <w:p w14:paraId="08A5799E">
                  <w:pPr>
                    <w:pStyle w:val="12"/>
                    <w:rPr>
                      <w:rFonts w:hint="default" w:ascii="Times New Roman" w:hAnsi="Times New Roman" w:cs="Times New Roman"/>
                    </w:rPr>
                  </w:pPr>
                </w:p>
              </w:tc>
              <w:tc>
                <w:tcPr>
                  <w:tcW w:w="548" w:type="pct"/>
                  <w:vAlign w:val="center"/>
                </w:tcPr>
                <w:p w14:paraId="72672087">
                  <w:pPr>
                    <w:pStyle w:val="12"/>
                    <w:rPr>
                      <w:rFonts w:hint="default" w:cs="Times New Roman"/>
                      <w:lang w:val="en-US" w:eastAsia="zh-CN"/>
                    </w:rPr>
                  </w:pPr>
                  <w:r>
                    <w:rPr>
                      <w:rFonts w:hint="eastAsia" w:cs="Times New Roman"/>
                      <w:lang w:val="en-US" w:eastAsia="zh-CN"/>
                    </w:rPr>
                    <w:t>非甲烷总烃</w:t>
                  </w:r>
                </w:p>
              </w:tc>
              <w:tc>
                <w:tcPr>
                  <w:tcW w:w="503" w:type="pct"/>
                  <w:vMerge w:val="continue"/>
                  <w:vAlign w:val="center"/>
                </w:tcPr>
                <w:p w14:paraId="6C9C6AC5">
                  <w:pPr>
                    <w:pStyle w:val="12"/>
                    <w:rPr>
                      <w:rFonts w:hint="eastAsia" w:cs="Times New Roman"/>
                      <w:lang w:val="en-US" w:eastAsia="zh-CN"/>
                    </w:rPr>
                  </w:pPr>
                </w:p>
              </w:tc>
              <w:tc>
                <w:tcPr>
                  <w:tcW w:w="1200" w:type="pct"/>
                  <w:vAlign w:val="center"/>
                </w:tcPr>
                <w:p w14:paraId="5611614A">
                  <w:pPr>
                    <w:pStyle w:val="12"/>
                    <w:rPr>
                      <w:rFonts w:hint="default"/>
                      <w:color w:val="auto"/>
                      <w:szCs w:val="21"/>
                      <w:lang w:val="en-US" w:eastAsia="zh-CN"/>
                    </w:rPr>
                  </w:pPr>
                  <w:r>
                    <w:rPr>
                      <w:rFonts w:hint="eastAsia"/>
                      <w:color w:val="auto"/>
                      <w:szCs w:val="21"/>
                      <w:lang w:val="en-US" w:eastAsia="zh-CN"/>
                    </w:rPr>
                    <w:t>35kg/h</w:t>
                  </w:r>
                </w:p>
              </w:tc>
              <w:tc>
                <w:tcPr>
                  <w:tcW w:w="862" w:type="pct"/>
                  <w:vAlign w:val="center"/>
                </w:tcPr>
                <w:p w14:paraId="7AB372CF">
                  <w:pPr>
                    <w:pStyle w:val="12"/>
                    <w:rPr>
                      <w:rFonts w:hint="default" w:cs="Times New Roman"/>
                      <w:lang w:val="en-US" w:eastAsia="zh-CN"/>
                    </w:rPr>
                  </w:pPr>
                  <w:r>
                    <w:rPr>
                      <w:rFonts w:hint="eastAsia" w:cs="Times New Roman"/>
                      <w:lang w:val="en-US" w:eastAsia="zh-CN"/>
                    </w:rPr>
                    <w:t>4.0</w:t>
                  </w:r>
                </w:p>
              </w:tc>
              <w:tc>
                <w:tcPr>
                  <w:tcW w:w="1444" w:type="pct"/>
                  <w:vAlign w:val="center"/>
                </w:tcPr>
                <w:p w14:paraId="4A9C4132">
                  <w:pPr>
                    <w:pStyle w:val="12"/>
                    <w:rPr>
                      <w:rFonts w:hint="eastAsia" w:cs="Times New Roman"/>
                      <w:lang w:eastAsia="zh-CN"/>
                    </w:rPr>
                  </w:pPr>
                  <w:r>
                    <w:rPr>
                      <w:rFonts w:hint="eastAsia" w:cs="Times New Roman"/>
                      <w:lang w:eastAsia="zh-CN"/>
                    </w:rPr>
                    <w:t>《</w:t>
                  </w:r>
                  <w:r>
                    <w:rPr>
                      <w:rFonts w:hint="eastAsia" w:cs="Times New Roman"/>
                      <w:lang w:val="en-US" w:eastAsia="zh-CN"/>
                    </w:rPr>
                    <w:t>大气污染物综合排放标准</w:t>
                  </w:r>
                  <w:r>
                    <w:rPr>
                      <w:rFonts w:hint="eastAsia" w:cs="Times New Roman"/>
                      <w:lang w:eastAsia="zh-CN"/>
                    </w:rPr>
                    <w:t>》（</w:t>
                  </w:r>
                  <w:r>
                    <w:rPr>
                      <w:rFonts w:hint="eastAsia" w:cs="Times New Roman"/>
                      <w:lang w:val="en-US" w:eastAsia="zh-CN"/>
                    </w:rPr>
                    <w:t>GB16297-1996</w:t>
                  </w:r>
                  <w:r>
                    <w:rPr>
                      <w:rFonts w:hint="eastAsia" w:cs="Times New Roman"/>
                      <w:lang w:eastAsia="zh-CN"/>
                    </w:rPr>
                    <w:t>）</w:t>
                  </w:r>
                </w:p>
              </w:tc>
            </w:tr>
            <w:tr w14:paraId="1E1B4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7" w:hRule="atLeast"/>
                <w:jc w:val="center"/>
              </w:trPr>
              <w:tc>
                <w:tcPr>
                  <w:tcW w:w="439" w:type="pct"/>
                  <w:vAlign w:val="center"/>
                </w:tcPr>
                <w:p w14:paraId="4C7F15F5">
                  <w:pPr>
                    <w:pStyle w:val="12"/>
                    <w:rPr>
                      <w:rFonts w:hint="default" w:ascii="Times New Roman" w:hAnsi="Times New Roman" w:eastAsia="宋体" w:cs="Times New Roman"/>
                      <w:lang w:val="en-US" w:eastAsia="zh-CN"/>
                    </w:rPr>
                  </w:pPr>
                  <w:r>
                    <w:rPr>
                      <w:rFonts w:hint="eastAsia" w:cs="Times New Roman"/>
                      <w:lang w:val="en-US" w:eastAsia="zh-CN"/>
                    </w:rPr>
                    <w:t>厂界</w:t>
                  </w:r>
                </w:p>
              </w:tc>
              <w:tc>
                <w:tcPr>
                  <w:tcW w:w="548" w:type="pct"/>
                  <w:vAlign w:val="center"/>
                </w:tcPr>
                <w:p w14:paraId="192FB6A7">
                  <w:pPr>
                    <w:pStyle w:val="12"/>
                    <w:rPr>
                      <w:rFonts w:hint="default" w:ascii="Times New Roman" w:hAnsi="Times New Roman" w:eastAsia="宋体" w:cs="Times New Roman"/>
                      <w:lang w:val="en-US" w:eastAsia="zh-CN"/>
                    </w:rPr>
                  </w:pPr>
                  <w:r>
                    <w:rPr>
                      <w:rFonts w:hint="eastAsia" w:ascii="Times New Roman" w:hAnsi="Times New Roman" w:cs="Times New Roman"/>
                      <w:lang w:val="en-US" w:eastAsia="zh-CN"/>
                    </w:rPr>
                    <w:t>颗粒物</w:t>
                  </w:r>
                </w:p>
              </w:tc>
              <w:tc>
                <w:tcPr>
                  <w:tcW w:w="503" w:type="pct"/>
                  <w:vAlign w:val="center"/>
                </w:tcPr>
                <w:p w14:paraId="4AB2B2E5">
                  <w:pPr>
                    <w:pStyle w:val="12"/>
                    <w:rPr>
                      <w:rFonts w:hint="default" w:ascii="Times New Roman" w:hAnsi="Times New Roman" w:cs="Times New Roman"/>
                      <w:lang w:val="en-US" w:eastAsia="zh-CN"/>
                    </w:rPr>
                  </w:pPr>
                  <w:r>
                    <w:rPr>
                      <w:rFonts w:hint="eastAsia" w:cs="Times New Roman"/>
                      <w:lang w:val="en-US" w:eastAsia="zh-CN"/>
                    </w:rPr>
                    <w:t>/</w:t>
                  </w:r>
                </w:p>
              </w:tc>
              <w:tc>
                <w:tcPr>
                  <w:tcW w:w="1200" w:type="pct"/>
                  <w:vAlign w:val="center"/>
                </w:tcPr>
                <w:p w14:paraId="567EF00B">
                  <w:pPr>
                    <w:pStyle w:val="12"/>
                    <w:rPr>
                      <w:rFonts w:hint="default" w:ascii="Times New Roman" w:hAnsi="Times New Roman" w:cs="Times New Roman"/>
                    </w:rPr>
                  </w:pPr>
                  <w:r>
                    <w:rPr>
                      <w:rFonts w:hint="eastAsia" w:cs="Times New Roman"/>
                      <w:lang w:val="en-US" w:eastAsia="zh-CN"/>
                    </w:rPr>
                    <w:t>/</w:t>
                  </w:r>
                </w:p>
              </w:tc>
              <w:tc>
                <w:tcPr>
                  <w:tcW w:w="862" w:type="pct"/>
                  <w:vAlign w:val="center"/>
                </w:tcPr>
                <w:p w14:paraId="5ECBCBDB">
                  <w:pPr>
                    <w:pStyle w:val="12"/>
                    <w:rPr>
                      <w:rFonts w:hint="default" w:ascii="Times New Roman" w:hAnsi="Times New Roman" w:cs="Times New Roman"/>
                    </w:rPr>
                  </w:pPr>
                  <w:r>
                    <w:rPr>
                      <w:rFonts w:hint="default" w:ascii="Times New Roman" w:hAnsi="Times New Roman" w:cs="Times New Roman"/>
                    </w:rPr>
                    <w:t>1.0</w:t>
                  </w:r>
                </w:p>
              </w:tc>
              <w:tc>
                <w:tcPr>
                  <w:tcW w:w="1444" w:type="pct"/>
                  <w:vAlign w:val="center"/>
                </w:tcPr>
                <w:p w14:paraId="4B58860C">
                  <w:pPr>
                    <w:pStyle w:val="12"/>
                    <w:rPr>
                      <w:rFonts w:hint="default" w:ascii="Times New Roman" w:hAnsi="Times New Roman" w:cs="Times New Roman"/>
                    </w:rPr>
                  </w:pPr>
                  <w:r>
                    <w:rPr>
                      <w:rFonts w:hint="eastAsia" w:ascii="Times New Roman" w:hAnsi="Times New Roman" w:eastAsia="宋体" w:cs="Times New Roman"/>
                    </w:rPr>
                    <w:t>《砖瓦工业大气污染物排放标准》（GB29620-2013）</w:t>
                  </w:r>
                </w:p>
              </w:tc>
            </w:tr>
          </w:tbl>
          <w:p w14:paraId="44159C4D">
            <w:pPr>
              <w:pStyle w:val="11"/>
              <w:keepNext/>
              <w:spacing w:after="0" w:line="360" w:lineRule="auto"/>
              <w:ind w:firstLine="422" w:firstLineChars="200"/>
              <w:jc w:val="both"/>
              <w:rPr>
                <w:rFonts w:hint="default" w:ascii="Times New Roman" w:hAnsi="Times New Roman" w:eastAsia="宋体" w:cs="Times New Roman"/>
                <w:lang w:val="en-US" w:eastAsia="zh-CN"/>
              </w:rPr>
            </w:pPr>
            <w:r>
              <w:rPr>
                <w:rFonts w:hint="eastAsia" w:ascii="Times New Roman" w:hAnsi="Times New Roman" w:cs="Times New Roman"/>
                <w:lang w:val="en-US" w:eastAsia="zh-CN"/>
              </w:rPr>
              <w:t>注：</w:t>
            </w:r>
            <w:r>
              <w:rPr>
                <w:rFonts w:hint="eastAsia" w:ascii="Times New Roman" w:hAnsi="Times New Roman" w:cs="Times New Roman"/>
                <w:b w:val="0"/>
                <w:bCs w:val="0"/>
                <w:lang w:val="en-US" w:eastAsia="zh-CN"/>
              </w:rPr>
              <w:t>《大气污染物综合排放标准》（GB16297-1996）中没有25m排气筒高度对应的排放速率限值，采取内插法进行计算：Q=17+(53-17)*(25-20)/(30-20)=35kg/h。</w:t>
            </w:r>
          </w:p>
          <w:p w14:paraId="71952D76">
            <w:pPr>
              <w:pStyle w:val="11"/>
              <w:keepNext/>
              <w:rPr>
                <w:rFonts w:hint="default" w:ascii="Times New Roman" w:hAnsi="Times New Roman" w:eastAsia="宋体" w:cs="Times New Roman"/>
                <w:vertAlign w:val="baseline"/>
                <w:lang w:val="en-US" w:eastAsia="zh-CN"/>
              </w:rPr>
            </w:pPr>
            <w:r>
              <w:rPr>
                <w:rFonts w:hint="default" w:ascii="Times New Roman" w:hAnsi="Times New Roman" w:cs="Times New Roman"/>
              </w:rPr>
              <w:t>表</w:t>
            </w:r>
            <w:r>
              <w:rPr>
                <w:rFonts w:hint="eastAsia" w:cs="Times New Roman"/>
                <w:lang w:val="en-US" w:eastAsia="zh-CN"/>
              </w:rPr>
              <w:t>3</w:t>
            </w:r>
            <w:r>
              <w:rPr>
                <w:rFonts w:hint="default" w:ascii="Times New Roman" w:hAnsi="Times New Roman" w:cs="Times New Roman"/>
              </w:rPr>
              <w:noBreakHyphen/>
            </w:r>
            <w:r>
              <w:rPr>
                <w:rFonts w:hint="eastAsia" w:ascii="Times New Roman" w:hAnsi="Times New Roman" w:cs="Times New Roman"/>
                <w:lang w:val="en-US" w:eastAsia="zh-CN"/>
              </w:rPr>
              <w:t>8</w:t>
            </w:r>
            <w:r>
              <w:rPr>
                <w:rFonts w:hint="default" w:ascii="Times New Roman" w:hAnsi="Times New Roman" w:cs="Times New Roman"/>
              </w:rPr>
              <w:t xml:space="preserve"> </w:t>
            </w:r>
            <w:r>
              <w:rPr>
                <w:rFonts w:hint="eastAsia" w:ascii="Times New Roman" w:hAnsi="Times New Roman" w:cs="Times New Roman"/>
                <w:lang w:val="en-US" w:eastAsia="zh-CN"/>
              </w:rPr>
              <w:t>厂区内VOCs无组织排放限值</w:t>
            </w:r>
          </w:p>
          <w:tbl>
            <w:tblPr>
              <w:tblStyle w:val="27"/>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99"/>
              <w:gridCol w:w="1542"/>
              <w:gridCol w:w="1781"/>
              <w:gridCol w:w="2788"/>
              <w:gridCol w:w="1878"/>
            </w:tblGrid>
            <w:tr w14:paraId="1406E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5" w:type="pct"/>
                  <w:vAlign w:val="center"/>
                </w:tcPr>
                <w:p w14:paraId="7361AE3B">
                  <w:pPr>
                    <w:pStyle w:val="11"/>
                    <w:keepNext/>
                    <w:spacing w:after="0"/>
                    <w:rPr>
                      <w:rFonts w:hint="default" w:ascii="Times New Roman" w:hAnsi="Times New Roman" w:eastAsia="宋体" w:cs="Times New Roman"/>
                      <w:szCs w:val="21"/>
                      <w:vertAlign w:val="baseline"/>
                      <w:lang w:val="en-US" w:eastAsia="zh-CN"/>
                    </w:rPr>
                  </w:pPr>
                  <w:r>
                    <w:rPr>
                      <w:rFonts w:hint="eastAsia" w:ascii="Times New Roman" w:hAnsi="Times New Roman" w:cs="Times New Roman"/>
                      <w:szCs w:val="21"/>
                      <w:vertAlign w:val="baseline"/>
                      <w:lang w:val="en-US" w:eastAsia="zh-CN"/>
                    </w:rPr>
                    <w:t>污染物项目</w:t>
                  </w:r>
                </w:p>
              </w:tc>
              <w:tc>
                <w:tcPr>
                  <w:tcW w:w="821" w:type="pct"/>
                  <w:vAlign w:val="center"/>
                </w:tcPr>
                <w:p w14:paraId="51E2D282">
                  <w:pPr>
                    <w:pStyle w:val="11"/>
                    <w:keepNext/>
                    <w:spacing w:after="0"/>
                    <w:rPr>
                      <w:rFonts w:hint="default" w:ascii="Times New Roman" w:hAnsi="Times New Roman" w:eastAsia="宋体" w:cs="Times New Roman"/>
                      <w:szCs w:val="21"/>
                      <w:vertAlign w:val="baseline"/>
                      <w:lang w:val="en-US" w:eastAsia="zh-CN"/>
                    </w:rPr>
                  </w:pPr>
                  <w:r>
                    <w:rPr>
                      <w:rFonts w:hint="eastAsia" w:ascii="Times New Roman" w:hAnsi="Times New Roman" w:cs="Times New Roman"/>
                      <w:szCs w:val="21"/>
                      <w:vertAlign w:val="baseline"/>
                      <w:lang w:val="en-US" w:eastAsia="zh-CN"/>
                    </w:rPr>
                    <w:t>排放限值</w:t>
                  </w:r>
                </w:p>
              </w:tc>
              <w:tc>
                <w:tcPr>
                  <w:tcW w:w="948" w:type="pct"/>
                  <w:vAlign w:val="center"/>
                </w:tcPr>
                <w:p w14:paraId="6A3989F9">
                  <w:pPr>
                    <w:pStyle w:val="11"/>
                    <w:keepNext/>
                    <w:spacing w:after="0"/>
                    <w:rPr>
                      <w:rFonts w:hint="default" w:ascii="Times New Roman" w:hAnsi="Times New Roman" w:eastAsia="宋体" w:cs="Times New Roman"/>
                      <w:szCs w:val="21"/>
                      <w:vertAlign w:val="baseline"/>
                      <w:lang w:val="en-US" w:eastAsia="zh-CN"/>
                    </w:rPr>
                  </w:pPr>
                  <w:r>
                    <w:rPr>
                      <w:rFonts w:hint="eastAsia" w:ascii="Times New Roman" w:hAnsi="Times New Roman" w:cs="Times New Roman"/>
                      <w:szCs w:val="21"/>
                      <w:vertAlign w:val="baseline"/>
                      <w:lang w:val="en-US" w:eastAsia="zh-CN"/>
                    </w:rPr>
                    <w:t>特别排放限值</w:t>
                  </w:r>
                </w:p>
              </w:tc>
              <w:tc>
                <w:tcPr>
                  <w:tcW w:w="1484" w:type="pct"/>
                  <w:vAlign w:val="center"/>
                </w:tcPr>
                <w:p w14:paraId="029FC0BD">
                  <w:pPr>
                    <w:pStyle w:val="11"/>
                    <w:keepNext/>
                    <w:spacing w:after="0"/>
                    <w:rPr>
                      <w:rFonts w:hint="default" w:ascii="Times New Roman" w:hAnsi="Times New Roman" w:eastAsia="宋体" w:cs="Times New Roman"/>
                      <w:szCs w:val="21"/>
                      <w:vertAlign w:val="baseline"/>
                      <w:lang w:val="en-US" w:eastAsia="zh-CN"/>
                    </w:rPr>
                  </w:pPr>
                  <w:r>
                    <w:rPr>
                      <w:rFonts w:hint="eastAsia" w:ascii="Times New Roman" w:hAnsi="Times New Roman" w:cs="Times New Roman"/>
                      <w:szCs w:val="21"/>
                      <w:vertAlign w:val="baseline"/>
                      <w:lang w:val="en-US" w:eastAsia="zh-CN"/>
                    </w:rPr>
                    <w:t>限值要求</w:t>
                  </w:r>
                </w:p>
              </w:tc>
              <w:tc>
                <w:tcPr>
                  <w:tcW w:w="1000" w:type="pct"/>
                  <w:vAlign w:val="center"/>
                </w:tcPr>
                <w:p w14:paraId="0D5608B3">
                  <w:pPr>
                    <w:pStyle w:val="11"/>
                    <w:keepNext/>
                    <w:spacing w:after="0"/>
                    <w:rPr>
                      <w:rFonts w:hint="default" w:ascii="Times New Roman" w:hAnsi="Times New Roman" w:eastAsia="宋体" w:cs="Times New Roman"/>
                      <w:szCs w:val="21"/>
                      <w:vertAlign w:val="baseline"/>
                      <w:lang w:val="en-US" w:eastAsia="zh-CN"/>
                    </w:rPr>
                  </w:pPr>
                  <w:r>
                    <w:rPr>
                      <w:rFonts w:hint="eastAsia" w:ascii="Times New Roman" w:hAnsi="Times New Roman" w:cs="Times New Roman"/>
                      <w:szCs w:val="21"/>
                      <w:vertAlign w:val="baseline"/>
                      <w:lang w:val="en-US" w:eastAsia="zh-CN"/>
                    </w:rPr>
                    <w:t>无组织排放监控位置</w:t>
                  </w:r>
                </w:p>
              </w:tc>
            </w:tr>
            <w:tr w14:paraId="4AE48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5" w:type="pct"/>
                  <w:vMerge w:val="restart"/>
                  <w:vAlign w:val="center"/>
                </w:tcPr>
                <w:p w14:paraId="177ED42F">
                  <w:pPr>
                    <w:pStyle w:val="11"/>
                    <w:keepNext/>
                    <w:spacing w:after="0"/>
                    <w:rPr>
                      <w:rFonts w:hint="default" w:ascii="Times New Roman" w:hAnsi="Times New Roman" w:eastAsia="宋体" w:cs="Times New Roman"/>
                      <w:b w:val="0"/>
                      <w:bCs w:val="0"/>
                      <w:szCs w:val="21"/>
                      <w:vertAlign w:val="baseline"/>
                      <w:lang w:val="en-US" w:eastAsia="zh-CN"/>
                    </w:rPr>
                  </w:pPr>
                  <w:r>
                    <w:rPr>
                      <w:rFonts w:hint="eastAsia" w:ascii="Times New Roman" w:hAnsi="Times New Roman" w:cs="Times New Roman"/>
                      <w:b w:val="0"/>
                      <w:bCs w:val="0"/>
                      <w:szCs w:val="21"/>
                      <w:vertAlign w:val="baseline"/>
                      <w:lang w:val="en-US" w:eastAsia="zh-CN"/>
                    </w:rPr>
                    <w:t>NMHC</w:t>
                  </w:r>
                </w:p>
              </w:tc>
              <w:tc>
                <w:tcPr>
                  <w:tcW w:w="821" w:type="pct"/>
                  <w:vAlign w:val="center"/>
                </w:tcPr>
                <w:p w14:paraId="19CC6504">
                  <w:pPr>
                    <w:pStyle w:val="11"/>
                    <w:keepNext/>
                    <w:spacing w:after="0"/>
                    <w:rPr>
                      <w:rFonts w:hint="default" w:ascii="Times New Roman" w:hAnsi="Times New Roman" w:eastAsia="宋体" w:cs="Times New Roman"/>
                      <w:b w:val="0"/>
                      <w:bCs w:val="0"/>
                      <w:szCs w:val="21"/>
                      <w:vertAlign w:val="baseline"/>
                      <w:lang w:val="en-US" w:eastAsia="zh-CN"/>
                    </w:rPr>
                  </w:pPr>
                  <w:r>
                    <w:rPr>
                      <w:rFonts w:hint="eastAsia" w:ascii="Times New Roman" w:hAnsi="Times New Roman" w:cs="Times New Roman"/>
                      <w:b w:val="0"/>
                      <w:bCs w:val="0"/>
                      <w:szCs w:val="21"/>
                      <w:vertAlign w:val="baseline"/>
                      <w:lang w:val="en-US" w:eastAsia="zh-CN"/>
                    </w:rPr>
                    <w:t>10</w:t>
                  </w:r>
                </w:p>
              </w:tc>
              <w:tc>
                <w:tcPr>
                  <w:tcW w:w="948" w:type="pct"/>
                  <w:vAlign w:val="center"/>
                </w:tcPr>
                <w:p w14:paraId="70EDC2BD">
                  <w:pPr>
                    <w:pStyle w:val="11"/>
                    <w:keepNext/>
                    <w:spacing w:after="0"/>
                    <w:rPr>
                      <w:rFonts w:hint="default" w:ascii="Times New Roman" w:hAnsi="Times New Roman" w:eastAsia="宋体" w:cs="Times New Roman"/>
                      <w:b w:val="0"/>
                      <w:bCs w:val="0"/>
                      <w:szCs w:val="21"/>
                      <w:vertAlign w:val="baseline"/>
                      <w:lang w:val="en-US" w:eastAsia="zh-CN"/>
                    </w:rPr>
                  </w:pPr>
                  <w:r>
                    <w:rPr>
                      <w:rFonts w:hint="eastAsia" w:ascii="Times New Roman" w:hAnsi="Times New Roman" w:cs="Times New Roman"/>
                      <w:b w:val="0"/>
                      <w:bCs w:val="0"/>
                      <w:szCs w:val="21"/>
                      <w:vertAlign w:val="baseline"/>
                      <w:lang w:val="en-US" w:eastAsia="zh-CN"/>
                    </w:rPr>
                    <w:t>6</w:t>
                  </w:r>
                </w:p>
              </w:tc>
              <w:tc>
                <w:tcPr>
                  <w:tcW w:w="1484" w:type="pct"/>
                  <w:vAlign w:val="center"/>
                </w:tcPr>
                <w:p w14:paraId="35B5ECE1">
                  <w:pPr>
                    <w:pStyle w:val="11"/>
                    <w:keepNext/>
                    <w:spacing w:after="0"/>
                    <w:rPr>
                      <w:rFonts w:hint="default" w:ascii="Times New Roman" w:hAnsi="Times New Roman" w:eastAsia="宋体" w:cs="Times New Roman"/>
                      <w:b w:val="0"/>
                      <w:bCs w:val="0"/>
                      <w:szCs w:val="21"/>
                      <w:vertAlign w:val="baseline"/>
                      <w:lang w:val="en-US" w:eastAsia="zh-CN"/>
                    </w:rPr>
                  </w:pPr>
                  <w:r>
                    <w:rPr>
                      <w:rFonts w:hint="eastAsia" w:ascii="Times New Roman" w:hAnsi="Times New Roman" w:cs="Times New Roman"/>
                      <w:b w:val="0"/>
                      <w:bCs w:val="0"/>
                      <w:szCs w:val="21"/>
                      <w:vertAlign w:val="baseline"/>
                      <w:lang w:val="en-US" w:eastAsia="zh-CN"/>
                    </w:rPr>
                    <w:t>监控点处1h平均浓度值</w:t>
                  </w:r>
                </w:p>
              </w:tc>
              <w:tc>
                <w:tcPr>
                  <w:tcW w:w="1000" w:type="pct"/>
                  <w:vMerge w:val="restart"/>
                  <w:vAlign w:val="center"/>
                </w:tcPr>
                <w:p w14:paraId="061A5070">
                  <w:pPr>
                    <w:pStyle w:val="11"/>
                    <w:keepNext/>
                    <w:spacing w:after="0"/>
                    <w:rPr>
                      <w:rFonts w:hint="default" w:ascii="Times New Roman" w:hAnsi="Times New Roman" w:eastAsia="宋体" w:cs="Times New Roman"/>
                      <w:b w:val="0"/>
                      <w:bCs w:val="0"/>
                      <w:szCs w:val="21"/>
                      <w:vertAlign w:val="baseline"/>
                      <w:lang w:val="en-US" w:eastAsia="zh-CN"/>
                    </w:rPr>
                  </w:pPr>
                  <w:r>
                    <w:rPr>
                      <w:rFonts w:hint="eastAsia" w:ascii="Times New Roman" w:hAnsi="Times New Roman" w:cs="Times New Roman"/>
                      <w:b w:val="0"/>
                      <w:bCs w:val="0"/>
                      <w:szCs w:val="21"/>
                      <w:vertAlign w:val="baseline"/>
                      <w:lang w:val="en-US" w:eastAsia="zh-CN"/>
                    </w:rPr>
                    <w:t>在厂房外设置监控点</w:t>
                  </w:r>
                </w:p>
              </w:tc>
            </w:tr>
            <w:tr w14:paraId="37ADC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5" w:type="pct"/>
                  <w:vMerge w:val="continue"/>
                  <w:vAlign w:val="center"/>
                </w:tcPr>
                <w:p w14:paraId="597D8C8A">
                  <w:pPr>
                    <w:pStyle w:val="11"/>
                    <w:keepNext/>
                    <w:spacing w:after="0"/>
                    <w:rPr>
                      <w:rFonts w:hint="default" w:ascii="Times New Roman" w:hAnsi="Times New Roman" w:eastAsia="宋体" w:cs="Times New Roman"/>
                      <w:szCs w:val="21"/>
                      <w:vertAlign w:val="baseline"/>
                      <w:lang w:val="en-US" w:eastAsia="zh-CN"/>
                    </w:rPr>
                  </w:pPr>
                </w:p>
              </w:tc>
              <w:tc>
                <w:tcPr>
                  <w:tcW w:w="821" w:type="pct"/>
                  <w:vAlign w:val="center"/>
                </w:tcPr>
                <w:p w14:paraId="642EB886">
                  <w:pPr>
                    <w:pStyle w:val="11"/>
                    <w:keepNext/>
                    <w:spacing w:after="0"/>
                    <w:rPr>
                      <w:rFonts w:hint="default" w:ascii="Times New Roman" w:hAnsi="Times New Roman" w:eastAsia="宋体" w:cs="Times New Roman"/>
                      <w:b w:val="0"/>
                      <w:bCs w:val="0"/>
                      <w:szCs w:val="21"/>
                      <w:vertAlign w:val="baseline"/>
                      <w:lang w:val="en-US" w:eastAsia="zh-CN"/>
                    </w:rPr>
                  </w:pPr>
                  <w:r>
                    <w:rPr>
                      <w:rFonts w:hint="eastAsia" w:ascii="Times New Roman" w:hAnsi="Times New Roman" w:cs="Times New Roman"/>
                      <w:b w:val="0"/>
                      <w:bCs w:val="0"/>
                      <w:szCs w:val="21"/>
                      <w:vertAlign w:val="baseline"/>
                      <w:lang w:val="en-US" w:eastAsia="zh-CN"/>
                    </w:rPr>
                    <w:t>30</w:t>
                  </w:r>
                </w:p>
              </w:tc>
              <w:tc>
                <w:tcPr>
                  <w:tcW w:w="948" w:type="pct"/>
                  <w:vAlign w:val="center"/>
                </w:tcPr>
                <w:p w14:paraId="54C01083">
                  <w:pPr>
                    <w:pStyle w:val="11"/>
                    <w:keepNext/>
                    <w:spacing w:after="0"/>
                    <w:rPr>
                      <w:rFonts w:hint="default" w:ascii="Times New Roman" w:hAnsi="Times New Roman" w:eastAsia="宋体" w:cs="Times New Roman"/>
                      <w:b w:val="0"/>
                      <w:bCs w:val="0"/>
                      <w:szCs w:val="21"/>
                      <w:vertAlign w:val="baseline"/>
                      <w:lang w:val="en-US" w:eastAsia="zh-CN"/>
                    </w:rPr>
                  </w:pPr>
                  <w:r>
                    <w:rPr>
                      <w:rFonts w:hint="eastAsia" w:ascii="Times New Roman" w:hAnsi="Times New Roman" w:cs="Times New Roman"/>
                      <w:b w:val="0"/>
                      <w:bCs w:val="0"/>
                      <w:szCs w:val="21"/>
                      <w:vertAlign w:val="baseline"/>
                      <w:lang w:val="en-US" w:eastAsia="zh-CN"/>
                    </w:rPr>
                    <w:t>20</w:t>
                  </w:r>
                </w:p>
              </w:tc>
              <w:tc>
                <w:tcPr>
                  <w:tcW w:w="1484" w:type="pct"/>
                  <w:vAlign w:val="center"/>
                </w:tcPr>
                <w:p w14:paraId="6D360DA1">
                  <w:pPr>
                    <w:pStyle w:val="11"/>
                    <w:keepNext/>
                    <w:spacing w:after="0"/>
                    <w:rPr>
                      <w:rFonts w:hint="default" w:ascii="Times New Roman" w:hAnsi="Times New Roman" w:eastAsia="宋体" w:cs="Times New Roman"/>
                      <w:b w:val="0"/>
                      <w:bCs w:val="0"/>
                      <w:szCs w:val="21"/>
                      <w:vertAlign w:val="baseline"/>
                      <w:lang w:val="en-US" w:eastAsia="zh-CN"/>
                    </w:rPr>
                  </w:pPr>
                  <w:r>
                    <w:rPr>
                      <w:rFonts w:hint="eastAsia" w:ascii="Times New Roman" w:hAnsi="Times New Roman" w:cs="Times New Roman"/>
                      <w:b w:val="0"/>
                      <w:bCs w:val="0"/>
                      <w:szCs w:val="21"/>
                      <w:vertAlign w:val="baseline"/>
                      <w:lang w:val="en-US" w:eastAsia="zh-CN"/>
                    </w:rPr>
                    <w:t>监控点处任意一次浓度值</w:t>
                  </w:r>
                </w:p>
              </w:tc>
              <w:tc>
                <w:tcPr>
                  <w:tcW w:w="1000" w:type="pct"/>
                  <w:vMerge w:val="continue"/>
                  <w:vAlign w:val="center"/>
                </w:tcPr>
                <w:p w14:paraId="3F88EB2B">
                  <w:pPr>
                    <w:pStyle w:val="11"/>
                    <w:keepNext/>
                    <w:spacing w:after="0"/>
                    <w:rPr>
                      <w:rFonts w:hint="default" w:ascii="Times New Roman" w:hAnsi="Times New Roman" w:eastAsia="宋体" w:cs="Times New Roman"/>
                      <w:szCs w:val="21"/>
                      <w:vertAlign w:val="baseline"/>
                      <w:lang w:val="en-US" w:eastAsia="zh-CN"/>
                    </w:rPr>
                  </w:pPr>
                </w:p>
              </w:tc>
            </w:tr>
          </w:tbl>
          <w:p w14:paraId="364B000A">
            <w:pPr>
              <w:pStyle w:val="3"/>
              <w:spacing w:before="163"/>
              <w:rPr>
                <w:rFonts w:hint="default" w:ascii="Times New Roman" w:hAnsi="Times New Roman" w:cs="Times New Roman"/>
              </w:rPr>
            </w:pPr>
            <w:r>
              <w:rPr>
                <w:rFonts w:hint="default" w:ascii="Times New Roman" w:hAnsi="Times New Roman" w:cs="Times New Roman"/>
              </w:rPr>
              <w:t>2、废水排放标准</w:t>
            </w:r>
          </w:p>
          <w:p w14:paraId="42C9739E">
            <w:pPr>
              <w:ind w:firstLine="480"/>
              <w:rPr>
                <w:rFonts w:hint="default" w:ascii="Times New Roman" w:hAnsi="Times New Roman" w:cs="Times New Roman"/>
              </w:rPr>
            </w:pPr>
            <w:r>
              <w:rPr>
                <w:rFonts w:hint="default" w:ascii="Times New Roman" w:hAnsi="Times New Roman" w:cs="Times New Roman"/>
              </w:rPr>
              <w:t>本项目</w:t>
            </w:r>
            <w:r>
              <w:rPr>
                <w:rFonts w:hint="eastAsia" w:cs="Times New Roman"/>
                <w:lang w:val="en-US" w:eastAsia="zh-CN"/>
              </w:rPr>
              <w:t>压滤废水部分回用于生产，剩余部分委托四川洁安环境科技有限公司进行清运处置；仅外排生活污水，经预处理后达《污水综合排放标准》（GB8978-1996）三级标准后，氨氮、总磷执行《污水排入城镇下水道水质标准》（GB/T31962-2015）B级标准后</w:t>
            </w:r>
            <w:r>
              <w:rPr>
                <w:rFonts w:hint="eastAsia" w:ascii="Times New Roman" w:hAnsi="Times New Roman" w:cs="Times New Roman"/>
                <w:lang w:val="en-US" w:eastAsia="zh-CN"/>
              </w:rPr>
              <w:t>排入园区污水管网，</w:t>
            </w:r>
            <w:r>
              <w:rPr>
                <w:rFonts w:hint="eastAsia" w:cs="Times New Roman"/>
                <w:lang w:val="en-US" w:eastAsia="zh-CN"/>
              </w:rPr>
              <w:t>进入</w:t>
            </w:r>
            <w:r>
              <w:rPr>
                <w:rFonts w:hint="eastAsia" w:ascii="Times New Roman" w:hAnsi="Times New Roman" w:cs="Times New Roman"/>
                <w:lang w:val="en-US" w:eastAsia="zh-CN"/>
              </w:rPr>
              <w:t>星光工业园区污水处理厂进一步处理，</w:t>
            </w:r>
            <w:r>
              <w:rPr>
                <w:rFonts w:hint="default" w:ascii="Times New Roman" w:hAnsi="Times New Roman" w:eastAsia="宋体" w:cs="Times New Roman"/>
                <w:lang w:val="en-US" w:eastAsia="zh-CN"/>
              </w:rPr>
              <w:t>星光工业园区</w:t>
            </w:r>
            <w:r>
              <w:rPr>
                <w:rFonts w:hint="default" w:ascii="Times New Roman" w:hAnsi="Times New Roman" w:cs="Times New Roman"/>
              </w:rPr>
              <w:t>污水处理厂排口</w:t>
            </w:r>
            <w:r>
              <w:rPr>
                <w:rFonts w:hint="eastAsia" w:cs="Times New Roman"/>
                <w:lang w:eastAsia="zh-CN"/>
              </w:rPr>
              <w:t>执行</w:t>
            </w:r>
            <w:bookmarkStart w:id="54" w:name="OLE_LINK165"/>
            <w:bookmarkStart w:id="55" w:name="OLE_LINK164"/>
            <w:r>
              <w:rPr>
                <w:rFonts w:hint="default" w:ascii="Times New Roman" w:hAnsi="Times New Roman" w:cs="Times New Roman"/>
                <w:color w:val="000000"/>
                <w:lang w:val="en-US" w:eastAsia="zh-CN"/>
              </w:rPr>
              <w:t>《城镇污水处理厂污染物排放标准》（GB18918-2002）中一级A</w:t>
            </w:r>
            <w:r>
              <w:rPr>
                <w:rFonts w:hint="default" w:ascii="Times New Roman" w:hAnsi="Times New Roman" w:cs="Times New Roman"/>
              </w:rPr>
              <w:t>标准</w:t>
            </w:r>
            <w:bookmarkEnd w:id="54"/>
            <w:bookmarkEnd w:id="55"/>
            <w:r>
              <w:rPr>
                <w:rFonts w:hint="eastAsia" w:cs="Times New Roman"/>
                <w:lang w:eastAsia="zh-CN"/>
              </w:rPr>
              <w:t>，</w:t>
            </w:r>
            <w:r>
              <w:rPr>
                <w:rFonts w:hint="eastAsia" w:cs="Times New Roman"/>
                <w:lang w:val="en-US" w:eastAsia="zh-CN"/>
              </w:rPr>
              <w:t>处理达标后排入巴河</w:t>
            </w:r>
            <w:r>
              <w:rPr>
                <w:rFonts w:hint="default" w:ascii="Times New Roman" w:hAnsi="Times New Roman" w:cs="Times New Roman"/>
              </w:rPr>
              <w:t>。</w:t>
            </w:r>
          </w:p>
          <w:p w14:paraId="49ACF5CE">
            <w:pPr>
              <w:pStyle w:val="11"/>
              <w:keepNext/>
              <w:rPr>
                <w:rFonts w:hint="default" w:ascii="Times New Roman" w:hAnsi="Times New Roman" w:cs="Times New Roman"/>
              </w:rPr>
            </w:pPr>
            <w:r>
              <w:rPr>
                <w:rFonts w:hint="default" w:ascii="Times New Roman" w:hAnsi="Times New Roman" w:cs="Times New Roman"/>
              </w:rPr>
              <w:t>表</w:t>
            </w:r>
            <w:r>
              <w:rPr>
                <w:rFonts w:hint="eastAsia" w:cs="Times New Roman"/>
                <w:lang w:val="en-US" w:eastAsia="zh-CN"/>
              </w:rPr>
              <w:t>3</w:t>
            </w:r>
            <w:r>
              <w:rPr>
                <w:rFonts w:hint="default" w:ascii="Times New Roman" w:hAnsi="Times New Roman" w:cs="Times New Roman"/>
              </w:rPr>
              <w:noBreakHyphen/>
            </w:r>
            <w:r>
              <w:rPr>
                <w:rFonts w:hint="eastAsia" w:cs="Times New Roman"/>
                <w:lang w:val="en-US" w:eastAsia="zh-CN"/>
              </w:rPr>
              <w:t>9</w:t>
            </w:r>
            <w:r>
              <w:rPr>
                <w:rFonts w:hint="default" w:ascii="Times New Roman" w:hAnsi="Times New Roman" w:cs="Times New Roman"/>
              </w:rPr>
              <w:t xml:space="preserve"> </w:t>
            </w:r>
            <w:r>
              <w:rPr>
                <w:rFonts w:hint="eastAsia" w:ascii="Times New Roman" w:hAnsi="Times New Roman" w:cs="Times New Roman"/>
                <w:lang w:val="en-US" w:eastAsia="zh-CN"/>
              </w:rPr>
              <w:t>本项目厂区</w:t>
            </w:r>
            <w:r>
              <w:rPr>
                <w:rFonts w:hint="default" w:ascii="Times New Roman" w:hAnsi="Times New Roman" w:cs="Times New Roman"/>
              </w:rPr>
              <w:t>出水执行标准限值</w:t>
            </w:r>
          </w:p>
          <w:tbl>
            <w:tblPr>
              <w:tblStyle w:val="46"/>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42"/>
              <w:gridCol w:w="1557"/>
              <w:gridCol w:w="1984"/>
              <w:gridCol w:w="3505"/>
            </w:tblGrid>
            <w:tr w14:paraId="09715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47" w:type="pct"/>
                  <w:vAlign w:val="center"/>
                </w:tcPr>
                <w:p w14:paraId="56A6FEDC">
                  <w:pPr>
                    <w:pStyle w:val="12"/>
                    <w:rPr>
                      <w:rFonts w:hint="default" w:ascii="Times New Roman" w:hAnsi="Times New Roman" w:cs="Times New Roman"/>
                      <w:b/>
                      <w:bCs/>
                    </w:rPr>
                  </w:pPr>
                  <w:r>
                    <w:rPr>
                      <w:rFonts w:hint="default" w:ascii="Times New Roman" w:hAnsi="Times New Roman" w:cs="Times New Roman"/>
                      <w:b/>
                      <w:bCs/>
                    </w:rPr>
                    <w:t>项目</w:t>
                  </w:r>
                </w:p>
              </w:tc>
              <w:tc>
                <w:tcPr>
                  <w:tcW w:w="829" w:type="pct"/>
                  <w:vAlign w:val="center"/>
                </w:tcPr>
                <w:p w14:paraId="5F8C2146">
                  <w:pPr>
                    <w:pStyle w:val="12"/>
                    <w:rPr>
                      <w:rFonts w:hint="default" w:ascii="Times New Roman" w:hAnsi="Times New Roman" w:cs="Times New Roman"/>
                      <w:b/>
                      <w:bCs/>
                    </w:rPr>
                  </w:pPr>
                  <w:r>
                    <w:rPr>
                      <w:rFonts w:hint="default" w:ascii="Times New Roman" w:hAnsi="Times New Roman" w:cs="Times New Roman"/>
                      <w:b/>
                      <w:bCs/>
                    </w:rPr>
                    <w:t>单位</w:t>
                  </w:r>
                </w:p>
              </w:tc>
              <w:tc>
                <w:tcPr>
                  <w:tcW w:w="1056" w:type="pct"/>
                  <w:vAlign w:val="center"/>
                </w:tcPr>
                <w:p w14:paraId="1DE57517">
                  <w:pPr>
                    <w:pStyle w:val="12"/>
                    <w:rPr>
                      <w:rFonts w:hint="default" w:ascii="Times New Roman" w:hAnsi="Times New Roman" w:cs="Times New Roman"/>
                      <w:b/>
                      <w:bCs/>
                    </w:rPr>
                  </w:pPr>
                  <w:r>
                    <w:rPr>
                      <w:rFonts w:hint="default" w:ascii="Times New Roman" w:hAnsi="Times New Roman" w:cs="Times New Roman"/>
                      <w:b/>
                      <w:bCs/>
                    </w:rPr>
                    <w:t>排放限值</w:t>
                  </w:r>
                </w:p>
              </w:tc>
              <w:tc>
                <w:tcPr>
                  <w:tcW w:w="1866" w:type="pct"/>
                  <w:vAlign w:val="center"/>
                </w:tcPr>
                <w:p w14:paraId="795F1AC6">
                  <w:pPr>
                    <w:pStyle w:val="12"/>
                    <w:rPr>
                      <w:rFonts w:hint="default" w:ascii="Times New Roman" w:hAnsi="Times New Roman" w:eastAsia="宋体" w:cs="Times New Roman"/>
                      <w:b/>
                      <w:bCs/>
                      <w:lang w:val="en-US" w:eastAsia="zh-CN"/>
                    </w:rPr>
                  </w:pPr>
                  <w:r>
                    <w:rPr>
                      <w:rFonts w:hint="eastAsia" w:cs="Times New Roman"/>
                      <w:b/>
                      <w:bCs/>
                      <w:lang w:val="en-US" w:eastAsia="zh-CN"/>
                    </w:rPr>
                    <w:t>执行标准</w:t>
                  </w:r>
                </w:p>
              </w:tc>
            </w:tr>
            <w:tr w14:paraId="5C02E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47" w:type="pct"/>
                  <w:vAlign w:val="center"/>
                </w:tcPr>
                <w:p w14:paraId="030ED42A">
                  <w:pPr>
                    <w:pStyle w:val="12"/>
                    <w:rPr>
                      <w:rFonts w:hint="default" w:ascii="Times New Roman" w:hAnsi="Times New Roman" w:cs="Times New Roman"/>
                    </w:rPr>
                  </w:pPr>
                  <w:r>
                    <w:rPr>
                      <w:rFonts w:hint="default" w:ascii="Times New Roman" w:hAnsi="Times New Roman" w:cs="Times New Roman"/>
                    </w:rPr>
                    <w:t>pH</w:t>
                  </w:r>
                </w:p>
              </w:tc>
              <w:tc>
                <w:tcPr>
                  <w:tcW w:w="829" w:type="pct"/>
                  <w:vAlign w:val="center"/>
                </w:tcPr>
                <w:p w14:paraId="6AEE01C2">
                  <w:pPr>
                    <w:pStyle w:val="12"/>
                    <w:rPr>
                      <w:rFonts w:hint="default" w:ascii="Times New Roman" w:hAnsi="Times New Roman" w:cs="Times New Roman"/>
                    </w:rPr>
                  </w:pPr>
                  <w:r>
                    <w:rPr>
                      <w:rFonts w:hint="default" w:ascii="Times New Roman" w:hAnsi="Times New Roman" w:cs="Times New Roman"/>
                    </w:rPr>
                    <w:t>无量纲</w:t>
                  </w:r>
                </w:p>
              </w:tc>
              <w:tc>
                <w:tcPr>
                  <w:tcW w:w="1056" w:type="pct"/>
                  <w:vAlign w:val="center"/>
                </w:tcPr>
                <w:p w14:paraId="47C659A7">
                  <w:pPr>
                    <w:pStyle w:val="12"/>
                    <w:rPr>
                      <w:rFonts w:hint="default" w:ascii="Times New Roman" w:hAnsi="Times New Roman" w:cs="Times New Roman"/>
                    </w:rPr>
                  </w:pPr>
                  <w:r>
                    <w:rPr>
                      <w:rFonts w:hint="default" w:ascii="Times New Roman" w:hAnsi="Times New Roman" w:cs="Times New Roman"/>
                    </w:rPr>
                    <w:t>6～9</w:t>
                  </w:r>
                </w:p>
              </w:tc>
              <w:tc>
                <w:tcPr>
                  <w:tcW w:w="1866" w:type="pct"/>
                  <w:vMerge w:val="restart"/>
                  <w:vAlign w:val="center"/>
                </w:tcPr>
                <w:p w14:paraId="4C9242D7">
                  <w:pPr>
                    <w:pStyle w:val="12"/>
                    <w:rPr>
                      <w:rFonts w:hint="default" w:ascii="Times New Roman" w:hAnsi="Times New Roman" w:cs="Times New Roman"/>
                    </w:rPr>
                  </w:pPr>
                  <w:r>
                    <w:rPr>
                      <w:rFonts w:hint="default" w:cs="Times New Roman"/>
                    </w:rPr>
                    <w:t>《污水综合排放标准》（GB8978-1996）三级标准</w:t>
                  </w:r>
                </w:p>
              </w:tc>
            </w:tr>
            <w:tr w14:paraId="77CB7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47" w:type="pct"/>
                  <w:vAlign w:val="center"/>
                </w:tcPr>
                <w:p w14:paraId="487C8EEF">
                  <w:pPr>
                    <w:pStyle w:val="12"/>
                    <w:rPr>
                      <w:rFonts w:hint="default" w:ascii="Times New Roman" w:hAnsi="Times New Roman" w:cs="Times New Roman"/>
                    </w:rPr>
                  </w:pPr>
                  <w:r>
                    <w:rPr>
                      <w:rFonts w:hint="default" w:ascii="Times New Roman" w:hAnsi="Times New Roman" w:cs="Times New Roman"/>
                    </w:rPr>
                    <w:t>COD</w:t>
                  </w:r>
                </w:p>
              </w:tc>
              <w:tc>
                <w:tcPr>
                  <w:tcW w:w="829" w:type="pct"/>
                  <w:vAlign w:val="center"/>
                </w:tcPr>
                <w:p w14:paraId="6D843AD1">
                  <w:pPr>
                    <w:pStyle w:val="12"/>
                    <w:rPr>
                      <w:rFonts w:hint="default" w:ascii="Times New Roman" w:hAnsi="Times New Roman" w:cs="Times New Roman"/>
                    </w:rPr>
                  </w:pPr>
                  <w:r>
                    <w:rPr>
                      <w:rFonts w:hint="default" w:ascii="Times New Roman" w:hAnsi="Times New Roman" w:cs="Times New Roman"/>
                    </w:rPr>
                    <w:t>mg/L</w:t>
                  </w:r>
                </w:p>
              </w:tc>
              <w:tc>
                <w:tcPr>
                  <w:tcW w:w="1056" w:type="pct"/>
                  <w:vAlign w:val="center"/>
                </w:tcPr>
                <w:p w14:paraId="04D15585">
                  <w:pPr>
                    <w:pStyle w:val="12"/>
                    <w:rPr>
                      <w:rFonts w:hint="default" w:ascii="Times New Roman" w:hAnsi="Times New Roman" w:eastAsia="宋体" w:cs="Times New Roman"/>
                      <w:lang w:val="en-US" w:eastAsia="zh-CN"/>
                    </w:rPr>
                  </w:pPr>
                  <w:r>
                    <w:rPr>
                      <w:rFonts w:hint="eastAsia" w:cs="Times New Roman"/>
                      <w:lang w:val="en-US" w:eastAsia="zh-CN"/>
                    </w:rPr>
                    <w:t>500</w:t>
                  </w:r>
                </w:p>
              </w:tc>
              <w:tc>
                <w:tcPr>
                  <w:tcW w:w="1866" w:type="pct"/>
                  <w:vMerge w:val="continue"/>
                  <w:vAlign w:val="center"/>
                </w:tcPr>
                <w:p w14:paraId="6E095DCE">
                  <w:pPr>
                    <w:pStyle w:val="12"/>
                    <w:rPr>
                      <w:rFonts w:hint="eastAsia" w:ascii="Times New Roman" w:hAnsi="Times New Roman" w:cs="Times New Roman"/>
                      <w:lang w:val="en-US" w:eastAsia="zh-CN"/>
                    </w:rPr>
                  </w:pPr>
                </w:p>
              </w:tc>
            </w:tr>
            <w:tr w14:paraId="32EBF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47" w:type="pct"/>
                  <w:vAlign w:val="center"/>
                </w:tcPr>
                <w:p w14:paraId="0F24DF1C">
                  <w:pPr>
                    <w:pStyle w:val="12"/>
                    <w:rPr>
                      <w:rFonts w:hint="default" w:ascii="Times New Roman" w:hAnsi="Times New Roman" w:cs="Times New Roman"/>
                    </w:rPr>
                  </w:pPr>
                  <w:r>
                    <w:rPr>
                      <w:rFonts w:hint="default" w:ascii="Times New Roman" w:hAnsi="Times New Roman" w:cs="Times New Roman"/>
                    </w:rPr>
                    <w:t>BOD</w:t>
                  </w:r>
                  <w:r>
                    <w:rPr>
                      <w:rFonts w:hint="default" w:ascii="Times New Roman" w:hAnsi="Times New Roman" w:cs="Times New Roman"/>
                      <w:vertAlign w:val="subscript"/>
                    </w:rPr>
                    <w:t>5</w:t>
                  </w:r>
                </w:p>
              </w:tc>
              <w:tc>
                <w:tcPr>
                  <w:tcW w:w="829" w:type="pct"/>
                  <w:vAlign w:val="center"/>
                </w:tcPr>
                <w:p w14:paraId="148FE0DC">
                  <w:pPr>
                    <w:pStyle w:val="12"/>
                    <w:rPr>
                      <w:rFonts w:hint="default" w:ascii="Times New Roman" w:hAnsi="Times New Roman" w:cs="Times New Roman"/>
                    </w:rPr>
                  </w:pPr>
                  <w:r>
                    <w:rPr>
                      <w:rFonts w:hint="default" w:ascii="Times New Roman" w:hAnsi="Times New Roman" w:cs="Times New Roman"/>
                    </w:rPr>
                    <w:t>mg/L</w:t>
                  </w:r>
                </w:p>
              </w:tc>
              <w:tc>
                <w:tcPr>
                  <w:tcW w:w="1056" w:type="pct"/>
                  <w:vAlign w:val="center"/>
                </w:tcPr>
                <w:p w14:paraId="6EB2076D">
                  <w:pPr>
                    <w:pStyle w:val="12"/>
                    <w:rPr>
                      <w:rFonts w:hint="default" w:ascii="Times New Roman" w:hAnsi="Times New Roman" w:eastAsia="宋体" w:cs="Times New Roman"/>
                      <w:lang w:val="en-US" w:eastAsia="zh-CN"/>
                    </w:rPr>
                  </w:pPr>
                  <w:r>
                    <w:rPr>
                      <w:rFonts w:hint="eastAsia" w:cs="Times New Roman"/>
                      <w:lang w:val="en-US" w:eastAsia="zh-CN"/>
                    </w:rPr>
                    <w:t>300</w:t>
                  </w:r>
                </w:p>
              </w:tc>
              <w:tc>
                <w:tcPr>
                  <w:tcW w:w="1866" w:type="pct"/>
                  <w:vMerge w:val="continue"/>
                  <w:vAlign w:val="center"/>
                </w:tcPr>
                <w:p w14:paraId="500CF2C8">
                  <w:pPr>
                    <w:pStyle w:val="12"/>
                    <w:rPr>
                      <w:rFonts w:hint="eastAsia" w:ascii="Times New Roman" w:hAnsi="Times New Roman" w:cs="Times New Roman"/>
                      <w:lang w:val="en-US" w:eastAsia="zh-CN"/>
                    </w:rPr>
                  </w:pPr>
                </w:p>
              </w:tc>
            </w:tr>
            <w:tr w14:paraId="031F8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47" w:type="pct"/>
                  <w:vAlign w:val="center"/>
                </w:tcPr>
                <w:p w14:paraId="5C8FE1D4">
                  <w:pPr>
                    <w:pStyle w:val="12"/>
                    <w:rPr>
                      <w:rFonts w:hint="default" w:ascii="Times New Roman" w:hAnsi="Times New Roman" w:cs="Times New Roman"/>
                    </w:rPr>
                  </w:pPr>
                  <w:r>
                    <w:rPr>
                      <w:rFonts w:hint="default" w:ascii="Times New Roman" w:hAnsi="Times New Roman" w:cs="Times New Roman"/>
                    </w:rPr>
                    <w:t>SS</w:t>
                  </w:r>
                </w:p>
              </w:tc>
              <w:tc>
                <w:tcPr>
                  <w:tcW w:w="829" w:type="pct"/>
                  <w:vAlign w:val="center"/>
                </w:tcPr>
                <w:p w14:paraId="16D769B8">
                  <w:pPr>
                    <w:pStyle w:val="12"/>
                    <w:rPr>
                      <w:rFonts w:hint="default" w:ascii="Times New Roman" w:hAnsi="Times New Roman" w:cs="Times New Roman"/>
                    </w:rPr>
                  </w:pPr>
                  <w:r>
                    <w:rPr>
                      <w:rFonts w:hint="default" w:ascii="Times New Roman" w:hAnsi="Times New Roman" w:cs="Times New Roman"/>
                    </w:rPr>
                    <w:t>mg/L</w:t>
                  </w:r>
                </w:p>
              </w:tc>
              <w:tc>
                <w:tcPr>
                  <w:tcW w:w="1056" w:type="pct"/>
                  <w:vAlign w:val="center"/>
                </w:tcPr>
                <w:p w14:paraId="60FF7A4E">
                  <w:pPr>
                    <w:pStyle w:val="12"/>
                    <w:rPr>
                      <w:rFonts w:hint="default" w:ascii="Times New Roman" w:hAnsi="Times New Roman" w:cs="Times New Roman"/>
                      <w:lang w:val="en-US"/>
                    </w:rPr>
                  </w:pPr>
                  <w:r>
                    <w:rPr>
                      <w:rFonts w:hint="eastAsia" w:cs="Times New Roman"/>
                      <w:lang w:val="en-US" w:eastAsia="zh-CN"/>
                    </w:rPr>
                    <w:t>400</w:t>
                  </w:r>
                </w:p>
              </w:tc>
              <w:tc>
                <w:tcPr>
                  <w:tcW w:w="1866" w:type="pct"/>
                  <w:vMerge w:val="continue"/>
                  <w:vAlign w:val="center"/>
                </w:tcPr>
                <w:p w14:paraId="7792239B">
                  <w:pPr>
                    <w:pStyle w:val="12"/>
                    <w:rPr>
                      <w:rFonts w:hint="eastAsia" w:ascii="Times New Roman" w:hAnsi="Times New Roman" w:cs="Times New Roman"/>
                      <w:lang w:val="en-US" w:eastAsia="zh-CN"/>
                    </w:rPr>
                  </w:pPr>
                </w:p>
              </w:tc>
            </w:tr>
            <w:tr w14:paraId="58AD0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47" w:type="pct"/>
                  <w:vAlign w:val="center"/>
                </w:tcPr>
                <w:p w14:paraId="6C46107A">
                  <w:pPr>
                    <w:pStyle w:val="12"/>
                    <w:rPr>
                      <w:rFonts w:hint="eastAsia" w:ascii="Times New Roman" w:hAnsi="Times New Roman" w:eastAsia="宋体" w:cs="Times New Roman"/>
                      <w:lang w:val="en-US" w:eastAsia="zh-CN"/>
                    </w:rPr>
                  </w:pPr>
                  <w:r>
                    <w:rPr>
                      <w:rFonts w:hint="eastAsia" w:cs="Times New Roman"/>
                      <w:lang w:val="en-US" w:eastAsia="zh-CN"/>
                    </w:rPr>
                    <w:t>动植物油</w:t>
                  </w:r>
                </w:p>
              </w:tc>
              <w:tc>
                <w:tcPr>
                  <w:tcW w:w="829" w:type="pct"/>
                  <w:vAlign w:val="center"/>
                </w:tcPr>
                <w:p w14:paraId="78EBC518">
                  <w:pPr>
                    <w:pStyle w:val="12"/>
                    <w:rPr>
                      <w:rFonts w:hint="default" w:ascii="Times New Roman" w:hAnsi="Times New Roman" w:cs="Times New Roman"/>
                    </w:rPr>
                  </w:pPr>
                  <w:r>
                    <w:rPr>
                      <w:rFonts w:hint="default" w:ascii="Times New Roman" w:hAnsi="Times New Roman" w:cs="Times New Roman"/>
                    </w:rPr>
                    <w:t>mg/L</w:t>
                  </w:r>
                </w:p>
              </w:tc>
              <w:tc>
                <w:tcPr>
                  <w:tcW w:w="1056" w:type="pct"/>
                  <w:vAlign w:val="center"/>
                </w:tcPr>
                <w:p w14:paraId="4A749F81">
                  <w:pPr>
                    <w:pStyle w:val="12"/>
                    <w:rPr>
                      <w:rFonts w:hint="default" w:ascii="Times New Roman" w:hAnsi="Times New Roman" w:cs="Times New Roman"/>
                      <w:lang w:val="en-US" w:eastAsia="zh-CN"/>
                    </w:rPr>
                  </w:pPr>
                  <w:r>
                    <w:rPr>
                      <w:rFonts w:hint="eastAsia" w:cs="Times New Roman"/>
                      <w:lang w:val="en-US" w:eastAsia="zh-CN"/>
                    </w:rPr>
                    <w:t>100</w:t>
                  </w:r>
                </w:p>
              </w:tc>
              <w:tc>
                <w:tcPr>
                  <w:tcW w:w="1866" w:type="pct"/>
                  <w:vMerge w:val="continue"/>
                  <w:vAlign w:val="center"/>
                </w:tcPr>
                <w:p w14:paraId="24FDB520">
                  <w:pPr>
                    <w:pStyle w:val="12"/>
                    <w:rPr>
                      <w:rFonts w:hint="eastAsia" w:ascii="Times New Roman" w:hAnsi="Times New Roman" w:cs="Times New Roman"/>
                      <w:lang w:val="en-US" w:eastAsia="zh-CN"/>
                    </w:rPr>
                  </w:pPr>
                </w:p>
              </w:tc>
            </w:tr>
            <w:tr w14:paraId="291C6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47" w:type="pct"/>
                  <w:vAlign w:val="center"/>
                </w:tcPr>
                <w:p w14:paraId="572131E2">
                  <w:pPr>
                    <w:pStyle w:val="12"/>
                    <w:rPr>
                      <w:rFonts w:hint="eastAsia" w:ascii="Times New Roman" w:hAnsi="Times New Roman" w:eastAsia="宋体" w:cs="Times New Roman"/>
                      <w:lang w:val="en-US" w:eastAsia="zh-CN"/>
                    </w:rPr>
                  </w:pPr>
                  <w:r>
                    <w:rPr>
                      <w:rFonts w:hint="eastAsia" w:cs="Times New Roman"/>
                      <w:lang w:val="en-US" w:eastAsia="zh-CN"/>
                    </w:rPr>
                    <w:t>石油类</w:t>
                  </w:r>
                </w:p>
              </w:tc>
              <w:tc>
                <w:tcPr>
                  <w:tcW w:w="829" w:type="pct"/>
                  <w:vAlign w:val="center"/>
                </w:tcPr>
                <w:p w14:paraId="35DF9C5D">
                  <w:pPr>
                    <w:pStyle w:val="12"/>
                    <w:rPr>
                      <w:rFonts w:hint="default" w:ascii="Times New Roman" w:hAnsi="Times New Roman" w:cs="Times New Roman"/>
                    </w:rPr>
                  </w:pPr>
                  <w:r>
                    <w:rPr>
                      <w:rFonts w:hint="default" w:ascii="Times New Roman" w:hAnsi="Times New Roman" w:cs="Times New Roman"/>
                    </w:rPr>
                    <w:t>mg/L</w:t>
                  </w:r>
                </w:p>
              </w:tc>
              <w:tc>
                <w:tcPr>
                  <w:tcW w:w="1056" w:type="pct"/>
                  <w:vAlign w:val="center"/>
                </w:tcPr>
                <w:p w14:paraId="61EEA36D">
                  <w:pPr>
                    <w:pStyle w:val="12"/>
                    <w:rPr>
                      <w:rFonts w:hint="default" w:ascii="Times New Roman" w:hAnsi="Times New Roman" w:cs="Times New Roman"/>
                      <w:lang w:val="en-US" w:eastAsia="zh-CN"/>
                    </w:rPr>
                  </w:pPr>
                  <w:r>
                    <w:rPr>
                      <w:rFonts w:hint="eastAsia" w:cs="Times New Roman"/>
                      <w:lang w:val="en-US" w:eastAsia="zh-CN"/>
                    </w:rPr>
                    <w:t>20</w:t>
                  </w:r>
                </w:p>
              </w:tc>
              <w:tc>
                <w:tcPr>
                  <w:tcW w:w="1866" w:type="pct"/>
                  <w:vMerge w:val="continue"/>
                  <w:vAlign w:val="center"/>
                </w:tcPr>
                <w:p w14:paraId="1952F6A4">
                  <w:pPr>
                    <w:pStyle w:val="12"/>
                    <w:rPr>
                      <w:rFonts w:hint="eastAsia" w:ascii="Times New Roman" w:hAnsi="Times New Roman" w:cs="Times New Roman"/>
                      <w:lang w:val="en-US" w:eastAsia="zh-CN"/>
                    </w:rPr>
                  </w:pPr>
                </w:p>
              </w:tc>
            </w:tr>
            <w:tr w14:paraId="43DA4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0" w:hRule="atLeast"/>
                <w:jc w:val="center"/>
              </w:trPr>
              <w:tc>
                <w:tcPr>
                  <w:tcW w:w="1247" w:type="pct"/>
                  <w:vAlign w:val="center"/>
                </w:tcPr>
                <w:p w14:paraId="5105CF68">
                  <w:pPr>
                    <w:pStyle w:val="12"/>
                    <w:rPr>
                      <w:rFonts w:hint="default" w:ascii="Times New Roman" w:hAnsi="Times New Roman" w:cs="Times New Roman"/>
                      <w:lang w:val="en-US" w:eastAsia="zh-CN"/>
                    </w:rPr>
                  </w:pPr>
                  <w:r>
                    <w:rPr>
                      <w:rFonts w:hint="eastAsia" w:cs="Times New Roman"/>
                      <w:lang w:val="en-US" w:eastAsia="zh-CN"/>
                    </w:rPr>
                    <w:t>氨氮</w:t>
                  </w:r>
                </w:p>
              </w:tc>
              <w:tc>
                <w:tcPr>
                  <w:tcW w:w="829" w:type="pct"/>
                  <w:vAlign w:val="center"/>
                </w:tcPr>
                <w:p w14:paraId="4218E30C">
                  <w:pPr>
                    <w:pStyle w:val="12"/>
                    <w:ind w:firstLine="0" w:firstLineChars="0"/>
                    <w:rPr>
                      <w:rFonts w:hint="default" w:ascii="Times New Roman" w:hAnsi="Times New Roman" w:cs="Times New Roman"/>
                    </w:rPr>
                  </w:pPr>
                  <w:r>
                    <w:rPr>
                      <w:rFonts w:hint="default" w:ascii="Times New Roman" w:hAnsi="Times New Roman" w:cs="Times New Roman"/>
                    </w:rPr>
                    <w:t>mg/L</w:t>
                  </w:r>
                </w:p>
              </w:tc>
              <w:tc>
                <w:tcPr>
                  <w:tcW w:w="1056" w:type="pct"/>
                  <w:vAlign w:val="center"/>
                </w:tcPr>
                <w:p w14:paraId="615C5AA1">
                  <w:pPr>
                    <w:pStyle w:val="12"/>
                    <w:rPr>
                      <w:rFonts w:hint="default" w:ascii="Times New Roman" w:hAnsi="Times New Roman" w:cs="Times New Roman"/>
                      <w:lang w:val="en-US" w:eastAsia="zh-CN"/>
                    </w:rPr>
                  </w:pPr>
                  <w:r>
                    <w:rPr>
                      <w:rFonts w:hint="eastAsia" w:cs="Times New Roman"/>
                      <w:lang w:val="en-US" w:eastAsia="zh-CN"/>
                    </w:rPr>
                    <w:t>45</w:t>
                  </w:r>
                </w:p>
              </w:tc>
              <w:tc>
                <w:tcPr>
                  <w:tcW w:w="1866" w:type="pct"/>
                  <w:vMerge w:val="restart"/>
                  <w:vAlign w:val="center"/>
                </w:tcPr>
                <w:p w14:paraId="66136E7E">
                  <w:pPr>
                    <w:pStyle w:val="12"/>
                    <w:rPr>
                      <w:rFonts w:hint="eastAsia" w:ascii="Times New Roman" w:hAnsi="Times New Roman" w:cs="Times New Roman"/>
                      <w:lang w:val="en-US" w:eastAsia="zh-CN"/>
                    </w:rPr>
                  </w:pPr>
                  <w:r>
                    <w:rPr>
                      <w:rFonts w:hint="eastAsia" w:cs="Times New Roman"/>
                    </w:rPr>
                    <w:t>《污水排入城镇下水道水质标准》（GB/T31962-2015）B级标准</w:t>
                  </w:r>
                </w:p>
              </w:tc>
            </w:tr>
            <w:tr w14:paraId="674AD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47" w:type="pct"/>
                  <w:vAlign w:val="center"/>
                </w:tcPr>
                <w:p w14:paraId="34B980C7">
                  <w:pPr>
                    <w:pStyle w:val="12"/>
                    <w:rPr>
                      <w:rFonts w:hint="default" w:ascii="Times New Roman" w:hAnsi="Times New Roman" w:eastAsia="宋体" w:cs="Times New Roman"/>
                      <w:lang w:val="en-US" w:eastAsia="zh-CN"/>
                    </w:rPr>
                  </w:pPr>
                  <w:r>
                    <w:rPr>
                      <w:rFonts w:hint="eastAsia" w:cs="Times New Roman"/>
                      <w:lang w:val="en-US" w:eastAsia="zh-CN"/>
                    </w:rPr>
                    <w:t>总磷</w:t>
                  </w:r>
                </w:p>
              </w:tc>
              <w:tc>
                <w:tcPr>
                  <w:tcW w:w="829" w:type="pct"/>
                  <w:vAlign w:val="center"/>
                </w:tcPr>
                <w:p w14:paraId="4B8E1009">
                  <w:pPr>
                    <w:pStyle w:val="12"/>
                    <w:ind w:firstLine="0" w:firstLineChars="0"/>
                    <w:rPr>
                      <w:rFonts w:hint="default" w:ascii="Times New Roman" w:hAnsi="Times New Roman" w:cs="Times New Roman"/>
                    </w:rPr>
                  </w:pPr>
                  <w:r>
                    <w:rPr>
                      <w:rFonts w:hint="default" w:ascii="Times New Roman" w:hAnsi="Times New Roman" w:cs="Times New Roman"/>
                    </w:rPr>
                    <w:t>mg/L</w:t>
                  </w:r>
                </w:p>
              </w:tc>
              <w:tc>
                <w:tcPr>
                  <w:tcW w:w="1056" w:type="pct"/>
                  <w:vAlign w:val="center"/>
                </w:tcPr>
                <w:p w14:paraId="2409F686">
                  <w:pPr>
                    <w:pStyle w:val="12"/>
                    <w:rPr>
                      <w:rFonts w:hint="default" w:ascii="Times New Roman" w:hAnsi="Times New Roman" w:eastAsia="宋体" w:cs="Times New Roman"/>
                      <w:lang w:val="en-US" w:eastAsia="zh-CN"/>
                    </w:rPr>
                  </w:pPr>
                  <w:r>
                    <w:rPr>
                      <w:rFonts w:hint="eastAsia" w:cs="Times New Roman"/>
                      <w:lang w:val="en-US" w:eastAsia="zh-CN"/>
                    </w:rPr>
                    <w:t>8</w:t>
                  </w:r>
                </w:p>
              </w:tc>
              <w:tc>
                <w:tcPr>
                  <w:tcW w:w="1866" w:type="pct"/>
                  <w:vMerge w:val="continue"/>
                  <w:vAlign w:val="center"/>
                </w:tcPr>
                <w:p w14:paraId="7ED85509">
                  <w:pPr>
                    <w:pStyle w:val="12"/>
                    <w:rPr>
                      <w:rFonts w:hint="eastAsia" w:ascii="Times New Roman" w:hAnsi="Times New Roman" w:cs="Times New Roman"/>
                      <w:lang w:val="en-US" w:eastAsia="zh-CN"/>
                    </w:rPr>
                  </w:pPr>
                </w:p>
              </w:tc>
            </w:tr>
          </w:tbl>
          <w:p w14:paraId="1C679496">
            <w:pPr>
              <w:pStyle w:val="11"/>
              <w:keepNext/>
              <w:rPr>
                <w:rFonts w:hint="default" w:ascii="Times New Roman" w:hAnsi="Times New Roman" w:cs="Times New Roman"/>
              </w:rPr>
            </w:pPr>
            <w:r>
              <w:rPr>
                <w:rFonts w:hint="default" w:ascii="Times New Roman" w:hAnsi="Times New Roman" w:cs="Times New Roman"/>
              </w:rPr>
              <w:t>表</w:t>
            </w:r>
            <w:r>
              <w:rPr>
                <w:rFonts w:hint="eastAsia" w:cs="Times New Roman"/>
                <w:lang w:val="en-US" w:eastAsia="zh-CN"/>
              </w:rPr>
              <w:t>3</w:t>
            </w:r>
            <w:r>
              <w:rPr>
                <w:rFonts w:hint="default" w:ascii="Times New Roman" w:hAnsi="Times New Roman" w:cs="Times New Roman"/>
              </w:rPr>
              <w:noBreakHyphen/>
            </w:r>
            <w:r>
              <w:rPr>
                <w:rFonts w:hint="eastAsia" w:cs="Times New Roman"/>
                <w:lang w:val="en-US" w:eastAsia="zh-CN"/>
              </w:rPr>
              <w:t>10</w:t>
            </w:r>
            <w:r>
              <w:rPr>
                <w:rFonts w:hint="default" w:ascii="Times New Roman" w:hAnsi="Times New Roman" w:cs="Times New Roman"/>
              </w:rPr>
              <w:t xml:space="preserve"> 污水处理厂污染物排放标准</w:t>
            </w:r>
          </w:p>
          <w:tbl>
            <w:tblPr>
              <w:tblStyle w:val="2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2307"/>
              <w:gridCol w:w="1510"/>
              <w:gridCol w:w="1944"/>
              <w:gridCol w:w="3631"/>
            </w:tblGrid>
            <w:tr w14:paraId="10ACE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228" w:type="pct"/>
                  <w:vAlign w:val="center"/>
                </w:tcPr>
                <w:p w14:paraId="3C697B4C">
                  <w:pPr>
                    <w:pStyle w:val="45"/>
                    <w:rPr>
                      <w:rFonts w:hint="default" w:ascii="Times New Roman" w:hAnsi="Times New Roman" w:cs="Times New Roman"/>
                    </w:rPr>
                  </w:pPr>
                  <w:r>
                    <w:rPr>
                      <w:rFonts w:hint="default" w:ascii="Times New Roman" w:hAnsi="Times New Roman" w:cs="Times New Roman"/>
                    </w:rPr>
                    <w:t>项目</w:t>
                  </w:r>
                </w:p>
              </w:tc>
              <w:tc>
                <w:tcPr>
                  <w:tcW w:w="804" w:type="pct"/>
                  <w:vAlign w:val="center"/>
                </w:tcPr>
                <w:p w14:paraId="35ABDB84">
                  <w:pPr>
                    <w:pStyle w:val="45"/>
                    <w:rPr>
                      <w:rFonts w:hint="default" w:ascii="Times New Roman" w:hAnsi="Times New Roman" w:cs="Times New Roman"/>
                    </w:rPr>
                  </w:pPr>
                  <w:r>
                    <w:rPr>
                      <w:rFonts w:hint="default" w:ascii="Times New Roman" w:hAnsi="Times New Roman" w:cs="Times New Roman"/>
                    </w:rPr>
                    <w:t>单位</w:t>
                  </w:r>
                </w:p>
              </w:tc>
              <w:tc>
                <w:tcPr>
                  <w:tcW w:w="1035" w:type="pct"/>
                  <w:vAlign w:val="center"/>
                </w:tcPr>
                <w:p w14:paraId="1D1126AE">
                  <w:pPr>
                    <w:pStyle w:val="45"/>
                    <w:rPr>
                      <w:rFonts w:hint="default" w:ascii="Times New Roman" w:hAnsi="Times New Roman" w:cs="Times New Roman"/>
                    </w:rPr>
                  </w:pPr>
                  <w:r>
                    <w:rPr>
                      <w:rFonts w:hint="default" w:ascii="Times New Roman" w:hAnsi="Times New Roman" w:cs="Times New Roman"/>
                    </w:rPr>
                    <w:t>标准限值</w:t>
                  </w:r>
                </w:p>
              </w:tc>
              <w:tc>
                <w:tcPr>
                  <w:tcW w:w="1932" w:type="pct"/>
                  <w:vAlign w:val="center"/>
                </w:tcPr>
                <w:p w14:paraId="36059EE1">
                  <w:pPr>
                    <w:pStyle w:val="45"/>
                    <w:rPr>
                      <w:rFonts w:hint="default" w:ascii="Times New Roman" w:hAnsi="Times New Roman" w:cs="Times New Roman"/>
                    </w:rPr>
                  </w:pPr>
                  <w:r>
                    <w:rPr>
                      <w:rFonts w:hint="default" w:ascii="Times New Roman" w:hAnsi="Times New Roman" w:cs="Times New Roman"/>
                    </w:rPr>
                    <w:t>执行标准</w:t>
                  </w:r>
                </w:p>
              </w:tc>
            </w:tr>
            <w:tr w14:paraId="5DA3A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228" w:type="pct"/>
                  <w:vAlign w:val="center"/>
                </w:tcPr>
                <w:p w14:paraId="53B47C31">
                  <w:pPr>
                    <w:pStyle w:val="12"/>
                    <w:rPr>
                      <w:rFonts w:hint="default" w:ascii="Times New Roman" w:hAnsi="Times New Roman" w:cs="Times New Roman"/>
                    </w:rPr>
                  </w:pPr>
                  <w:r>
                    <w:rPr>
                      <w:rFonts w:hint="default" w:ascii="Times New Roman" w:hAnsi="Times New Roman" w:cs="Times New Roman"/>
                    </w:rPr>
                    <w:t>COD</w:t>
                  </w:r>
                  <w:r>
                    <w:rPr>
                      <w:rFonts w:hint="default" w:ascii="Times New Roman" w:hAnsi="Times New Roman" w:cs="Times New Roman"/>
                      <w:vertAlign w:val="subscript"/>
                    </w:rPr>
                    <w:t>Cr</w:t>
                  </w:r>
                </w:p>
              </w:tc>
              <w:tc>
                <w:tcPr>
                  <w:tcW w:w="804" w:type="pct"/>
                  <w:vAlign w:val="center"/>
                </w:tcPr>
                <w:p w14:paraId="4E0D3E9D">
                  <w:pPr>
                    <w:pStyle w:val="12"/>
                    <w:rPr>
                      <w:rFonts w:hint="default" w:ascii="Times New Roman" w:hAnsi="Times New Roman" w:cs="Times New Roman"/>
                    </w:rPr>
                  </w:pPr>
                  <w:r>
                    <w:rPr>
                      <w:rFonts w:hint="default" w:ascii="Times New Roman" w:hAnsi="Times New Roman" w:cs="Times New Roman"/>
                    </w:rPr>
                    <w:t>mg/L</w:t>
                  </w:r>
                </w:p>
              </w:tc>
              <w:tc>
                <w:tcPr>
                  <w:tcW w:w="1035" w:type="pct"/>
                  <w:vAlign w:val="center"/>
                </w:tcPr>
                <w:p w14:paraId="6D27EC91">
                  <w:pPr>
                    <w:pStyle w:val="12"/>
                    <w:rPr>
                      <w:rFonts w:hint="default" w:ascii="Times New Roman" w:hAnsi="Times New Roman" w:eastAsia="宋体" w:cs="Times New Roman"/>
                      <w:lang w:val="en-US" w:eastAsia="zh-CN"/>
                    </w:rPr>
                  </w:pPr>
                  <w:r>
                    <w:rPr>
                      <w:rFonts w:hint="eastAsia" w:ascii="Times New Roman" w:hAnsi="Times New Roman" w:cs="Times New Roman"/>
                      <w:lang w:val="en-US" w:eastAsia="zh-CN"/>
                    </w:rPr>
                    <w:t>50</w:t>
                  </w:r>
                </w:p>
              </w:tc>
              <w:tc>
                <w:tcPr>
                  <w:tcW w:w="1932" w:type="pct"/>
                  <w:vMerge w:val="restart"/>
                  <w:vAlign w:val="center"/>
                </w:tcPr>
                <w:p w14:paraId="2FAB6738">
                  <w:pPr>
                    <w:pStyle w:val="12"/>
                    <w:rPr>
                      <w:rFonts w:hint="default" w:ascii="Times New Roman" w:hAnsi="Times New Roman" w:cs="Times New Roman"/>
                    </w:rPr>
                  </w:pPr>
                  <w:r>
                    <w:rPr>
                      <w:rFonts w:hint="default" w:ascii="Times New Roman" w:hAnsi="Times New Roman" w:cs="Times New Roman"/>
                      <w:color w:val="000000"/>
                      <w:lang w:val="en-US" w:eastAsia="zh-CN"/>
                    </w:rPr>
                    <w:t>《城镇污水处理厂污染物排放标准》（GB18918-2002）中一级A</w:t>
                  </w:r>
                  <w:r>
                    <w:rPr>
                      <w:rFonts w:hint="default" w:ascii="Times New Roman" w:hAnsi="Times New Roman" w:cs="Times New Roman"/>
                    </w:rPr>
                    <w:t>标准</w:t>
                  </w:r>
                </w:p>
              </w:tc>
            </w:tr>
            <w:tr w14:paraId="47E91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228" w:type="pct"/>
                  <w:vAlign w:val="center"/>
                </w:tcPr>
                <w:p w14:paraId="69A14D20">
                  <w:pPr>
                    <w:pStyle w:val="12"/>
                    <w:rPr>
                      <w:rFonts w:hint="default" w:ascii="Times New Roman" w:hAnsi="Times New Roman" w:cs="Times New Roman"/>
                    </w:rPr>
                  </w:pPr>
                  <w:r>
                    <w:rPr>
                      <w:rFonts w:hint="default" w:ascii="Times New Roman" w:hAnsi="Times New Roman" w:cs="Times New Roman"/>
                    </w:rPr>
                    <w:t>BOD</w:t>
                  </w:r>
                  <w:r>
                    <w:rPr>
                      <w:rFonts w:hint="default" w:ascii="Times New Roman" w:hAnsi="Times New Roman" w:cs="Times New Roman"/>
                      <w:vertAlign w:val="subscript"/>
                    </w:rPr>
                    <w:t>5</w:t>
                  </w:r>
                </w:p>
              </w:tc>
              <w:tc>
                <w:tcPr>
                  <w:tcW w:w="804" w:type="pct"/>
                  <w:vAlign w:val="center"/>
                </w:tcPr>
                <w:p w14:paraId="6C18AF65">
                  <w:pPr>
                    <w:pStyle w:val="12"/>
                    <w:rPr>
                      <w:rFonts w:hint="default" w:ascii="Times New Roman" w:hAnsi="Times New Roman" w:cs="Times New Roman"/>
                    </w:rPr>
                  </w:pPr>
                  <w:r>
                    <w:rPr>
                      <w:rFonts w:hint="default" w:ascii="Times New Roman" w:hAnsi="Times New Roman" w:cs="Times New Roman"/>
                    </w:rPr>
                    <w:t>mg/L</w:t>
                  </w:r>
                </w:p>
              </w:tc>
              <w:tc>
                <w:tcPr>
                  <w:tcW w:w="1035" w:type="pct"/>
                  <w:vAlign w:val="center"/>
                </w:tcPr>
                <w:p w14:paraId="0A0DAFAE">
                  <w:pPr>
                    <w:pStyle w:val="12"/>
                    <w:rPr>
                      <w:rFonts w:hint="default" w:ascii="Times New Roman" w:hAnsi="Times New Roman" w:eastAsia="宋体" w:cs="Times New Roman"/>
                      <w:lang w:val="en-US" w:eastAsia="zh-CN"/>
                    </w:rPr>
                  </w:pPr>
                  <w:r>
                    <w:rPr>
                      <w:rFonts w:hint="eastAsia" w:ascii="Times New Roman" w:hAnsi="Times New Roman" w:cs="Times New Roman"/>
                      <w:lang w:val="en-US" w:eastAsia="zh-CN"/>
                    </w:rPr>
                    <w:t>10</w:t>
                  </w:r>
                </w:p>
              </w:tc>
              <w:tc>
                <w:tcPr>
                  <w:tcW w:w="1932" w:type="pct"/>
                  <w:vMerge w:val="continue"/>
                  <w:vAlign w:val="center"/>
                </w:tcPr>
                <w:p w14:paraId="4A194E99">
                  <w:pPr>
                    <w:pStyle w:val="12"/>
                    <w:rPr>
                      <w:rFonts w:hint="default" w:ascii="Times New Roman" w:hAnsi="Times New Roman" w:cs="Times New Roman"/>
                    </w:rPr>
                  </w:pPr>
                </w:p>
              </w:tc>
            </w:tr>
            <w:tr w14:paraId="50330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228" w:type="pct"/>
                  <w:vAlign w:val="center"/>
                </w:tcPr>
                <w:p w14:paraId="4B15960C">
                  <w:pPr>
                    <w:pStyle w:val="12"/>
                    <w:rPr>
                      <w:rFonts w:hint="default" w:ascii="Times New Roman" w:hAnsi="Times New Roman" w:eastAsia="宋体" w:cs="Times New Roman"/>
                      <w:lang w:val="en-US" w:eastAsia="zh-CN"/>
                    </w:rPr>
                  </w:pPr>
                  <w:r>
                    <w:rPr>
                      <w:rFonts w:hint="eastAsia" w:ascii="Times New Roman" w:hAnsi="Times New Roman" w:cs="Times New Roman"/>
                      <w:lang w:val="en-US" w:eastAsia="zh-CN"/>
                    </w:rPr>
                    <w:t>SS</w:t>
                  </w:r>
                </w:p>
              </w:tc>
              <w:tc>
                <w:tcPr>
                  <w:tcW w:w="804" w:type="pct"/>
                  <w:vAlign w:val="center"/>
                </w:tcPr>
                <w:p w14:paraId="03B37C28">
                  <w:pPr>
                    <w:pStyle w:val="12"/>
                    <w:rPr>
                      <w:rFonts w:hint="default" w:ascii="Times New Roman" w:hAnsi="Times New Roman" w:cs="Times New Roman"/>
                    </w:rPr>
                  </w:pPr>
                  <w:r>
                    <w:rPr>
                      <w:rFonts w:hint="default" w:ascii="Times New Roman" w:hAnsi="Times New Roman" w:cs="Times New Roman"/>
                    </w:rPr>
                    <w:t>mg/L</w:t>
                  </w:r>
                </w:p>
              </w:tc>
              <w:tc>
                <w:tcPr>
                  <w:tcW w:w="1035" w:type="pct"/>
                  <w:vAlign w:val="center"/>
                </w:tcPr>
                <w:p w14:paraId="01EFDBE4">
                  <w:pPr>
                    <w:pStyle w:val="12"/>
                    <w:rPr>
                      <w:rFonts w:hint="default" w:ascii="Times New Roman" w:hAnsi="Times New Roman" w:cs="Times New Roman"/>
                      <w:lang w:val="en-US" w:eastAsia="zh-CN"/>
                    </w:rPr>
                  </w:pPr>
                  <w:r>
                    <w:rPr>
                      <w:rFonts w:hint="eastAsia" w:ascii="Times New Roman" w:hAnsi="Times New Roman" w:cs="Times New Roman"/>
                      <w:lang w:val="en-US" w:eastAsia="zh-CN"/>
                    </w:rPr>
                    <w:t>10</w:t>
                  </w:r>
                </w:p>
              </w:tc>
              <w:tc>
                <w:tcPr>
                  <w:tcW w:w="1932" w:type="pct"/>
                  <w:vMerge w:val="continue"/>
                  <w:vAlign w:val="center"/>
                </w:tcPr>
                <w:p w14:paraId="6524EBFA">
                  <w:pPr>
                    <w:pStyle w:val="12"/>
                    <w:rPr>
                      <w:rFonts w:hint="default" w:ascii="Times New Roman" w:hAnsi="Times New Roman" w:cs="Times New Roman"/>
                    </w:rPr>
                  </w:pPr>
                </w:p>
              </w:tc>
            </w:tr>
            <w:tr w14:paraId="319CB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228" w:type="pct"/>
                  <w:vAlign w:val="center"/>
                </w:tcPr>
                <w:p w14:paraId="548DB03E">
                  <w:pPr>
                    <w:pStyle w:val="12"/>
                    <w:rPr>
                      <w:rFonts w:hint="default" w:ascii="Times New Roman" w:hAnsi="Times New Roman" w:cs="Times New Roman"/>
                    </w:rPr>
                  </w:pPr>
                  <w:r>
                    <w:rPr>
                      <w:rFonts w:hint="default" w:ascii="Times New Roman" w:hAnsi="Times New Roman" w:cs="Times New Roman"/>
                    </w:rPr>
                    <w:t>NH</w:t>
                  </w:r>
                  <w:r>
                    <w:rPr>
                      <w:rFonts w:hint="default" w:ascii="Times New Roman" w:hAnsi="Times New Roman" w:cs="Times New Roman"/>
                      <w:vertAlign w:val="subscript"/>
                    </w:rPr>
                    <w:t>3</w:t>
                  </w:r>
                  <w:r>
                    <w:rPr>
                      <w:rFonts w:hint="default" w:ascii="Times New Roman" w:hAnsi="Times New Roman" w:cs="Times New Roman"/>
                    </w:rPr>
                    <w:t>-N</w:t>
                  </w:r>
                </w:p>
              </w:tc>
              <w:tc>
                <w:tcPr>
                  <w:tcW w:w="804" w:type="pct"/>
                  <w:vAlign w:val="center"/>
                </w:tcPr>
                <w:p w14:paraId="5AAF1E07">
                  <w:pPr>
                    <w:pStyle w:val="12"/>
                    <w:rPr>
                      <w:rFonts w:hint="default" w:ascii="Times New Roman" w:hAnsi="Times New Roman" w:cs="Times New Roman"/>
                    </w:rPr>
                  </w:pPr>
                  <w:r>
                    <w:rPr>
                      <w:rFonts w:hint="default" w:ascii="Times New Roman" w:hAnsi="Times New Roman" w:cs="Times New Roman"/>
                    </w:rPr>
                    <w:t>mg/L</w:t>
                  </w:r>
                </w:p>
              </w:tc>
              <w:tc>
                <w:tcPr>
                  <w:tcW w:w="1035" w:type="pct"/>
                  <w:vAlign w:val="center"/>
                </w:tcPr>
                <w:p w14:paraId="0B1FD4C7">
                  <w:pPr>
                    <w:pStyle w:val="12"/>
                    <w:rPr>
                      <w:rFonts w:hint="default" w:ascii="Times New Roman" w:hAnsi="Times New Roman" w:cs="Times New Roman"/>
                    </w:rPr>
                  </w:pPr>
                  <w:r>
                    <w:rPr>
                      <w:rFonts w:hint="eastAsia" w:ascii="Times New Roman" w:hAnsi="Times New Roman" w:cs="Times New Roman"/>
                      <w:lang w:val="en-US" w:eastAsia="zh-CN"/>
                    </w:rPr>
                    <w:t>5</w:t>
                  </w:r>
                  <w:r>
                    <w:rPr>
                      <w:rFonts w:hint="default" w:ascii="Times New Roman" w:hAnsi="Times New Roman" w:cs="Times New Roman"/>
                    </w:rPr>
                    <w:t>（</w:t>
                  </w:r>
                  <w:r>
                    <w:rPr>
                      <w:rFonts w:hint="eastAsia" w:ascii="Times New Roman" w:hAnsi="Times New Roman" w:cs="Times New Roman"/>
                      <w:lang w:val="en-US" w:eastAsia="zh-CN"/>
                    </w:rPr>
                    <w:t>8</w:t>
                  </w:r>
                  <w:r>
                    <w:rPr>
                      <w:rFonts w:hint="default" w:ascii="Times New Roman" w:hAnsi="Times New Roman" w:cs="Times New Roman"/>
                    </w:rPr>
                    <w:t>）</w:t>
                  </w:r>
                </w:p>
              </w:tc>
              <w:tc>
                <w:tcPr>
                  <w:tcW w:w="1932" w:type="pct"/>
                  <w:vMerge w:val="continue"/>
                  <w:vAlign w:val="center"/>
                </w:tcPr>
                <w:p w14:paraId="5F328ECA">
                  <w:pPr>
                    <w:pStyle w:val="12"/>
                    <w:rPr>
                      <w:rFonts w:hint="default" w:ascii="Times New Roman" w:hAnsi="Times New Roman" w:cs="Times New Roman"/>
                    </w:rPr>
                  </w:pPr>
                </w:p>
              </w:tc>
            </w:tr>
            <w:tr w14:paraId="4D79D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228" w:type="pct"/>
                  <w:vAlign w:val="center"/>
                </w:tcPr>
                <w:p w14:paraId="63A1E039">
                  <w:pPr>
                    <w:pStyle w:val="12"/>
                    <w:rPr>
                      <w:rFonts w:hint="default" w:ascii="Times New Roman" w:hAnsi="Times New Roman" w:cs="Times New Roman"/>
                    </w:rPr>
                  </w:pPr>
                  <w:r>
                    <w:rPr>
                      <w:rFonts w:hint="default" w:ascii="Times New Roman" w:hAnsi="Times New Roman" w:cs="Times New Roman"/>
                    </w:rPr>
                    <w:t>TN</w:t>
                  </w:r>
                </w:p>
              </w:tc>
              <w:tc>
                <w:tcPr>
                  <w:tcW w:w="804" w:type="pct"/>
                  <w:vAlign w:val="center"/>
                </w:tcPr>
                <w:p w14:paraId="5423D208">
                  <w:pPr>
                    <w:pStyle w:val="12"/>
                    <w:rPr>
                      <w:rFonts w:hint="default" w:ascii="Times New Roman" w:hAnsi="Times New Roman" w:cs="Times New Roman"/>
                    </w:rPr>
                  </w:pPr>
                  <w:r>
                    <w:rPr>
                      <w:rFonts w:hint="default" w:ascii="Times New Roman" w:hAnsi="Times New Roman" w:cs="Times New Roman"/>
                    </w:rPr>
                    <w:t>mg/L</w:t>
                  </w:r>
                </w:p>
              </w:tc>
              <w:tc>
                <w:tcPr>
                  <w:tcW w:w="1035" w:type="pct"/>
                  <w:vAlign w:val="center"/>
                </w:tcPr>
                <w:p w14:paraId="7D3D6940">
                  <w:pPr>
                    <w:pStyle w:val="12"/>
                    <w:rPr>
                      <w:rFonts w:hint="default" w:ascii="Times New Roman" w:hAnsi="Times New Roman" w:eastAsia="宋体" w:cs="Times New Roman"/>
                      <w:lang w:val="en-US" w:eastAsia="zh-CN"/>
                    </w:rPr>
                  </w:pPr>
                  <w:r>
                    <w:rPr>
                      <w:rFonts w:hint="eastAsia" w:ascii="Times New Roman" w:hAnsi="Times New Roman" w:cs="Times New Roman"/>
                      <w:lang w:val="en-US" w:eastAsia="zh-CN"/>
                    </w:rPr>
                    <w:t>15</w:t>
                  </w:r>
                </w:p>
              </w:tc>
              <w:tc>
                <w:tcPr>
                  <w:tcW w:w="1932" w:type="pct"/>
                  <w:vMerge w:val="continue"/>
                  <w:vAlign w:val="center"/>
                </w:tcPr>
                <w:p w14:paraId="37FBAF1E">
                  <w:pPr>
                    <w:pStyle w:val="12"/>
                    <w:rPr>
                      <w:rFonts w:hint="default" w:ascii="Times New Roman" w:hAnsi="Times New Roman" w:cs="Times New Roman"/>
                    </w:rPr>
                  </w:pPr>
                </w:p>
              </w:tc>
            </w:tr>
            <w:tr w14:paraId="38C36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228" w:type="pct"/>
                  <w:vAlign w:val="center"/>
                </w:tcPr>
                <w:p w14:paraId="56366749">
                  <w:pPr>
                    <w:pStyle w:val="12"/>
                    <w:rPr>
                      <w:rFonts w:hint="default" w:ascii="Times New Roman" w:hAnsi="Times New Roman" w:cs="Times New Roman"/>
                    </w:rPr>
                  </w:pPr>
                  <w:r>
                    <w:rPr>
                      <w:rFonts w:hint="default" w:ascii="Times New Roman" w:hAnsi="Times New Roman" w:cs="Times New Roman"/>
                    </w:rPr>
                    <w:t>TP</w:t>
                  </w:r>
                </w:p>
              </w:tc>
              <w:tc>
                <w:tcPr>
                  <w:tcW w:w="804" w:type="pct"/>
                  <w:vAlign w:val="center"/>
                </w:tcPr>
                <w:p w14:paraId="00252FAB">
                  <w:pPr>
                    <w:pStyle w:val="12"/>
                    <w:rPr>
                      <w:rFonts w:hint="default" w:ascii="Times New Roman" w:hAnsi="Times New Roman" w:cs="Times New Roman"/>
                    </w:rPr>
                  </w:pPr>
                  <w:r>
                    <w:rPr>
                      <w:rFonts w:hint="default" w:ascii="Times New Roman" w:hAnsi="Times New Roman" w:cs="Times New Roman"/>
                    </w:rPr>
                    <w:t>mg/L</w:t>
                  </w:r>
                </w:p>
              </w:tc>
              <w:tc>
                <w:tcPr>
                  <w:tcW w:w="1035" w:type="pct"/>
                  <w:vAlign w:val="center"/>
                </w:tcPr>
                <w:p w14:paraId="2DA265ED">
                  <w:pPr>
                    <w:pStyle w:val="12"/>
                    <w:rPr>
                      <w:rFonts w:hint="default" w:ascii="Times New Roman" w:hAnsi="Times New Roman" w:eastAsia="宋体" w:cs="Times New Roman"/>
                      <w:lang w:val="en-US" w:eastAsia="zh-CN"/>
                    </w:rPr>
                  </w:pPr>
                  <w:r>
                    <w:rPr>
                      <w:rFonts w:hint="eastAsia" w:ascii="Times New Roman" w:hAnsi="Times New Roman" w:cs="Times New Roman"/>
                      <w:lang w:val="en-US" w:eastAsia="zh-CN"/>
                    </w:rPr>
                    <w:t>0.5</w:t>
                  </w:r>
                </w:p>
              </w:tc>
              <w:tc>
                <w:tcPr>
                  <w:tcW w:w="1932" w:type="pct"/>
                  <w:vMerge w:val="continue"/>
                  <w:vAlign w:val="center"/>
                </w:tcPr>
                <w:p w14:paraId="4A2CEE6B">
                  <w:pPr>
                    <w:pStyle w:val="12"/>
                    <w:rPr>
                      <w:rFonts w:hint="default" w:ascii="Times New Roman" w:hAnsi="Times New Roman" w:cs="Times New Roman"/>
                    </w:rPr>
                  </w:pPr>
                </w:p>
              </w:tc>
            </w:tr>
            <w:tr w14:paraId="72E34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228" w:type="pct"/>
                  <w:vAlign w:val="center"/>
                </w:tcPr>
                <w:p w14:paraId="3FC2EBA6">
                  <w:pPr>
                    <w:pStyle w:val="12"/>
                    <w:ind w:firstLine="0" w:firstLineChars="0"/>
                    <w:rPr>
                      <w:rFonts w:hint="default" w:ascii="Times New Roman" w:hAnsi="Times New Roman" w:cs="Times New Roman"/>
                    </w:rPr>
                  </w:pPr>
                  <w:r>
                    <w:rPr>
                      <w:rFonts w:hint="eastAsia" w:ascii="Times New Roman" w:hAnsi="Times New Roman" w:cs="Times New Roman"/>
                      <w:lang w:val="en-US" w:eastAsia="zh-CN"/>
                    </w:rPr>
                    <w:t>石油类</w:t>
                  </w:r>
                </w:p>
              </w:tc>
              <w:tc>
                <w:tcPr>
                  <w:tcW w:w="804" w:type="pct"/>
                  <w:vAlign w:val="center"/>
                </w:tcPr>
                <w:p w14:paraId="768A5A05">
                  <w:pPr>
                    <w:pStyle w:val="12"/>
                    <w:ind w:firstLine="0" w:firstLineChars="0"/>
                    <w:rPr>
                      <w:rFonts w:hint="default" w:ascii="Times New Roman" w:hAnsi="Times New Roman" w:cs="Times New Roman"/>
                    </w:rPr>
                  </w:pPr>
                  <w:r>
                    <w:rPr>
                      <w:rFonts w:hint="default" w:ascii="Times New Roman" w:hAnsi="Times New Roman" w:cs="Times New Roman"/>
                    </w:rPr>
                    <w:t>mg/L</w:t>
                  </w:r>
                </w:p>
              </w:tc>
              <w:tc>
                <w:tcPr>
                  <w:tcW w:w="1035" w:type="pct"/>
                  <w:vAlign w:val="center"/>
                </w:tcPr>
                <w:p w14:paraId="7C839799">
                  <w:pPr>
                    <w:pStyle w:val="12"/>
                    <w:rPr>
                      <w:rFonts w:hint="default" w:ascii="Times New Roman" w:hAnsi="Times New Roman" w:cs="Times New Roman"/>
                      <w:lang w:val="en-US" w:eastAsia="zh-CN"/>
                    </w:rPr>
                  </w:pPr>
                  <w:r>
                    <w:rPr>
                      <w:rFonts w:hint="eastAsia" w:ascii="Times New Roman" w:hAnsi="Times New Roman" w:cs="Times New Roman"/>
                      <w:lang w:val="en-US" w:eastAsia="zh-CN"/>
                    </w:rPr>
                    <w:t>1</w:t>
                  </w:r>
                </w:p>
              </w:tc>
              <w:tc>
                <w:tcPr>
                  <w:tcW w:w="1932" w:type="pct"/>
                  <w:vMerge w:val="continue"/>
                  <w:vAlign w:val="center"/>
                </w:tcPr>
                <w:p w14:paraId="688535F5">
                  <w:pPr>
                    <w:pStyle w:val="12"/>
                    <w:rPr>
                      <w:rFonts w:hint="default" w:ascii="Times New Roman" w:hAnsi="Times New Roman" w:cs="Times New Roman"/>
                    </w:rPr>
                  </w:pPr>
                </w:p>
              </w:tc>
            </w:tr>
            <w:tr w14:paraId="06396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228" w:type="pct"/>
                  <w:vAlign w:val="center"/>
                </w:tcPr>
                <w:p w14:paraId="5B82612F">
                  <w:pPr>
                    <w:pStyle w:val="12"/>
                    <w:ind w:firstLine="0" w:firstLineChars="0"/>
                    <w:rPr>
                      <w:rFonts w:hint="default" w:ascii="Times New Roman" w:hAnsi="Times New Roman" w:cs="Times New Roman"/>
                    </w:rPr>
                  </w:pPr>
                  <w:r>
                    <w:rPr>
                      <w:rFonts w:hint="eastAsia" w:ascii="Times New Roman" w:hAnsi="Times New Roman" w:cs="Times New Roman"/>
                      <w:lang w:val="en-US" w:eastAsia="zh-CN"/>
                    </w:rPr>
                    <w:t>硫化物</w:t>
                  </w:r>
                </w:p>
              </w:tc>
              <w:tc>
                <w:tcPr>
                  <w:tcW w:w="804" w:type="pct"/>
                  <w:vAlign w:val="center"/>
                </w:tcPr>
                <w:p w14:paraId="77181AF8">
                  <w:pPr>
                    <w:pStyle w:val="12"/>
                    <w:ind w:firstLine="0" w:firstLineChars="0"/>
                    <w:rPr>
                      <w:rFonts w:hint="default" w:ascii="Times New Roman" w:hAnsi="Times New Roman" w:cs="Times New Roman"/>
                    </w:rPr>
                  </w:pPr>
                  <w:r>
                    <w:rPr>
                      <w:rFonts w:hint="default" w:ascii="Times New Roman" w:hAnsi="Times New Roman" w:cs="Times New Roman"/>
                    </w:rPr>
                    <w:t>mg/L</w:t>
                  </w:r>
                </w:p>
              </w:tc>
              <w:tc>
                <w:tcPr>
                  <w:tcW w:w="1035" w:type="pct"/>
                  <w:vAlign w:val="center"/>
                </w:tcPr>
                <w:p w14:paraId="3172708C">
                  <w:pPr>
                    <w:pStyle w:val="12"/>
                    <w:rPr>
                      <w:rFonts w:hint="default" w:ascii="Times New Roman" w:hAnsi="Times New Roman" w:cs="Times New Roman"/>
                      <w:lang w:val="en-US" w:eastAsia="zh-CN"/>
                    </w:rPr>
                  </w:pPr>
                  <w:r>
                    <w:rPr>
                      <w:rFonts w:hint="eastAsia" w:ascii="Times New Roman" w:hAnsi="Times New Roman" w:cs="Times New Roman"/>
                      <w:lang w:val="en-US" w:eastAsia="zh-CN"/>
                    </w:rPr>
                    <w:t>1</w:t>
                  </w:r>
                </w:p>
              </w:tc>
              <w:tc>
                <w:tcPr>
                  <w:tcW w:w="1932" w:type="pct"/>
                  <w:vMerge w:val="continue"/>
                  <w:vAlign w:val="center"/>
                </w:tcPr>
                <w:p w14:paraId="0E7F6451">
                  <w:pPr>
                    <w:pStyle w:val="12"/>
                    <w:rPr>
                      <w:rFonts w:hint="default" w:ascii="Times New Roman" w:hAnsi="Times New Roman" w:cs="Times New Roman"/>
                    </w:rPr>
                  </w:pPr>
                </w:p>
              </w:tc>
            </w:tr>
            <w:tr w14:paraId="29F97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5000" w:type="pct"/>
                  <w:gridSpan w:val="4"/>
                  <w:vAlign w:val="center"/>
                </w:tcPr>
                <w:p w14:paraId="3B14D9EF">
                  <w:pPr>
                    <w:pStyle w:val="12"/>
                    <w:jc w:val="left"/>
                    <w:rPr>
                      <w:rFonts w:hint="default" w:ascii="Times New Roman" w:hAnsi="Times New Roman" w:cs="Times New Roman"/>
                    </w:rPr>
                  </w:pPr>
                  <w:r>
                    <w:rPr>
                      <w:rFonts w:hint="default" w:ascii="Times New Roman" w:hAnsi="Times New Roman" w:cs="Times New Roman"/>
                    </w:rPr>
                    <w:t>注：1）污染物排放监控位置为排污单位污水总排口；2）氨氮指标括号外数值为水温＞12℃时的控制指标，括号内数值为水温≤12℃时的控制指标；</w:t>
                  </w:r>
                </w:p>
              </w:tc>
            </w:tr>
          </w:tbl>
          <w:p w14:paraId="7BE2ED57">
            <w:pPr>
              <w:pStyle w:val="3"/>
              <w:spacing w:before="163"/>
              <w:rPr>
                <w:rFonts w:hint="default" w:ascii="Times New Roman" w:hAnsi="Times New Roman" w:cs="Times New Roman"/>
              </w:rPr>
            </w:pPr>
            <w:r>
              <w:rPr>
                <w:rFonts w:hint="default" w:ascii="Times New Roman" w:hAnsi="Times New Roman" w:cs="Times New Roman"/>
              </w:rPr>
              <w:t>3、噪声</w:t>
            </w:r>
          </w:p>
          <w:p w14:paraId="0AC61233">
            <w:pPr>
              <w:ind w:firstLine="480"/>
              <w:rPr>
                <w:rFonts w:hint="default" w:ascii="Times New Roman" w:hAnsi="Times New Roman" w:cs="Times New Roman"/>
              </w:rPr>
            </w:pPr>
            <w:r>
              <w:rPr>
                <w:rFonts w:hint="default" w:ascii="Times New Roman" w:hAnsi="Times New Roman" w:cs="Times New Roman"/>
              </w:rPr>
              <w:t>施工期执行《建筑施工噪声排放标准》（GB12523-20</w:t>
            </w:r>
            <w:r>
              <w:rPr>
                <w:rFonts w:hint="eastAsia" w:cs="Times New Roman"/>
                <w:lang w:val="en-US" w:eastAsia="zh-CN"/>
              </w:rPr>
              <w:t>25</w:t>
            </w:r>
            <w:r>
              <w:rPr>
                <w:rFonts w:hint="default" w:ascii="Times New Roman" w:hAnsi="Times New Roman" w:cs="Times New Roman"/>
              </w:rPr>
              <w:t>）标准：</w:t>
            </w:r>
          </w:p>
          <w:p w14:paraId="729FE822">
            <w:pPr>
              <w:pStyle w:val="11"/>
              <w:keepNext/>
              <w:rPr>
                <w:rFonts w:hint="default" w:ascii="Times New Roman" w:hAnsi="Times New Roman" w:cs="Times New Roman"/>
              </w:rPr>
            </w:pPr>
            <w:r>
              <w:rPr>
                <w:rFonts w:hint="default" w:ascii="Times New Roman" w:hAnsi="Times New Roman" w:cs="Times New Roman"/>
              </w:rPr>
              <w:t>表</w:t>
            </w:r>
            <w:r>
              <w:rPr>
                <w:rFonts w:hint="eastAsia" w:cs="Times New Roman"/>
                <w:lang w:val="en-US" w:eastAsia="zh-CN"/>
              </w:rPr>
              <w:t>3</w:t>
            </w:r>
            <w:r>
              <w:rPr>
                <w:rFonts w:hint="default" w:ascii="Times New Roman" w:hAnsi="Times New Roman" w:cs="Times New Roman"/>
              </w:rPr>
              <w:noBreakHyphen/>
            </w:r>
            <w:r>
              <w:rPr>
                <w:rFonts w:hint="eastAsia" w:cs="Times New Roman"/>
                <w:lang w:val="en-US" w:eastAsia="zh-CN"/>
              </w:rPr>
              <w:t>11</w:t>
            </w:r>
            <w:r>
              <w:rPr>
                <w:rFonts w:hint="default" w:ascii="Times New Roman" w:hAnsi="Times New Roman" w:cs="Times New Roman"/>
              </w:rPr>
              <w:t xml:space="preserve"> 建筑施工噪声排放标准</w:t>
            </w:r>
          </w:p>
          <w:tbl>
            <w:tblPr>
              <w:tblStyle w:val="2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4876"/>
              <w:gridCol w:w="4516"/>
            </w:tblGrid>
            <w:tr w14:paraId="4069D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596" w:type="pct"/>
                  <w:vAlign w:val="center"/>
                </w:tcPr>
                <w:p w14:paraId="62B8924B">
                  <w:pPr>
                    <w:pStyle w:val="12"/>
                    <w:rPr>
                      <w:rFonts w:hint="default" w:ascii="Times New Roman" w:hAnsi="Times New Roman" w:cs="Times New Roman"/>
                      <w:b/>
                    </w:rPr>
                  </w:pPr>
                  <w:r>
                    <w:rPr>
                      <w:rFonts w:hint="default" w:ascii="Times New Roman" w:hAnsi="Times New Roman" w:cs="Times New Roman"/>
                      <w:b/>
                    </w:rPr>
                    <w:t>昼间（</w:t>
                  </w:r>
                  <w:r>
                    <w:rPr>
                      <w:rFonts w:hint="default" w:ascii="Times New Roman" w:hAnsi="Times New Roman" w:cs="Times New Roman"/>
                      <w:b/>
                      <w:lang w:val="zh-CN"/>
                    </w:rPr>
                    <w:t>Leq dB（A</w:t>
                  </w:r>
                  <w:r>
                    <w:rPr>
                      <w:rFonts w:hint="default" w:ascii="Times New Roman" w:hAnsi="Times New Roman" w:cs="Times New Roman"/>
                      <w:b/>
                    </w:rPr>
                    <w:t>）</w:t>
                  </w:r>
                </w:p>
              </w:tc>
              <w:tc>
                <w:tcPr>
                  <w:tcW w:w="2404" w:type="pct"/>
                  <w:vAlign w:val="center"/>
                </w:tcPr>
                <w:p w14:paraId="5DD145A6">
                  <w:pPr>
                    <w:pStyle w:val="12"/>
                    <w:rPr>
                      <w:rFonts w:hint="default" w:ascii="Times New Roman" w:hAnsi="Times New Roman" w:cs="Times New Roman"/>
                      <w:b/>
                    </w:rPr>
                  </w:pPr>
                  <w:r>
                    <w:rPr>
                      <w:rFonts w:hint="default" w:ascii="Times New Roman" w:hAnsi="Times New Roman" w:cs="Times New Roman"/>
                      <w:b/>
                    </w:rPr>
                    <w:t>夜间</w:t>
                  </w:r>
                  <w:r>
                    <w:rPr>
                      <w:rFonts w:hint="default" w:ascii="Times New Roman" w:hAnsi="Times New Roman" w:cs="Times New Roman"/>
                      <w:b/>
                      <w:lang w:val="zh-CN"/>
                    </w:rPr>
                    <w:t>Leq dB（A）</w:t>
                  </w:r>
                </w:p>
              </w:tc>
            </w:tr>
            <w:tr w14:paraId="3CBAB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596" w:type="pct"/>
                  <w:vAlign w:val="center"/>
                </w:tcPr>
                <w:p w14:paraId="38189FCB">
                  <w:pPr>
                    <w:pStyle w:val="12"/>
                    <w:rPr>
                      <w:rFonts w:hint="default" w:ascii="Times New Roman" w:hAnsi="Times New Roman" w:cs="Times New Roman"/>
                    </w:rPr>
                  </w:pPr>
                  <w:r>
                    <w:rPr>
                      <w:rFonts w:hint="default" w:ascii="Times New Roman" w:hAnsi="Times New Roman" w:cs="Times New Roman"/>
                    </w:rPr>
                    <w:t>70</w:t>
                  </w:r>
                </w:p>
              </w:tc>
              <w:tc>
                <w:tcPr>
                  <w:tcW w:w="2404" w:type="pct"/>
                  <w:vAlign w:val="center"/>
                </w:tcPr>
                <w:p w14:paraId="23B6F3FB">
                  <w:pPr>
                    <w:pStyle w:val="12"/>
                    <w:rPr>
                      <w:rFonts w:hint="default" w:ascii="Times New Roman" w:hAnsi="Times New Roman" w:cs="Times New Roman"/>
                    </w:rPr>
                  </w:pPr>
                  <w:r>
                    <w:rPr>
                      <w:rFonts w:hint="default" w:ascii="Times New Roman" w:hAnsi="Times New Roman" w:cs="Times New Roman"/>
                    </w:rPr>
                    <w:t>55</w:t>
                  </w:r>
                </w:p>
              </w:tc>
            </w:tr>
          </w:tbl>
          <w:p w14:paraId="7B02C4EB">
            <w:pPr>
              <w:ind w:firstLine="480"/>
              <w:rPr>
                <w:rFonts w:hint="default" w:ascii="Times New Roman" w:hAnsi="Times New Roman" w:cs="Times New Roman"/>
              </w:rPr>
            </w:pPr>
            <w:r>
              <w:rPr>
                <w:rFonts w:hint="default" w:ascii="Times New Roman" w:hAnsi="Times New Roman" w:cs="Times New Roman"/>
              </w:rPr>
              <w:t>营运期执行《工业企业厂界环境噪声排放标准》（GB12348-2008）</w:t>
            </w:r>
            <w:r>
              <w:rPr>
                <w:rFonts w:hint="eastAsia" w:ascii="Times New Roman" w:hAnsi="Times New Roman" w:cs="Times New Roman"/>
                <w:lang w:val="en-US" w:eastAsia="zh-CN"/>
              </w:rPr>
              <w:t>3</w:t>
            </w:r>
            <w:r>
              <w:rPr>
                <w:rFonts w:hint="default" w:ascii="Times New Roman" w:hAnsi="Times New Roman" w:cs="Times New Roman"/>
              </w:rPr>
              <w:t>类标准：</w:t>
            </w:r>
          </w:p>
          <w:p w14:paraId="4055E2C1">
            <w:pPr>
              <w:pStyle w:val="11"/>
              <w:keepNext/>
              <w:rPr>
                <w:rFonts w:hint="default" w:ascii="Times New Roman" w:hAnsi="Times New Roman" w:cs="Times New Roman"/>
              </w:rPr>
            </w:pPr>
            <w:bookmarkStart w:id="56" w:name="OLE_LINK80"/>
            <w:bookmarkStart w:id="57" w:name="OLE_LINK79"/>
          </w:p>
          <w:p w14:paraId="7F6BBCDE">
            <w:pPr>
              <w:pStyle w:val="11"/>
              <w:keepNext/>
              <w:rPr>
                <w:rFonts w:hint="default" w:ascii="Times New Roman" w:hAnsi="Times New Roman" w:cs="Times New Roman"/>
              </w:rPr>
            </w:pPr>
            <w:r>
              <w:rPr>
                <w:rFonts w:hint="default" w:ascii="Times New Roman" w:hAnsi="Times New Roman" w:cs="Times New Roman"/>
              </w:rPr>
              <w:t>表</w:t>
            </w:r>
            <w:r>
              <w:rPr>
                <w:rFonts w:hint="eastAsia" w:cs="Times New Roman"/>
                <w:lang w:val="en-US" w:eastAsia="zh-CN"/>
              </w:rPr>
              <w:t>3</w:t>
            </w:r>
            <w:r>
              <w:rPr>
                <w:rFonts w:hint="default" w:ascii="Times New Roman" w:hAnsi="Times New Roman" w:cs="Times New Roman"/>
              </w:rPr>
              <w:noBreakHyphen/>
            </w:r>
            <w:r>
              <w:rPr>
                <w:rFonts w:hint="eastAsia" w:cs="Times New Roman"/>
                <w:lang w:val="en-US" w:eastAsia="zh-CN"/>
              </w:rPr>
              <w:t>12</w:t>
            </w:r>
            <w:r>
              <w:rPr>
                <w:rFonts w:hint="default" w:ascii="Times New Roman" w:hAnsi="Times New Roman" w:cs="Times New Roman"/>
              </w:rPr>
              <w:t xml:space="preserve"> 工业企业厂界环境噪声排放标准</w:t>
            </w:r>
          </w:p>
          <w:bookmarkEnd w:id="56"/>
          <w:bookmarkEnd w:id="57"/>
          <w:tbl>
            <w:tblPr>
              <w:tblStyle w:val="2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2168"/>
              <w:gridCol w:w="2301"/>
              <w:gridCol w:w="988"/>
              <w:gridCol w:w="3935"/>
            </w:tblGrid>
            <w:tr w14:paraId="3184F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154" w:type="pct"/>
                  <w:vAlign w:val="center"/>
                </w:tcPr>
                <w:p w14:paraId="563954B7">
                  <w:pPr>
                    <w:pStyle w:val="12"/>
                    <w:rPr>
                      <w:rFonts w:hint="default" w:ascii="Times New Roman" w:hAnsi="Times New Roman" w:cs="Times New Roman"/>
                      <w:b/>
                    </w:rPr>
                  </w:pPr>
                  <w:r>
                    <w:rPr>
                      <w:rFonts w:hint="default" w:ascii="Times New Roman" w:hAnsi="Times New Roman" w:cs="Times New Roman"/>
                      <w:b/>
                    </w:rPr>
                    <w:t>昼间Leq dB（A）</w:t>
                  </w:r>
                </w:p>
              </w:tc>
              <w:tc>
                <w:tcPr>
                  <w:tcW w:w="1225" w:type="pct"/>
                  <w:vAlign w:val="center"/>
                </w:tcPr>
                <w:p w14:paraId="7073E511">
                  <w:pPr>
                    <w:pStyle w:val="12"/>
                    <w:rPr>
                      <w:rFonts w:hint="default" w:ascii="Times New Roman" w:hAnsi="Times New Roman" w:cs="Times New Roman"/>
                      <w:b/>
                    </w:rPr>
                  </w:pPr>
                  <w:r>
                    <w:rPr>
                      <w:rFonts w:hint="default" w:ascii="Times New Roman" w:hAnsi="Times New Roman" w:cs="Times New Roman"/>
                      <w:b/>
                    </w:rPr>
                    <w:t>夜间Leq dB（A）</w:t>
                  </w:r>
                </w:p>
              </w:tc>
              <w:tc>
                <w:tcPr>
                  <w:tcW w:w="526" w:type="pct"/>
                  <w:vAlign w:val="center"/>
                </w:tcPr>
                <w:p w14:paraId="2927AF4B">
                  <w:pPr>
                    <w:pStyle w:val="12"/>
                    <w:rPr>
                      <w:rFonts w:hint="default" w:ascii="Times New Roman" w:hAnsi="Times New Roman" w:cs="Times New Roman"/>
                      <w:b/>
                    </w:rPr>
                  </w:pPr>
                  <w:r>
                    <w:rPr>
                      <w:rFonts w:hint="default" w:ascii="Times New Roman" w:hAnsi="Times New Roman" w:cs="Times New Roman"/>
                      <w:b/>
                    </w:rPr>
                    <w:t>区域</w:t>
                  </w:r>
                </w:p>
              </w:tc>
              <w:tc>
                <w:tcPr>
                  <w:tcW w:w="2095" w:type="pct"/>
                  <w:vAlign w:val="center"/>
                </w:tcPr>
                <w:p w14:paraId="727C9C4C">
                  <w:pPr>
                    <w:pStyle w:val="12"/>
                    <w:rPr>
                      <w:rFonts w:hint="default" w:ascii="Times New Roman" w:hAnsi="Times New Roman" w:cs="Times New Roman"/>
                      <w:b/>
                    </w:rPr>
                  </w:pPr>
                  <w:r>
                    <w:rPr>
                      <w:rFonts w:hint="default" w:ascii="Times New Roman" w:hAnsi="Times New Roman" w:cs="Times New Roman"/>
                      <w:b/>
                    </w:rPr>
                    <w:t>依据</w:t>
                  </w:r>
                </w:p>
              </w:tc>
            </w:tr>
            <w:tr w14:paraId="652F2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24" w:hRule="atLeast"/>
              </w:trPr>
              <w:tc>
                <w:tcPr>
                  <w:tcW w:w="1154" w:type="pct"/>
                  <w:vAlign w:val="center"/>
                </w:tcPr>
                <w:p w14:paraId="55163A6A">
                  <w:pPr>
                    <w:pStyle w:val="12"/>
                    <w:rPr>
                      <w:rFonts w:hint="eastAsia" w:ascii="Times New Roman" w:hAnsi="Times New Roman" w:eastAsia="宋体" w:cs="Times New Roman"/>
                      <w:lang w:eastAsia="zh-CN"/>
                    </w:rPr>
                  </w:pPr>
                  <w:r>
                    <w:rPr>
                      <w:rFonts w:hint="default" w:ascii="Times New Roman" w:hAnsi="Times New Roman" w:cs="Times New Roman"/>
                    </w:rPr>
                    <w:t>6</w:t>
                  </w:r>
                  <w:r>
                    <w:rPr>
                      <w:rFonts w:hint="eastAsia" w:ascii="Times New Roman" w:hAnsi="Times New Roman" w:cs="Times New Roman"/>
                      <w:lang w:val="en-US" w:eastAsia="zh-CN"/>
                    </w:rPr>
                    <w:t>5</w:t>
                  </w:r>
                </w:p>
              </w:tc>
              <w:tc>
                <w:tcPr>
                  <w:tcW w:w="1225" w:type="pct"/>
                  <w:vAlign w:val="center"/>
                </w:tcPr>
                <w:p w14:paraId="50CBD876">
                  <w:pPr>
                    <w:pStyle w:val="12"/>
                    <w:rPr>
                      <w:rFonts w:hint="eastAsia" w:ascii="Times New Roman" w:hAnsi="Times New Roman" w:eastAsia="宋体" w:cs="Times New Roman"/>
                      <w:lang w:eastAsia="zh-CN"/>
                    </w:rPr>
                  </w:pPr>
                  <w:r>
                    <w:rPr>
                      <w:rFonts w:hint="default" w:ascii="Times New Roman" w:hAnsi="Times New Roman" w:cs="Times New Roman"/>
                    </w:rPr>
                    <w:t>5</w:t>
                  </w:r>
                  <w:r>
                    <w:rPr>
                      <w:rFonts w:hint="eastAsia" w:ascii="Times New Roman" w:hAnsi="Times New Roman" w:cs="Times New Roman"/>
                      <w:lang w:val="en-US" w:eastAsia="zh-CN"/>
                    </w:rPr>
                    <w:t>5</w:t>
                  </w:r>
                </w:p>
              </w:tc>
              <w:tc>
                <w:tcPr>
                  <w:tcW w:w="526" w:type="pct"/>
                  <w:vAlign w:val="center"/>
                </w:tcPr>
                <w:p w14:paraId="373C0C8C">
                  <w:pPr>
                    <w:pStyle w:val="12"/>
                    <w:rPr>
                      <w:rFonts w:hint="default" w:ascii="Times New Roman" w:hAnsi="Times New Roman" w:cs="Times New Roman"/>
                    </w:rPr>
                  </w:pPr>
                  <w:r>
                    <w:rPr>
                      <w:rFonts w:hint="default" w:ascii="Times New Roman" w:hAnsi="Times New Roman" w:cs="Times New Roman"/>
                    </w:rPr>
                    <w:t>厂界</w:t>
                  </w:r>
                </w:p>
              </w:tc>
              <w:tc>
                <w:tcPr>
                  <w:tcW w:w="2095" w:type="pct"/>
                  <w:vAlign w:val="center"/>
                </w:tcPr>
                <w:p w14:paraId="15BA1CFF">
                  <w:pPr>
                    <w:pStyle w:val="12"/>
                    <w:rPr>
                      <w:rFonts w:hint="default" w:ascii="Times New Roman" w:hAnsi="Times New Roman" w:cs="Times New Roman"/>
                    </w:rPr>
                  </w:pPr>
                  <w:r>
                    <w:rPr>
                      <w:rFonts w:hint="default" w:ascii="Times New Roman" w:hAnsi="Times New Roman" w:cs="Times New Roman"/>
                    </w:rPr>
                    <w:t>《工业企业厂界环境噪声排放标准》</w:t>
                  </w:r>
                </w:p>
                <w:p w14:paraId="1FF716B7">
                  <w:pPr>
                    <w:pStyle w:val="12"/>
                    <w:rPr>
                      <w:rFonts w:hint="default" w:ascii="Times New Roman" w:hAnsi="Times New Roman" w:cs="Times New Roman"/>
                    </w:rPr>
                  </w:pPr>
                  <w:r>
                    <w:rPr>
                      <w:rFonts w:hint="default" w:ascii="Times New Roman" w:hAnsi="Times New Roman" w:cs="Times New Roman"/>
                    </w:rPr>
                    <w:t>（GB12348-2008）中</w:t>
                  </w:r>
                  <w:r>
                    <w:rPr>
                      <w:rFonts w:hint="eastAsia" w:ascii="Times New Roman" w:hAnsi="Times New Roman" w:cs="Times New Roman"/>
                      <w:lang w:val="en-US" w:eastAsia="zh-CN"/>
                    </w:rPr>
                    <w:t>3</w:t>
                  </w:r>
                  <w:r>
                    <w:rPr>
                      <w:rFonts w:hint="default" w:ascii="Times New Roman" w:hAnsi="Times New Roman" w:cs="Times New Roman"/>
                    </w:rPr>
                    <w:t>类标准</w:t>
                  </w:r>
                </w:p>
              </w:tc>
            </w:tr>
          </w:tbl>
          <w:p w14:paraId="22C17D69">
            <w:pPr>
              <w:pStyle w:val="3"/>
              <w:spacing w:before="163"/>
              <w:rPr>
                <w:rFonts w:hint="default" w:ascii="Times New Roman" w:hAnsi="Times New Roman" w:cs="Times New Roman"/>
              </w:rPr>
            </w:pPr>
            <w:r>
              <w:rPr>
                <w:rFonts w:hint="default" w:ascii="Times New Roman" w:hAnsi="Times New Roman" w:cs="Times New Roman"/>
              </w:rPr>
              <w:t>4、固体废物</w:t>
            </w:r>
          </w:p>
          <w:p w14:paraId="60089569">
            <w:pPr>
              <w:ind w:firstLine="480"/>
              <w:rPr>
                <w:rFonts w:hint="default" w:ascii="Times New Roman" w:hAnsi="Times New Roman" w:cs="Times New Roman"/>
              </w:rPr>
            </w:pPr>
            <w:r>
              <w:rPr>
                <w:rFonts w:hint="default" w:ascii="Times New Roman" w:hAnsi="Times New Roman" w:cs="Times New Roman"/>
              </w:rPr>
              <w:t>一般固废贮存过程满足相应防渗漏、防雨淋、防扬尘等环境保护要求；危险废物依据《危险废物贮存污染控制标准》（GB18597-2023）要求执行。</w:t>
            </w:r>
          </w:p>
        </w:tc>
      </w:tr>
      <w:tr w14:paraId="573E593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737" w:hRule="atLeast"/>
          <w:jc w:val="center"/>
        </w:trPr>
        <w:tc>
          <w:tcPr>
            <w:tcW w:w="213" w:type="pct"/>
            <w:tcMar>
              <w:top w:w="16" w:type="dxa"/>
              <w:left w:w="16" w:type="dxa"/>
              <w:right w:w="16" w:type="dxa"/>
            </w:tcMar>
            <w:vAlign w:val="center"/>
          </w:tcPr>
          <w:p w14:paraId="03E8F06C">
            <w:pPr>
              <w:pStyle w:val="24"/>
              <w:rPr>
                <w:rFonts w:hint="default" w:ascii="Times New Roman" w:hAnsi="Times New Roman" w:cs="Times New Roman"/>
              </w:rPr>
            </w:pPr>
            <w:r>
              <w:rPr>
                <w:rFonts w:hint="default" w:ascii="Times New Roman" w:hAnsi="Times New Roman" w:cs="Times New Roman"/>
              </w:rPr>
              <w:t>总量控制指标</w:t>
            </w:r>
          </w:p>
        </w:tc>
        <w:tc>
          <w:tcPr>
            <w:tcW w:w="4786" w:type="pct"/>
            <w:vAlign w:val="center"/>
          </w:tcPr>
          <w:p w14:paraId="3033F212">
            <w:pPr>
              <w:pStyle w:val="3"/>
              <w:keepNext w:val="0"/>
              <w:keepLines w:val="0"/>
              <w:pageBreakBefore w:val="0"/>
              <w:kinsoku/>
              <w:wordWrap/>
              <w:overflowPunct/>
              <w:topLinePunct w:val="0"/>
              <w:autoSpaceDE/>
              <w:autoSpaceDN/>
              <w:bidi w:val="0"/>
              <w:adjustRightInd/>
              <w:snapToGrid/>
              <w:spacing w:before="0" w:beforeLines="0"/>
              <w:textAlignment w:val="auto"/>
              <w:rPr>
                <w:rFonts w:hint="default" w:ascii="Times New Roman" w:hAnsi="Times New Roman" w:cs="Times New Roman"/>
              </w:rPr>
            </w:pPr>
            <w:r>
              <w:rPr>
                <w:rFonts w:hint="default" w:ascii="Times New Roman" w:hAnsi="Times New Roman" w:cs="Times New Roman"/>
              </w:rPr>
              <w:t>1、废水</w:t>
            </w:r>
          </w:p>
          <w:p w14:paraId="0F0629D5">
            <w:pPr>
              <w:keepNext w:val="0"/>
              <w:keepLines w:val="0"/>
              <w:pageBreakBefore w:val="0"/>
              <w:kinsoku/>
              <w:wordWrap/>
              <w:overflowPunct/>
              <w:topLinePunct w:val="0"/>
              <w:autoSpaceDE/>
              <w:autoSpaceDN/>
              <w:bidi w:val="0"/>
              <w:adjustRightInd/>
              <w:snapToGrid/>
              <w:ind w:firstLine="480"/>
              <w:textAlignment w:val="auto"/>
              <w:rPr>
                <w:rFonts w:hint="default" w:ascii="Times New Roman" w:hAnsi="Times New Roman" w:cs="Times New Roman"/>
              </w:rPr>
            </w:pPr>
            <w:r>
              <w:rPr>
                <w:rFonts w:hint="default" w:ascii="Times New Roman" w:hAnsi="Times New Roman" w:cs="Times New Roman"/>
              </w:rPr>
              <w:t>本项目</w:t>
            </w:r>
            <w:r>
              <w:rPr>
                <w:rFonts w:hint="eastAsia" w:cs="Times New Roman"/>
                <w:lang w:val="en-US" w:eastAsia="zh-CN"/>
              </w:rPr>
              <w:t>外排废水仅为生活污水，经预处理达《污水综合排放标准》（GB8978-1996）三级标准后，氨氮、总磷执行《污水排入城镇下水道水质标准》（GB/T31962-2015）B级标准后</w:t>
            </w:r>
            <w:r>
              <w:rPr>
                <w:rFonts w:hint="eastAsia" w:ascii="Times New Roman" w:hAnsi="Times New Roman" w:cs="Times New Roman"/>
                <w:lang w:val="en-US" w:eastAsia="zh-CN"/>
              </w:rPr>
              <w:t>排入园区污水管网，</w:t>
            </w:r>
            <w:r>
              <w:rPr>
                <w:rFonts w:hint="eastAsia" w:cs="Times New Roman"/>
                <w:lang w:val="en-US" w:eastAsia="zh-CN"/>
              </w:rPr>
              <w:t>进入</w:t>
            </w:r>
            <w:r>
              <w:rPr>
                <w:rFonts w:hint="eastAsia" w:ascii="Times New Roman" w:hAnsi="Times New Roman" w:cs="Times New Roman"/>
                <w:lang w:val="en-US" w:eastAsia="zh-CN"/>
              </w:rPr>
              <w:t>星光工业园区污水处理厂进一步处理，</w:t>
            </w:r>
            <w:r>
              <w:rPr>
                <w:rFonts w:hint="default" w:ascii="Times New Roman" w:hAnsi="Times New Roman" w:eastAsia="宋体" w:cs="Times New Roman"/>
                <w:lang w:val="en-US" w:eastAsia="zh-CN"/>
              </w:rPr>
              <w:t>星光工业园区</w:t>
            </w:r>
            <w:r>
              <w:rPr>
                <w:rFonts w:hint="default" w:ascii="Times New Roman" w:hAnsi="Times New Roman" w:cs="Times New Roman"/>
              </w:rPr>
              <w:t>污水处理厂排口</w:t>
            </w:r>
            <w:r>
              <w:rPr>
                <w:rFonts w:hint="eastAsia" w:cs="Times New Roman"/>
                <w:lang w:eastAsia="zh-CN"/>
              </w:rPr>
              <w:t>执行</w:t>
            </w:r>
            <w:r>
              <w:rPr>
                <w:rFonts w:hint="default" w:ascii="Times New Roman" w:hAnsi="Times New Roman" w:cs="Times New Roman"/>
                <w:color w:val="000000"/>
                <w:lang w:val="en-US" w:eastAsia="zh-CN"/>
              </w:rPr>
              <w:t>《城镇污水处理厂污染物排放标准》（GB18918-2002）中一级A</w:t>
            </w:r>
            <w:r>
              <w:rPr>
                <w:rFonts w:hint="default" w:ascii="Times New Roman" w:hAnsi="Times New Roman" w:cs="Times New Roman"/>
              </w:rPr>
              <w:t>标准</w:t>
            </w:r>
            <w:r>
              <w:rPr>
                <w:rFonts w:hint="eastAsia" w:cs="Times New Roman"/>
                <w:lang w:eastAsia="zh-CN"/>
              </w:rPr>
              <w:t>，</w:t>
            </w:r>
            <w:r>
              <w:rPr>
                <w:rFonts w:hint="eastAsia" w:cs="Times New Roman"/>
                <w:lang w:val="en-US" w:eastAsia="zh-CN"/>
              </w:rPr>
              <w:t>处理达标后排入巴河</w:t>
            </w:r>
            <w:r>
              <w:rPr>
                <w:rFonts w:hint="default" w:ascii="Times New Roman" w:hAnsi="Times New Roman" w:cs="Times New Roman"/>
              </w:rPr>
              <w:t>。</w:t>
            </w:r>
          </w:p>
          <w:p w14:paraId="7D754A7F">
            <w:pPr>
              <w:keepNext w:val="0"/>
              <w:keepLines w:val="0"/>
              <w:pageBreakBefore w:val="0"/>
              <w:kinsoku/>
              <w:wordWrap/>
              <w:overflowPunct/>
              <w:topLinePunct w:val="0"/>
              <w:autoSpaceDE/>
              <w:autoSpaceDN/>
              <w:bidi w:val="0"/>
              <w:adjustRightInd/>
              <w:snapToGrid/>
              <w:ind w:firstLine="480"/>
              <w:textAlignment w:val="auto"/>
              <w:rPr>
                <w:rFonts w:hint="default" w:ascii="Times New Roman" w:hAnsi="Times New Roman" w:cs="Times New Roman"/>
              </w:rPr>
            </w:pPr>
            <w:r>
              <w:rPr>
                <w:rFonts w:hint="default" w:ascii="Times New Roman" w:hAnsi="Times New Roman" w:cs="Times New Roman"/>
              </w:rPr>
              <w:t>项目废水总量控制建议指标如下：</w:t>
            </w:r>
          </w:p>
          <w:p w14:paraId="17B7DAE8">
            <w:pPr>
              <w:keepNext w:val="0"/>
              <w:keepLines w:val="0"/>
              <w:pageBreakBefore w:val="0"/>
              <w:kinsoku/>
              <w:wordWrap/>
              <w:overflowPunct/>
              <w:topLinePunct w:val="0"/>
              <w:autoSpaceDE/>
              <w:autoSpaceDN/>
              <w:bidi w:val="0"/>
              <w:adjustRightInd/>
              <w:snapToGrid/>
              <w:ind w:firstLine="480"/>
              <w:textAlignment w:val="auto"/>
              <w:rPr>
                <w:rFonts w:hint="default" w:ascii="Times New Roman" w:hAnsi="Times New Roman" w:cs="Times New Roman"/>
              </w:rPr>
            </w:pPr>
            <w:r>
              <w:rPr>
                <w:rFonts w:hint="default" w:ascii="Times New Roman" w:hAnsi="Times New Roman" w:cs="Times New Roman"/>
              </w:rPr>
              <w:t>项目厂区</w:t>
            </w:r>
            <w:r>
              <w:rPr>
                <w:rFonts w:hint="eastAsia" w:cs="Times New Roman"/>
                <w:lang w:val="en-US" w:eastAsia="zh-CN"/>
              </w:rPr>
              <w:t>总</w:t>
            </w:r>
            <w:r>
              <w:rPr>
                <w:rFonts w:hint="default" w:ascii="Times New Roman" w:hAnsi="Times New Roman" w:cs="Times New Roman"/>
              </w:rPr>
              <w:t>排口：</w:t>
            </w:r>
          </w:p>
          <w:p w14:paraId="0355B7FF">
            <w:pPr>
              <w:keepNext w:val="0"/>
              <w:keepLines w:val="0"/>
              <w:pageBreakBefore w:val="0"/>
              <w:widowControl/>
              <w:kinsoku/>
              <w:wordWrap/>
              <w:overflowPunct/>
              <w:topLinePunct w:val="0"/>
              <w:autoSpaceDE/>
              <w:autoSpaceDN/>
              <w:bidi w:val="0"/>
              <w:adjustRightInd/>
              <w:snapToGrid/>
              <w:ind w:firstLine="480"/>
              <w:textAlignment w:val="auto"/>
              <w:rPr>
                <w:rFonts w:hint="default" w:ascii="Times New Roman" w:hAnsi="Times New Roman" w:cs="Times New Roman"/>
              </w:rPr>
            </w:pPr>
            <w:r>
              <w:rPr>
                <w:rFonts w:hint="default" w:ascii="Times New Roman" w:hAnsi="Times New Roman" w:cs="Times New Roman"/>
              </w:rPr>
              <w:t>COD：</w:t>
            </w:r>
            <w:r>
              <w:rPr>
                <w:rFonts w:hint="eastAsia" w:cs="Times New Roman"/>
                <w:lang w:val="en-US" w:eastAsia="zh-CN"/>
              </w:rPr>
              <w:t>772.2</w:t>
            </w:r>
            <w:r>
              <w:rPr>
                <w:rFonts w:hint="default" w:ascii="Times New Roman" w:hAnsi="Times New Roman" w:cs="Times New Roman"/>
              </w:rPr>
              <w:t>t/a×</w:t>
            </w:r>
            <w:r>
              <w:rPr>
                <w:rFonts w:hint="eastAsia" w:cs="Times New Roman"/>
                <w:lang w:val="en-US" w:eastAsia="zh-CN"/>
              </w:rPr>
              <w:t>500</w:t>
            </w:r>
            <w:r>
              <w:rPr>
                <w:rFonts w:hint="default" w:ascii="Times New Roman" w:hAnsi="Times New Roman" w:cs="Times New Roman"/>
              </w:rPr>
              <w:t>mg/L×10</w:t>
            </w:r>
            <w:r>
              <w:rPr>
                <w:rFonts w:hint="default" w:ascii="Times New Roman" w:hAnsi="Times New Roman" w:cs="Times New Roman"/>
                <w:vertAlign w:val="superscript"/>
              </w:rPr>
              <w:t>-6</w:t>
            </w:r>
            <w:r>
              <w:rPr>
                <w:rFonts w:hint="default" w:ascii="Times New Roman" w:hAnsi="Times New Roman" w:cs="Times New Roman"/>
              </w:rPr>
              <w:t>=</w:t>
            </w:r>
            <w:r>
              <w:rPr>
                <w:rFonts w:hint="eastAsia" w:cs="Times New Roman"/>
                <w:lang w:val="en-US" w:eastAsia="zh-CN"/>
              </w:rPr>
              <w:t>0.3861</w:t>
            </w:r>
            <w:r>
              <w:rPr>
                <w:rFonts w:hint="default" w:ascii="Times New Roman" w:hAnsi="Times New Roman" w:cs="Times New Roman"/>
              </w:rPr>
              <w:t>t/a；</w:t>
            </w:r>
          </w:p>
          <w:p w14:paraId="0A807094">
            <w:pPr>
              <w:keepNext w:val="0"/>
              <w:keepLines w:val="0"/>
              <w:pageBreakBefore w:val="0"/>
              <w:widowControl/>
              <w:kinsoku/>
              <w:wordWrap/>
              <w:overflowPunct/>
              <w:topLinePunct w:val="0"/>
              <w:autoSpaceDE/>
              <w:autoSpaceDN/>
              <w:bidi w:val="0"/>
              <w:adjustRightInd/>
              <w:snapToGrid/>
              <w:ind w:firstLine="480"/>
              <w:textAlignment w:val="auto"/>
              <w:rPr>
                <w:rFonts w:hint="default" w:ascii="Times New Roman" w:hAnsi="Times New Roman" w:cs="Times New Roman"/>
              </w:rPr>
            </w:pPr>
            <w:r>
              <w:rPr>
                <w:rFonts w:hint="default" w:ascii="Times New Roman" w:hAnsi="Times New Roman" w:cs="Times New Roman"/>
              </w:rPr>
              <w:t>NH</w:t>
            </w:r>
            <w:r>
              <w:rPr>
                <w:rFonts w:hint="default" w:ascii="Times New Roman" w:hAnsi="Times New Roman" w:cs="Times New Roman"/>
                <w:vertAlign w:val="subscript"/>
              </w:rPr>
              <w:t>3</w:t>
            </w:r>
            <w:r>
              <w:rPr>
                <w:rFonts w:hint="default" w:ascii="Times New Roman" w:hAnsi="Times New Roman" w:cs="Times New Roman"/>
              </w:rPr>
              <w:t>-N：</w:t>
            </w:r>
            <w:r>
              <w:rPr>
                <w:rFonts w:hint="eastAsia" w:cs="Times New Roman"/>
                <w:lang w:val="en-US" w:eastAsia="zh-CN"/>
              </w:rPr>
              <w:t>772.2</w:t>
            </w:r>
            <w:r>
              <w:rPr>
                <w:rFonts w:hint="default" w:ascii="Times New Roman" w:hAnsi="Times New Roman" w:cs="Times New Roman"/>
              </w:rPr>
              <w:t>t/a×</w:t>
            </w:r>
            <w:r>
              <w:rPr>
                <w:rFonts w:hint="eastAsia" w:cs="Times New Roman"/>
                <w:lang w:val="en-US" w:eastAsia="zh-CN"/>
              </w:rPr>
              <w:t>45</w:t>
            </w:r>
            <w:r>
              <w:rPr>
                <w:rFonts w:hint="default" w:ascii="Times New Roman" w:hAnsi="Times New Roman" w:cs="Times New Roman"/>
              </w:rPr>
              <w:t>mg/L×10</w:t>
            </w:r>
            <w:r>
              <w:rPr>
                <w:rFonts w:hint="default" w:ascii="Times New Roman" w:hAnsi="Times New Roman" w:cs="Times New Roman"/>
                <w:vertAlign w:val="superscript"/>
              </w:rPr>
              <w:t>-6</w:t>
            </w:r>
            <w:r>
              <w:rPr>
                <w:rFonts w:hint="default" w:ascii="Times New Roman" w:hAnsi="Times New Roman" w:cs="Times New Roman"/>
              </w:rPr>
              <w:t>=</w:t>
            </w:r>
            <w:r>
              <w:rPr>
                <w:rFonts w:hint="eastAsia" w:cs="Times New Roman"/>
                <w:lang w:val="en-US" w:eastAsia="zh-CN"/>
              </w:rPr>
              <w:t>0.0347</w:t>
            </w:r>
            <w:r>
              <w:rPr>
                <w:rFonts w:hint="default" w:ascii="Times New Roman" w:hAnsi="Times New Roman" w:cs="Times New Roman"/>
              </w:rPr>
              <w:t>t/a；</w:t>
            </w:r>
          </w:p>
          <w:p w14:paraId="14C6ACC6">
            <w:pPr>
              <w:keepNext w:val="0"/>
              <w:keepLines w:val="0"/>
              <w:pageBreakBefore w:val="0"/>
              <w:widowControl/>
              <w:kinsoku/>
              <w:wordWrap/>
              <w:overflowPunct/>
              <w:topLinePunct w:val="0"/>
              <w:autoSpaceDE/>
              <w:autoSpaceDN/>
              <w:bidi w:val="0"/>
              <w:adjustRightInd/>
              <w:snapToGrid/>
              <w:ind w:firstLine="480"/>
              <w:textAlignment w:val="auto"/>
              <w:rPr>
                <w:rFonts w:hint="default" w:ascii="Times New Roman" w:hAnsi="Times New Roman" w:eastAsia="宋体" w:cs="Times New Roman"/>
                <w:lang w:val="en-US" w:eastAsia="zh-CN"/>
              </w:rPr>
            </w:pPr>
            <w:r>
              <w:rPr>
                <w:rFonts w:hint="eastAsia" w:ascii="Times New Roman" w:hAnsi="Times New Roman" w:cs="Times New Roman"/>
                <w:lang w:val="en-US" w:eastAsia="zh-CN"/>
              </w:rPr>
              <w:t>TP</w:t>
            </w:r>
            <w:r>
              <w:rPr>
                <w:rFonts w:hint="default" w:ascii="Times New Roman" w:hAnsi="Times New Roman" w:cs="Times New Roman"/>
              </w:rPr>
              <w:t>：</w:t>
            </w:r>
            <w:r>
              <w:rPr>
                <w:rFonts w:hint="eastAsia" w:cs="Times New Roman"/>
                <w:lang w:val="en-US" w:eastAsia="zh-CN"/>
              </w:rPr>
              <w:t>772.2</w:t>
            </w:r>
            <w:r>
              <w:rPr>
                <w:rFonts w:hint="default" w:ascii="Times New Roman" w:hAnsi="Times New Roman" w:cs="Times New Roman"/>
              </w:rPr>
              <w:t>t/a×</w:t>
            </w:r>
            <w:r>
              <w:rPr>
                <w:rFonts w:hint="eastAsia" w:cs="Times New Roman"/>
                <w:lang w:val="en-US" w:eastAsia="zh-CN"/>
              </w:rPr>
              <w:t>8</w:t>
            </w:r>
            <w:r>
              <w:rPr>
                <w:rFonts w:hint="default" w:ascii="Times New Roman" w:hAnsi="Times New Roman" w:cs="Times New Roman"/>
              </w:rPr>
              <w:t>mg/L×10</w:t>
            </w:r>
            <w:r>
              <w:rPr>
                <w:rFonts w:hint="default" w:ascii="Times New Roman" w:hAnsi="Times New Roman" w:cs="Times New Roman"/>
                <w:vertAlign w:val="superscript"/>
              </w:rPr>
              <w:t>-6</w:t>
            </w:r>
            <w:r>
              <w:rPr>
                <w:rFonts w:hint="default" w:ascii="Times New Roman" w:hAnsi="Times New Roman" w:cs="Times New Roman"/>
              </w:rPr>
              <w:t>=0.</w:t>
            </w:r>
            <w:r>
              <w:rPr>
                <w:rFonts w:hint="eastAsia" w:cs="Times New Roman"/>
                <w:lang w:val="en-US" w:eastAsia="zh-CN"/>
              </w:rPr>
              <w:t>0062</w:t>
            </w:r>
            <w:r>
              <w:rPr>
                <w:rFonts w:hint="default" w:ascii="Times New Roman" w:hAnsi="Times New Roman" w:cs="Times New Roman"/>
              </w:rPr>
              <w:t>t/a</w:t>
            </w:r>
          </w:p>
          <w:p w14:paraId="7C6BA76B">
            <w:pPr>
              <w:keepNext w:val="0"/>
              <w:keepLines w:val="0"/>
              <w:pageBreakBefore w:val="0"/>
              <w:kinsoku/>
              <w:wordWrap/>
              <w:overflowPunct/>
              <w:topLinePunct w:val="0"/>
              <w:autoSpaceDE/>
              <w:autoSpaceDN/>
              <w:bidi w:val="0"/>
              <w:adjustRightInd/>
              <w:snapToGrid/>
              <w:ind w:firstLine="480"/>
              <w:textAlignment w:val="auto"/>
              <w:rPr>
                <w:rFonts w:hint="default" w:ascii="Times New Roman" w:hAnsi="Times New Roman" w:cs="Times New Roman"/>
              </w:rPr>
            </w:pPr>
            <w:r>
              <w:rPr>
                <w:rFonts w:hint="eastAsia" w:cs="Times New Roman"/>
                <w:lang w:val="en-US" w:eastAsia="zh-CN"/>
              </w:rPr>
              <w:t>星光工业园区</w:t>
            </w:r>
            <w:r>
              <w:rPr>
                <w:rFonts w:hint="default" w:ascii="Times New Roman" w:hAnsi="Times New Roman" w:cs="Times New Roman"/>
              </w:rPr>
              <w:t>污水处理厂排口：</w:t>
            </w:r>
          </w:p>
          <w:p w14:paraId="061669C7">
            <w:pPr>
              <w:keepNext w:val="0"/>
              <w:keepLines w:val="0"/>
              <w:pageBreakBefore w:val="0"/>
              <w:widowControl/>
              <w:kinsoku/>
              <w:wordWrap/>
              <w:overflowPunct/>
              <w:topLinePunct w:val="0"/>
              <w:autoSpaceDE/>
              <w:autoSpaceDN/>
              <w:bidi w:val="0"/>
              <w:adjustRightInd/>
              <w:snapToGrid/>
              <w:ind w:firstLine="480"/>
              <w:textAlignment w:val="auto"/>
              <w:rPr>
                <w:rFonts w:hint="default" w:ascii="Times New Roman" w:hAnsi="Times New Roman" w:cs="Times New Roman"/>
              </w:rPr>
            </w:pPr>
            <w:r>
              <w:rPr>
                <w:rFonts w:hint="default" w:ascii="Times New Roman" w:hAnsi="Times New Roman" w:cs="Times New Roman"/>
              </w:rPr>
              <w:t>COD：</w:t>
            </w:r>
            <w:r>
              <w:rPr>
                <w:rFonts w:hint="eastAsia" w:cs="Times New Roman"/>
                <w:lang w:val="en-US" w:eastAsia="zh-CN"/>
              </w:rPr>
              <w:t>772.2</w:t>
            </w:r>
            <w:r>
              <w:rPr>
                <w:rFonts w:hint="default" w:ascii="Times New Roman" w:hAnsi="Times New Roman" w:cs="Times New Roman"/>
              </w:rPr>
              <w:t>t/a×</w:t>
            </w:r>
            <w:r>
              <w:rPr>
                <w:rFonts w:hint="eastAsia" w:cs="Times New Roman"/>
                <w:lang w:val="en-US" w:eastAsia="zh-CN"/>
              </w:rPr>
              <w:t>50</w:t>
            </w:r>
            <w:r>
              <w:rPr>
                <w:rFonts w:hint="default" w:ascii="Times New Roman" w:hAnsi="Times New Roman" w:cs="Times New Roman"/>
              </w:rPr>
              <w:t>mg/L×10</w:t>
            </w:r>
            <w:r>
              <w:rPr>
                <w:rFonts w:hint="default" w:ascii="Times New Roman" w:hAnsi="Times New Roman" w:cs="Times New Roman"/>
                <w:vertAlign w:val="superscript"/>
              </w:rPr>
              <w:t>-6</w:t>
            </w:r>
            <w:r>
              <w:rPr>
                <w:rFonts w:hint="default" w:ascii="Times New Roman" w:hAnsi="Times New Roman" w:cs="Times New Roman"/>
              </w:rPr>
              <w:t>=</w:t>
            </w:r>
            <w:r>
              <w:rPr>
                <w:rFonts w:hint="eastAsia" w:cs="Times New Roman"/>
                <w:lang w:val="en-US" w:eastAsia="zh-CN"/>
              </w:rPr>
              <w:t>0.0386</w:t>
            </w:r>
            <w:r>
              <w:rPr>
                <w:rFonts w:hint="default" w:ascii="Times New Roman" w:hAnsi="Times New Roman" w:cs="Times New Roman"/>
              </w:rPr>
              <w:t>t/a</w:t>
            </w:r>
          </w:p>
          <w:p w14:paraId="24E4A4B4">
            <w:pPr>
              <w:keepNext w:val="0"/>
              <w:keepLines w:val="0"/>
              <w:pageBreakBefore w:val="0"/>
              <w:widowControl/>
              <w:kinsoku/>
              <w:wordWrap/>
              <w:overflowPunct/>
              <w:topLinePunct w:val="0"/>
              <w:autoSpaceDE/>
              <w:autoSpaceDN/>
              <w:bidi w:val="0"/>
              <w:adjustRightInd/>
              <w:snapToGrid/>
              <w:ind w:firstLine="480"/>
              <w:textAlignment w:val="auto"/>
              <w:rPr>
                <w:rFonts w:hint="default" w:ascii="Times New Roman" w:hAnsi="Times New Roman" w:cs="Times New Roman"/>
              </w:rPr>
            </w:pPr>
            <w:r>
              <w:rPr>
                <w:rFonts w:hint="default" w:ascii="Times New Roman" w:hAnsi="Times New Roman" w:cs="Times New Roman"/>
              </w:rPr>
              <w:t>NH</w:t>
            </w:r>
            <w:r>
              <w:rPr>
                <w:rFonts w:hint="default" w:ascii="Times New Roman" w:hAnsi="Times New Roman" w:cs="Times New Roman"/>
                <w:vertAlign w:val="subscript"/>
              </w:rPr>
              <w:t>3</w:t>
            </w:r>
            <w:r>
              <w:rPr>
                <w:rFonts w:hint="default" w:ascii="Times New Roman" w:hAnsi="Times New Roman" w:cs="Times New Roman"/>
              </w:rPr>
              <w:t>-N：</w:t>
            </w:r>
            <w:r>
              <w:rPr>
                <w:rFonts w:hint="eastAsia" w:cs="Times New Roman"/>
                <w:lang w:val="en-US" w:eastAsia="zh-CN"/>
              </w:rPr>
              <w:t>772.2</w:t>
            </w:r>
            <w:r>
              <w:rPr>
                <w:rFonts w:hint="default" w:ascii="Times New Roman" w:hAnsi="Times New Roman" w:cs="Times New Roman"/>
              </w:rPr>
              <w:t>t/a×</w:t>
            </w:r>
            <w:r>
              <w:rPr>
                <w:rFonts w:hint="eastAsia" w:cs="Times New Roman"/>
                <w:lang w:val="en-US" w:eastAsia="zh-CN"/>
              </w:rPr>
              <w:t>5</w:t>
            </w:r>
            <w:r>
              <w:rPr>
                <w:rFonts w:hint="default" w:ascii="Times New Roman" w:hAnsi="Times New Roman" w:cs="Times New Roman"/>
              </w:rPr>
              <w:t>mg/L×10</w:t>
            </w:r>
            <w:r>
              <w:rPr>
                <w:rFonts w:hint="default" w:ascii="Times New Roman" w:hAnsi="Times New Roman" w:cs="Times New Roman"/>
                <w:vertAlign w:val="superscript"/>
              </w:rPr>
              <w:t>-6</w:t>
            </w:r>
            <w:r>
              <w:rPr>
                <w:rFonts w:hint="default" w:ascii="Times New Roman" w:hAnsi="Times New Roman" w:cs="Times New Roman"/>
              </w:rPr>
              <w:t>=0.</w:t>
            </w:r>
            <w:r>
              <w:rPr>
                <w:rFonts w:hint="eastAsia" w:cs="Times New Roman"/>
                <w:lang w:val="en-US" w:eastAsia="zh-CN"/>
              </w:rPr>
              <w:t>0039</w:t>
            </w:r>
            <w:r>
              <w:rPr>
                <w:rFonts w:hint="default" w:ascii="Times New Roman" w:hAnsi="Times New Roman" w:cs="Times New Roman"/>
              </w:rPr>
              <w:t>t/a</w:t>
            </w:r>
          </w:p>
          <w:p w14:paraId="60CE327D">
            <w:pPr>
              <w:keepNext w:val="0"/>
              <w:keepLines w:val="0"/>
              <w:pageBreakBefore w:val="0"/>
              <w:widowControl/>
              <w:kinsoku/>
              <w:wordWrap/>
              <w:overflowPunct/>
              <w:topLinePunct w:val="0"/>
              <w:autoSpaceDE/>
              <w:autoSpaceDN/>
              <w:bidi w:val="0"/>
              <w:adjustRightInd/>
              <w:snapToGrid/>
              <w:ind w:firstLine="480"/>
              <w:textAlignment w:val="auto"/>
              <w:rPr>
                <w:rFonts w:hint="default" w:ascii="Times New Roman" w:hAnsi="Times New Roman" w:eastAsia="宋体" w:cs="Times New Roman"/>
                <w:lang w:val="en-US" w:eastAsia="zh-CN"/>
              </w:rPr>
            </w:pPr>
            <w:r>
              <w:rPr>
                <w:rFonts w:hint="eastAsia" w:ascii="Times New Roman" w:hAnsi="Times New Roman" w:cs="Times New Roman"/>
                <w:lang w:val="en-US" w:eastAsia="zh-CN"/>
              </w:rPr>
              <w:t>TP</w:t>
            </w:r>
            <w:r>
              <w:rPr>
                <w:rFonts w:hint="default" w:ascii="Times New Roman" w:hAnsi="Times New Roman" w:cs="Times New Roman"/>
              </w:rPr>
              <w:t>：</w:t>
            </w:r>
            <w:r>
              <w:rPr>
                <w:rFonts w:hint="eastAsia" w:cs="Times New Roman"/>
                <w:lang w:val="en-US" w:eastAsia="zh-CN"/>
              </w:rPr>
              <w:t>772.2</w:t>
            </w:r>
            <w:r>
              <w:rPr>
                <w:rFonts w:hint="default" w:ascii="Times New Roman" w:hAnsi="Times New Roman" w:cs="Times New Roman"/>
              </w:rPr>
              <w:t>t/a×</w:t>
            </w:r>
            <w:r>
              <w:rPr>
                <w:rFonts w:hint="eastAsia" w:cs="Times New Roman"/>
                <w:lang w:val="en-US" w:eastAsia="zh-CN"/>
              </w:rPr>
              <w:t>0.5</w:t>
            </w:r>
            <w:r>
              <w:rPr>
                <w:rFonts w:hint="default" w:ascii="Times New Roman" w:hAnsi="Times New Roman" w:cs="Times New Roman"/>
              </w:rPr>
              <w:t>mg/L×10</w:t>
            </w:r>
            <w:r>
              <w:rPr>
                <w:rFonts w:hint="default" w:ascii="Times New Roman" w:hAnsi="Times New Roman" w:cs="Times New Roman"/>
                <w:vertAlign w:val="superscript"/>
              </w:rPr>
              <w:t>-6</w:t>
            </w:r>
            <w:r>
              <w:rPr>
                <w:rFonts w:hint="default" w:ascii="Times New Roman" w:hAnsi="Times New Roman" w:cs="Times New Roman"/>
              </w:rPr>
              <w:t>=0.0</w:t>
            </w:r>
            <w:r>
              <w:rPr>
                <w:rFonts w:hint="eastAsia" w:cs="Times New Roman"/>
                <w:lang w:val="en-US" w:eastAsia="zh-CN"/>
              </w:rPr>
              <w:t>004</w:t>
            </w:r>
            <w:r>
              <w:rPr>
                <w:rFonts w:hint="default" w:ascii="Times New Roman" w:hAnsi="Times New Roman" w:cs="Times New Roman"/>
              </w:rPr>
              <w:t>t/a</w:t>
            </w:r>
          </w:p>
          <w:p w14:paraId="3C1BFD92">
            <w:pPr>
              <w:pStyle w:val="3"/>
              <w:keepNext w:val="0"/>
              <w:keepLines w:val="0"/>
              <w:pageBreakBefore w:val="0"/>
              <w:kinsoku/>
              <w:wordWrap/>
              <w:overflowPunct/>
              <w:topLinePunct w:val="0"/>
              <w:autoSpaceDE/>
              <w:autoSpaceDN/>
              <w:bidi w:val="0"/>
              <w:adjustRightInd/>
              <w:snapToGrid/>
              <w:spacing w:before="0" w:beforeLines="0"/>
              <w:textAlignment w:val="auto"/>
              <w:rPr>
                <w:rFonts w:hint="default" w:ascii="Times New Roman" w:hAnsi="Times New Roman" w:cs="Times New Roman"/>
              </w:rPr>
            </w:pPr>
            <w:r>
              <w:rPr>
                <w:rFonts w:hint="default" w:ascii="Times New Roman" w:hAnsi="Times New Roman" w:cs="Times New Roman"/>
              </w:rPr>
              <w:t>2、废气</w:t>
            </w:r>
          </w:p>
          <w:p w14:paraId="5E50D93A">
            <w:pPr>
              <w:keepNext w:val="0"/>
              <w:keepLines w:val="0"/>
              <w:pageBreakBefore w:val="0"/>
              <w:kinsoku/>
              <w:wordWrap/>
              <w:overflowPunct/>
              <w:topLinePunct w:val="0"/>
              <w:autoSpaceDE/>
              <w:autoSpaceDN/>
              <w:bidi w:val="0"/>
              <w:adjustRightInd/>
              <w:snapToGrid/>
              <w:ind w:firstLine="480"/>
              <w:textAlignment w:val="auto"/>
              <w:rPr>
                <w:rFonts w:hint="default" w:ascii="Times New Roman" w:hAnsi="Times New Roman" w:cs="Times New Roman"/>
              </w:rPr>
            </w:pPr>
            <w:r>
              <w:rPr>
                <w:rFonts w:hint="eastAsia" w:eastAsia="宋体" w:cs="Times New Roman"/>
                <w:color w:val="000000" w:themeColor="text1"/>
                <w:sz w:val="24"/>
                <w:szCs w:val="24"/>
                <w:highlight w:val="none"/>
                <w:lang w:val="en-US" w:eastAsia="zh-CN"/>
                <w14:textFill>
                  <w14:solidFill>
                    <w14:schemeClr w14:val="tx1"/>
                  </w14:solidFill>
                </w14:textFill>
              </w:rPr>
              <w:t>根据</w:t>
            </w:r>
            <w:r>
              <w:rPr>
                <w:rFonts w:hint="eastAsia" w:ascii="Times New Roman" w:hAnsi="Times New Roman" w:eastAsia="宋体" w:cs="Times New Roman"/>
                <w:color w:val="000000" w:themeColor="text1"/>
                <w:sz w:val="24"/>
                <w:szCs w:val="24"/>
                <w:highlight w:val="none"/>
                <w14:textFill>
                  <w14:solidFill>
                    <w14:schemeClr w14:val="tx1"/>
                  </w14:solidFill>
                </w14:textFill>
              </w:rPr>
              <w:t>《国务院关于印</w:t>
            </w:r>
            <w:r>
              <w:rPr>
                <w:rFonts w:hint="eastAsia" w:ascii="宋体" w:hAnsi="宋体" w:eastAsia="宋体" w:cs="宋体"/>
                <w:color w:val="000000" w:themeColor="text1"/>
                <w:sz w:val="24"/>
                <w:szCs w:val="24"/>
                <w:highlight w:val="none"/>
                <w14:textFill>
                  <w14:solidFill>
                    <w14:schemeClr w14:val="tx1"/>
                  </w14:solidFill>
                </w14:textFill>
              </w:rPr>
              <w:t>发“十四五”节能</w:t>
            </w:r>
            <w:r>
              <w:rPr>
                <w:rFonts w:hint="eastAsia" w:ascii="Times New Roman" w:hAnsi="Times New Roman" w:eastAsia="宋体" w:cs="Times New Roman"/>
                <w:color w:val="000000" w:themeColor="text1"/>
                <w:sz w:val="24"/>
                <w:szCs w:val="24"/>
                <w:highlight w:val="none"/>
                <w14:textFill>
                  <w14:solidFill>
                    <w14:schemeClr w14:val="tx1"/>
                  </w14:solidFill>
                </w14:textFill>
              </w:rPr>
              <w:t>减排综合工作方案的通知》（国发〔2021〕33号），</w:t>
            </w:r>
            <w:r>
              <w:rPr>
                <w:rFonts w:hint="eastAsia" w:ascii="Times New Roman" w:hAnsi="Times New Roman" w:cs="Times New Roman"/>
                <w:color w:val="000000" w:themeColor="text1"/>
                <w:sz w:val="24"/>
                <w:szCs w:val="24"/>
                <w:highlight w:val="none"/>
                <w:lang w:eastAsia="zh-CN"/>
                <w14:textFill>
                  <w14:solidFill>
                    <w14:schemeClr w14:val="tx1"/>
                  </w14:solidFill>
                </w14:textFill>
              </w:rPr>
              <w:t>“十四五”期间</w:t>
            </w:r>
            <w:r>
              <w:rPr>
                <w:rFonts w:hint="eastAsia" w:ascii="Times New Roman" w:hAnsi="Times New Roman" w:eastAsia="宋体" w:cs="Times New Roman"/>
                <w:color w:val="000000" w:themeColor="text1"/>
                <w:sz w:val="24"/>
                <w:szCs w:val="24"/>
                <w:highlight w:val="none"/>
                <w14:textFill>
                  <w14:solidFill>
                    <w14:schemeClr w14:val="tx1"/>
                  </w14:solidFill>
                </w14:textFill>
              </w:rPr>
              <w:t>将氮氧化物、挥发性有机物作为</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废气</w:t>
            </w:r>
            <w:r>
              <w:rPr>
                <w:rFonts w:hint="eastAsia" w:ascii="Times New Roman" w:hAnsi="Times New Roman" w:eastAsia="宋体" w:cs="Times New Roman"/>
                <w:color w:val="000000" w:themeColor="text1"/>
                <w:sz w:val="24"/>
                <w:szCs w:val="24"/>
                <w:highlight w:val="none"/>
                <w14:textFill>
                  <w14:solidFill>
                    <w14:schemeClr w14:val="tx1"/>
                  </w14:solidFill>
                </w14:textFill>
              </w:rPr>
              <w:t>总量控制指标</w:t>
            </w:r>
            <w:r>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eastAsia" w:cs="Times New Roman"/>
                <w:b w:val="0"/>
                <w:bCs/>
                <w:color w:val="000000" w:themeColor="text1"/>
                <w:sz w:val="24"/>
                <w:szCs w:val="24"/>
                <w:highlight w:val="none"/>
                <w:lang w:val="en-US" w:eastAsia="zh-CN"/>
                <w14:textFill>
                  <w14:solidFill>
                    <w14:schemeClr w14:val="tx1"/>
                  </w14:solidFill>
                </w14:textFill>
              </w:rPr>
              <w:t>本项目废气污染物为颗粒物、SO</w:t>
            </w:r>
            <w:r>
              <w:rPr>
                <w:rFonts w:hint="eastAsia" w:cs="Times New Roman"/>
                <w:b w:val="0"/>
                <w:bCs/>
                <w:color w:val="000000" w:themeColor="text1"/>
                <w:sz w:val="24"/>
                <w:szCs w:val="24"/>
                <w:highlight w:val="none"/>
                <w:vertAlign w:val="subscript"/>
                <w:lang w:val="en-US" w:eastAsia="zh-CN"/>
                <w14:textFill>
                  <w14:solidFill>
                    <w14:schemeClr w14:val="tx1"/>
                  </w14:solidFill>
                </w14:textFill>
              </w:rPr>
              <w:t>2</w:t>
            </w:r>
            <w:r>
              <w:rPr>
                <w:rFonts w:hint="eastAsia" w:cs="Times New Roman"/>
                <w:b w:val="0"/>
                <w:bCs/>
                <w:color w:val="000000" w:themeColor="text1"/>
                <w:sz w:val="24"/>
                <w:szCs w:val="24"/>
                <w:highlight w:val="none"/>
                <w:lang w:val="en-US" w:eastAsia="zh-CN"/>
                <w14:textFill>
                  <w14:solidFill>
                    <w14:schemeClr w14:val="tx1"/>
                  </w14:solidFill>
                </w14:textFill>
              </w:rPr>
              <w:t>、NOx、氟化物、二噁英和VOCs，因此，本项目设置NOx和VOCs的总量控制指标</w:t>
            </w:r>
            <w:r>
              <w:rPr>
                <w:rFonts w:hint="default" w:ascii="Times New Roman" w:hAnsi="Times New Roman" w:cs="Times New Roman"/>
              </w:rPr>
              <w:t>：</w:t>
            </w:r>
          </w:p>
          <w:p w14:paraId="727533B4">
            <w:pPr>
              <w:pStyle w:val="12"/>
              <w:adjustRightInd w:val="0"/>
              <w:snapToGrid w:val="0"/>
              <w:spacing w:line="360" w:lineRule="auto"/>
              <w:ind w:firstLine="422" w:firstLineChars="200"/>
              <w:rPr>
                <w:rFonts w:hint="eastAsia"/>
                <w:b/>
                <w:bCs w:val="0"/>
                <w:color w:val="000000"/>
                <w:sz w:val="21"/>
                <w:szCs w:val="21"/>
              </w:rPr>
            </w:pPr>
          </w:p>
          <w:p w14:paraId="48C19AF8">
            <w:pPr>
              <w:pStyle w:val="12"/>
              <w:adjustRightInd w:val="0"/>
              <w:snapToGrid w:val="0"/>
              <w:spacing w:line="360" w:lineRule="auto"/>
              <w:ind w:firstLine="422" w:firstLineChars="200"/>
              <w:rPr>
                <w:rFonts w:hint="eastAsia"/>
                <w:b/>
                <w:bCs w:val="0"/>
                <w:color w:val="000000"/>
                <w:sz w:val="21"/>
                <w:szCs w:val="21"/>
              </w:rPr>
            </w:pPr>
          </w:p>
          <w:p w14:paraId="5849029F">
            <w:pPr>
              <w:pStyle w:val="12"/>
              <w:adjustRightInd w:val="0"/>
              <w:snapToGrid w:val="0"/>
              <w:spacing w:line="360" w:lineRule="auto"/>
              <w:ind w:firstLine="422" w:firstLineChars="200"/>
              <w:rPr>
                <w:b/>
                <w:bCs w:val="0"/>
                <w:color w:val="000000"/>
                <w:sz w:val="21"/>
                <w:szCs w:val="21"/>
              </w:rPr>
            </w:pPr>
            <w:r>
              <w:rPr>
                <w:rFonts w:hint="eastAsia"/>
                <w:b/>
                <w:bCs w:val="0"/>
                <w:color w:val="000000"/>
                <w:sz w:val="21"/>
                <w:szCs w:val="21"/>
              </w:rPr>
              <w:t>表3-1</w:t>
            </w:r>
            <w:r>
              <w:rPr>
                <w:rFonts w:hint="eastAsia"/>
                <w:b/>
                <w:bCs w:val="0"/>
                <w:color w:val="000000"/>
                <w:sz w:val="21"/>
                <w:szCs w:val="21"/>
                <w:lang w:val="en-US" w:eastAsia="zh-CN"/>
              </w:rPr>
              <w:t>3</w:t>
            </w:r>
            <w:r>
              <w:rPr>
                <w:rFonts w:hint="eastAsia"/>
                <w:b/>
                <w:bCs w:val="0"/>
                <w:color w:val="000000"/>
                <w:sz w:val="21"/>
                <w:szCs w:val="21"/>
              </w:rPr>
              <w:t xml:space="preserve"> 本项目建成后污染物排放总量控制建议表</w:t>
            </w:r>
          </w:p>
          <w:tbl>
            <w:tblPr>
              <w:tblStyle w:val="26"/>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12"/>
              <w:gridCol w:w="2649"/>
              <w:gridCol w:w="2998"/>
              <w:gridCol w:w="2327"/>
            </w:tblGrid>
            <w:tr w14:paraId="10E9D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52" w:type="pct"/>
                  <w:noWrap w:val="0"/>
                  <w:vAlign w:val="center"/>
                </w:tcPr>
                <w:p w14:paraId="0BD8F677">
                  <w:pPr>
                    <w:keepNext w:val="0"/>
                    <w:keepLines w:val="0"/>
                    <w:pageBreakBefore w:val="0"/>
                    <w:tabs>
                      <w:tab w:val="left" w:pos="2468"/>
                    </w:tabs>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b/>
                      <w:bCs/>
                      <w:color w:val="000000"/>
                      <w:kern w:val="0"/>
                      <w:sz w:val="21"/>
                      <w:szCs w:val="21"/>
                    </w:rPr>
                  </w:pPr>
                  <w:r>
                    <w:rPr>
                      <w:rFonts w:hint="default" w:ascii="Times New Roman" w:hAnsi="Times New Roman" w:cs="Times New Roman"/>
                      <w:b/>
                      <w:bCs/>
                      <w:color w:val="000000"/>
                      <w:kern w:val="0"/>
                      <w:sz w:val="21"/>
                      <w:szCs w:val="21"/>
                    </w:rPr>
                    <w:t>类别</w:t>
                  </w:r>
                </w:p>
              </w:tc>
              <w:tc>
                <w:tcPr>
                  <w:tcW w:w="1410" w:type="pct"/>
                  <w:noWrap w:val="0"/>
                  <w:vAlign w:val="center"/>
                </w:tcPr>
                <w:p w14:paraId="1B49740C">
                  <w:pPr>
                    <w:keepNext w:val="0"/>
                    <w:keepLines w:val="0"/>
                    <w:pageBreakBefore w:val="0"/>
                    <w:tabs>
                      <w:tab w:val="left" w:pos="2468"/>
                    </w:tabs>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b/>
                      <w:bCs/>
                      <w:color w:val="000000"/>
                      <w:kern w:val="0"/>
                      <w:sz w:val="21"/>
                      <w:szCs w:val="21"/>
                    </w:rPr>
                  </w:pPr>
                  <w:r>
                    <w:rPr>
                      <w:rFonts w:hint="default" w:ascii="Times New Roman" w:hAnsi="Times New Roman" w:cs="Times New Roman"/>
                      <w:b/>
                      <w:bCs/>
                      <w:color w:val="000000"/>
                      <w:kern w:val="0"/>
                      <w:sz w:val="21"/>
                      <w:szCs w:val="21"/>
                    </w:rPr>
                    <w:t>污染物</w:t>
                  </w:r>
                </w:p>
              </w:tc>
              <w:tc>
                <w:tcPr>
                  <w:tcW w:w="1596" w:type="pct"/>
                  <w:noWrap w:val="0"/>
                  <w:vAlign w:val="center"/>
                </w:tcPr>
                <w:p w14:paraId="09D18259">
                  <w:pPr>
                    <w:keepNext w:val="0"/>
                    <w:keepLines w:val="0"/>
                    <w:pageBreakBefore w:val="0"/>
                    <w:tabs>
                      <w:tab w:val="left" w:pos="2468"/>
                    </w:tabs>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b/>
                      <w:bCs/>
                      <w:color w:val="000000"/>
                      <w:kern w:val="0"/>
                      <w:sz w:val="21"/>
                      <w:szCs w:val="21"/>
                    </w:rPr>
                  </w:pPr>
                  <w:r>
                    <w:rPr>
                      <w:rFonts w:hint="default" w:ascii="Times New Roman" w:hAnsi="Times New Roman" w:cs="Times New Roman"/>
                      <w:b/>
                      <w:bCs/>
                      <w:color w:val="000000"/>
                      <w:kern w:val="0"/>
                      <w:sz w:val="21"/>
                      <w:szCs w:val="21"/>
                      <w:lang w:val="en-US" w:eastAsia="zh-CN"/>
                    </w:rPr>
                    <w:t>本项目</w:t>
                  </w:r>
                  <w:r>
                    <w:rPr>
                      <w:rFonts w:hint="default" w:ascii="Times New Roman" w:hAnsi="Times New Roman" w:cs="Times New Roman"/>
                      <w:b/>
                      <w:bCs/>
                      <w:color w:val="000000"/>
                      <w:kern w:val="0"/>
                      <w:sz w:val="21"/>
                      <w:szCs w:val="21"/>
                    </w:rPr>
                    <w:t>排放总量（t/a）</w:t>
                  </w:r>
                </w:p>
              </w:tc>
              <w:tc>
                <w:tcPr>
                  <w:tcW w:w="1239" w:type="pct"/>
                  <w:noWrap w:val="0"/>
                  <w:vAlign w:val="center"/>
                </w:tcPr>
                <w:p w14:paraId="12285773">
                  <w:pPr>
                    <w:keepNext w:val="0"/>
                    <w:keepLines w:val="0"/>
                    <w:pageBreakBefore w:val="0"/>
                    <w:tabs>
                      <w:tab w:val="left" w:pos="2468"/>
                    </w:tabs>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b/>
                      <w:bCs/>
                      <w:color w:val="000000"/>
                      <w:kern w:val="0"/>
                      <w:sz w:val="21"/>
                      <w:szCs w:val="21"/>
                    </w:rPr>
                  </w:pPr>
                  <w:r>
                    <w:rPr>
                      <w:rFonts w:hint="default" w:ascii="Times New Roman" w:hAnsi="Times New Roman" w:cs="Times New Roman"/>
                      <w:b/>
                      <w:bCs/>
                      <w:color w:val="000000"/>
                      <w:kern w:val="0"/>
                      <w:sz w:val="21"/>
                      <w:szCs w:val="21"/>
                    </w:rPr>
                    <w:t>去向</w:t>
                  </w:r>
                </w:p>
              </w:tc>
            </w:tr>
            <w:tr w14:paraId="1888E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 w:hRule="atLeast"/>
                <w:jc w:val="center"/>
              </w:trPr>
              <w:tc>
                <w:tcPr>
                  <w:tcW w:w="752" w:type="pct"/>
                  <w:vMerge w:val="restart"/>
                  <w:noWrap w:val="0"/>
                  <w:vAlign w:val="center"/>
                </w:tcPr>
                <w:p w14:paraId="321E5A13">
                  <w:pPr>
                    <w:keepNext w:val="0"/>
                    <w:keepLines w:val="0"/>
                    <w:pageBreakBefore w:val="0"/>
                    <w:tabs>
                      <w:tab w:val="left" w:pos="2468"/>
                    </w:tabs>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color w:val="000000"/>
                      <w:kern w:val="0"/>
                      <w:sz w:val="21"/>
                      <w:szCs w:val="21"/>
                    </w:rPr>
                  </w:pPr>
                  <w:r>
                    <w:rPr>
                      <w:rFonts w:hint="default" w:ascii="Times New Roman" w:hAnsi="Times New Roman" w:cs="Times New Roman"/>
                      <w:color w:val="000000"/>
                      <w:kern w:val="0"/>
                      <w:sz w:val="21"/>
                      <w:szCs w:val="21"/>
                    </w:rPr>
                    <w:t>废气</w:t>
                  </w:r>
                </w:p>
              </w:tc>
              <w:tc>
                <w:tcPr>
                  <w:tcW w:w="1410" w:type="pct"/>
                  <w:noWrap w:val="0"/>
                  <w:vAlign w:val="center"/>
                </w:tcPr>
                <w:p w14:paraId="173F0232">
                  <w:pPr>
                    <w:pStyle w:val="61"/>
                    <w:keepNext w:val="0"/>
                    <w:keepLines w:val="0"/>
                    <w:pageBreakBefore w:val="0"/>
                    <w:kinsoku/>
                    <w:wordWrap/>
                    <w:overflowPunct/>
                    <w:topLinePunct w:val="0"/>
                    <w:autoSpaceDE/>
                    <w:autoSpaceDN/>
                    <w:bidi w:val="0"/>
                    <w:spacing w:beforeLines="0" w:afterLines="0" w:line="240" w:lineRule="auto"/>
                    <w:ind w:firstLine="0" w:firstLineChars="0"/>
                    <w:rPr>
                      <w:rFonts w:hint="default" w:ascii="Times New Roman" w:hAnsi="Times New Roman" w:eastAsia="宋体" w:cs="Times New Roman"/>
                      <w:snapToGrid w:val="0"/>
                      <w:color w:val="000000"/>
                      <w:kern w:val="21"/>
                      <w:sz w:val="21"/>
                      <w:szCs w:val="21"/>
                      <w:lang w:val="en-US" w:eastAsia="zh-CN"/>
                    </w:rPr>
                  </w:pPr>
                  <w:r>
                    <w:rPr>
                      <w:rFonts w:hint="eastAsia" w:ascii="Times New Roman" w:hAnsi="Times New Roman" w:cs="Times New Roman"/>
                      <w:color w:val="000000"/>
                      <w:sz w:val="21"/>
                      <w:szCs w:val="21"/>
                      <w:lang w:val="en-US" w:eastAsia="zh-CN"/>
                    </w:rPr>
                    <w:t>NOx</w:t>
                  </w:r>
                </w:p>
              </w:tc>
              <w:tc>
                <w:tcPr>
                  <w:tcW w:w="1596" w:type="pct"/>
                  <w:noWrap w:val="0"/>
                  <w:vAlign w:val="center"/>
                </w:tcPr>
                <w:p w14:paraId="1CD970F2">
                  <w:pPr>
                    <w:keepNext w:val="0"/>
                    <w:keepLines w:val="0"/>
                    <w:pageBreakBefore w:val="0"/>
                    <w:widowControl/>
                    <w:kinsoku/>
                    <w:wordWrap/>
                    <w:overflowPunct/>
                    <w:topLinePunct w:val="0"/>
                    <w:autoSpaceDE/>
                    <w:autoSpaceDN/>
                    <w:bidi w:val="0"/>
                    <w:spacing w:line="240" w:lineRule="auto"/>
                    <w:ind w:firstLine="0" w:firstLineChars="0"/>
                    <w:jc w:val="center"/>
                    <w:textAlignment w:val="center"/>
                    <w:rPr>
                      <w:rFonts w:hint="default" w:ascii="Times New Roman" w:hAnsi="Times New Roman" w:eastAsia="宋体" w:cs="Times New Roman"/>
                      <w:snapToGrid w:val="0"/>
                      <w:color w:val="000000"/>
                      <w:kern w:val="21"/>
                      <w:sz w:val="21"/>
                      <w:szCs w:val="21"/>
                      <w:lang w:val="en-US" w:eastAsia="zh-CN"/>
                    </w:rPr>
                  </w:pPr>
                  <w:r>
                    <w:rPr>
                      <w:rFonts w:hint="eastAsia" w:cs="Times New Roman"/>
                      <w:snapToGrid w:val="0"/>
                      <w:color w:val="000000"/>
                      <w:kern w:val="21"/>
                      <w:sz w:val="21"/>
                      <w:szCs w:val="21"/>
                      <w:lang w:val="en-US" w:eastAsia="zh-CN"/>
                    </w:rPr>
                    <w:t>0.2257</w:t>
                  </w:r>
                </w:p>
              </w:tc>
              <w:tc>
                <w:tcPr>
                  <w:tcW w:w="1239" w:type="pct"/>
                  <w:vMerge w:val="restart"/>
                  <w:noWrap w:val="0"/>
                  <w:vAlign w:val="center"/>
                </w:tcPr>
                <w:p w14:paraId="4606EC80">
                  <w:pPr>
                    <w:keepNext w:val="0"/>
                    <w:keepLines w:val="0"/>
                    <w:pageBreakBefore w:val="0"/>
                    <w:tabs>
                      <w:tab w:val="left" w:pos="2468"/>
                    </w:tabs>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color w:val="000000"/>
                      <w:kern w:val="0"/>
                      <w:sz w:val="21"/>
                      <w:szCs w:val="21"/>
                    </w:rPr>
                  </w:pPr>
                  <w:r>
                    <w:rPr>
                      <w:rFonts w:hint="default" w:ascii="Times New Roman" w:hAnsi="Times New Roman" w:cs="Times New Roman"/>
                      <w:color w:val="000000"/>
                      <w:kern w:val="0"/>
                      <w:sz w:val="21"/>
                      <w:szCs w:val="21"/>
                    </w:rPr>
                    <w:t>大气</w:t>
                  </w:r>
                </w:p>
              </w:tc>
            </w:tr>
            <w:tr w14:paraId="606F5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 w:hRule="atLeast"/>
                <w:jc w:val="center"/>
              </w:trPr>
              <w:tc>
                <w:tcPr>
                  <w:tcW w:w="752" w:type="pct"/>
                  <w:vMerge w:val="continue"/>
                  <w:noWrap w:val="0"/>
                  <w:vAlign w:val="center"/>
                </w:tcPr>
                <w:p w14:paraId="60454903">
                  <w:pPr>
                    <w:keepNext w:val="0"/>
                    <w:keepLines w:val="0"/>
                    <w:pageBreakBefore w:val="0"/>
                    <w:widowControl/>
                    <w:kinsoku/>
                    <w:wordWrap/>
                    <w:overflowPunct/>
                    <w:topLinePunct w:val="0"/>
                    <w:autoSpaceDE/>
                    <w:autoSpaceDN/>
                    <w:bidi w:val="0"/>
                    <w:spacing w:line="240" w:lineRule="auto"/>
                    <w:ind w:firstLine="0" w:firstLineChars="0"/>
                    <w:jc w:val="center"/>
                    <w:textAlignment w:val="center"/>
                  </w:pPr>
                </w:p>
              </w:tc>
              <w:tc>
                <w:tcPr>
                  <w:tcW w:w="1410" w:type="pct"/>
                  <w:noWrap w:val="0"/>
                  <w:vAlign w:val="center"/>
                </w:tcPr>
                <w:p w14:paraId="403E5CDE">
                  <w:pPr>
                    <w:keepNext w:val="0"/>
                    <w:keepLines w:val="0"/>
                    <w:pageBreakBefore w:val="0"/>
                    <w:widowControl/>
                    <w:kinsoku/>
                    <w:wordWrap/>
                    <w:overflowPunct/>
                    <w:topLinePunct w:val="0"/>
                    <w:autoSpaceDE/>
                    <w:autoSpaceDN/>
                    <w:bidi w:val="0"/>
                    <w:spacing w:line="240" w:lineRule="auto"/>
                    <w:ind w:firstLine="0" w:firstLineChars="0"/>
                    <w:jc w:val="center"/>
                    <w:textAlignment w:val="center"/>
                    <w:rPr>
                      <w:rFonts w:hint="default" w:ascii="Times New Roman" w:hAnsi="Times New Roman" w:cs="Times New Roman"/>
                      <w:color w:val="000000"/>
                      <w:sz w:val="21"/>
                      <w:szCs w:val="21"/>
                      <w:lang w:val="en-US" w:eastAsia="zh-CN"/>
                    </w:rPr>
                  </w:pPr>
                  <w:r>
                    <w:rPr>
                      <w:rFonts w:hint="eastAsia" w:cs="Times New Roman"/>
                      <w:color w:val="000000"/>
                      <w:sz w:val="21"/>
                      <w:szCs w:val="21"/>
                      <w:lang w:val="en-US" w:eastAsia="zh-CN"/>
                    </w:rPr>
                    <w:t>VOCs</w:t>
                  </w:r>
                </w:p>
              </w:tc>
              <w:tc>
                <w:tcPr>
                  <w:tcW w:w="1596" w:type="pct"/>
                  <w:noWrap w:val="0"/>
                  <w:vAlign w:val="center"/>
                </w:tcPr>
                <w:p w14:paraId="09AE525E">
                  <w:pPr>
                    <w:keepNext w:val="0"/>
                    <w:keepLines w:val="0"/>
                    <w:pageBreakBefore w:val="0"/>
                    <w:widowControl/>
                    <w:kinsoku/>
                    <w:wordWrap/>
                    <w:overflowPunct/>
                    <w:topLinePunct w:val="0"/>
                    <w:autoSpaceDE/>
                    <w:autoSpaceDN/>
                    <w:bidi w:val="0"/>
                    <w:spacing w:line="240" w:lineRule="auto"/>
                    <w:ind w:firstLine="0" w:firstLineChars="0"/>
                    <w:jc w:val="center"/>
                    <w:textAlignment w:val="center"/>
                    <w:rPr>
                      <w:rFonts w:hint="default" w:ascii="Times New Roman" w:hAnsi="Times New Roman" w:cs="Times New Roman"/>
                      <w:color w:val="000000"/>
                      <w:sz w:val="21"/>
                      <w:szCs w:val="21"/>
                      <w:lang w:val="en-US" w:eastAsia="zh-CN"/>
                    </w:rPr>
                  </w:pPr>
                  <w:r>
                    <w:rPr>
                      <w:rFonts w:hint="eastAsia" w:cs="Times New Roman"/>
                      <w:color w:val="000000"/>
                      <w:sz w:val="21"/>
                      <w:szCs w:val="21"/>
                      <w:lang w:val="en-US" w:eastAsia="zh-CN"/>
                    </w:rPr>
                    <w:t>0.2694</w:t>
                  </w:r>
                </w:p>
              </w:tc>
              <w:tc>
                <w:tcPr>
                  <w:tcW w:w="1239" w:type="pct"/>
                  <w:vMerge w:val="continue"/>
                  <w:noWrap w:val="0"/>
                  <w:vAlign w:val="center"/>
                </w:tcPr>
                <w:p w14:paraId="423936E6">
                  <w:pPr>
                    <w:keepNext w:val="0"/>
                    <w:keepLines w:val="0"/>
                    <w:pageBreakBefore w:val="0"/>
                    <w:widowControl/>
                    <w:kinsoku/>
                    <w:wordWrap/>
                    <w:overflowPunct/>
                    <w:topLinePunct w:val="0"/>
                    <w:autoSpaceDE/>
                    <w:autoSpaceDN/>
                    <w:bidi w:val="0"/>
                    <w:spacing w:line="240" w:lineRule="auto"/>
                    <w:ind w:firstLine="0" w:firstLineChars="0"/>
                    <w:jc w:val="center"/>
                    <w:textAlignment w:val="center"/>
                    <w:rPr>
                      <w:rFonts w:hint="eastAsia" w:ascii="Times New Roman" w:hAnsi="Times New Roman" w:cs="Times New Roman"/>
                      <w:color w:val="000000"/>
                      <w:sz w:val="21"/>
                      <w:szCs w:val="21"/>
                      <w:lang w:val="en-US" w:eastAsia="zh-CN"/>
                    </w:rPr>
                  </w:pPr>
                </w:p>
              </w:tc>
            </w:tr>
            <w:tr w14:paraId="59CA4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52" w:type="pct"/>
                  <w:vMerge w:val="restart"/>
                  <w:noWrap w:val="0"/>
                  <w:vAlign w:val="center"/>
                </w:tcPr>
                <w:p w14:paraId="36866AF3">
                  <w:pPr>
                    <w:keepNext w:val="0"/>
                    <w:keepLines w:val="0"/>
                    <w:pageBreakBefore w:val="0"/>
                    <w:tabs>
                      <w:tab w:val="left" w:pos="2468"/>
                    </w:tabs>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color w:val="000000"/>
                      <w:kern w:val="0"/>
                      <w:sz w:val="21"/>
                      <w:szCs w:val="21"/>
                    </w:rPr>
                  </w:pPr>
                  <w:r>
                    <w:rPr>
                      <w:rFonts w:hint="default" w:ascii="Times New Roman" w:hAnsi="Times New Roman" w:cs="Times New Roman"/>
                      <w:color w:val="000000"/>
                      <w:kern w:val="0"/>
                      <w:sz w:val="21"/>
                      <w:szCs w:val="21"/>
                    </w:rPr>
                    <w:t>废水</w:t>
                  </w:r>
                </w:p>
              </w:tc>
              <w:tc>
                <w:tcPr>
                  <w:tcW w:w="1410" w:type="pct"/>
                  <w:noWrap w:val="0"/>
                  <w:vAlign w:val="center"/>
                </w:tcPr>
                <w:p w14:paraId="33758FBA">
                  <w:pPr>
                    <w:keepNext w:val="0"/>
                    <w:keepLines w:val="0"/>
                    <w:pageBreakBefore w:val="0"/>
                    <w:tabs>
                      <w:tab w:val="left" w:pos="2468"/>
                    </w:tabs>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color w:val="000000"/>
                      <w:kern w:val="0"/>
                      <w:sz w:val="21"/>
                      <w:szCs w:val="21"/>
                    </w:rPr>
                  </w:pPr>
                  <w:r>
                    <w:rPr>
                      <w:rFonts w:hint="default" w:ascii="Times New Roman" w:hAnsi="Times New Roman" w:cs="Times New Roman"/>
                      <w:color w:val="000000"/>
                      <w:kern w:val="0"/>
                      <w:sz w:val="21"/>
                      <w:szCs w:val="21"/>
                    </w:rPr>
                    <w:t>废水量</w:t>
                  </w:r>
                </w:p>
              </w:tc>
              <w:tc>
                <w:tcPr>
                  <w:tcW w:w="1596" w:type="pct"/>
                  <w:noWrap w:val="0"/>
                  <w:vAlign w:val="center"/>
                </w:tcPr>
                <w:p w14:paraId="6538F458">
                  <w:pPr>
                    <w:pStyle w:val="61"/>
                    <w:keepNext w:val="0"/>
                    <w:keepLines w:val="0"/>
                    <w:pageBreakBefore w:val="0"/>
                    <w:kinsoku/>
                    <w:wordWrap/>
                    <w:overflowPunct/>
                    <w:topLinePunct w:val="0"/>
                    <w:autoSpaceDE/>
                    <w:autoSpaceDN/>
                    <w:bidi w:val="0"/>
                    <w:spacing w:beforeLines="0" w:afterLines="0" w:line="240" w:lineRule="auto"/>
                    <w:ind w:firstLine="0" w:firstLineChars="0"/>
                    <w:rPr>
                      <w:rFonts w:hint="default" w:ascii="Times New Roman" w:hAnsi="Times New Roman" w:eastAsia="宋体" w:cs="Times New Roman"/>
                      <w:snapToGrid w:val="0"/>
                      <w:color w:val="000000"/>
                      <w:kern w:val="21"/>
                      <w:sz w:val="21"/>
                      <w:szCs w:val="21"/>
                      <w:lang w:val="en-US" w:eastAsia="zh-CN"/>
                    </w:rPr>
                  </w:pPr>
                  <w:r>
                    <w:rPr>
                      <w:rFonts w:hint="eastAsia" w:ascii="Times New Roman" w:hAnsi="Times New Roman" w:cs="Times New Roman"/>
                      <w:color w:val="000000"/>
                      <w:sz w:val="21"/>
                      <w:szCs w:val="21"/>
                      <w:lang w:val="en-US" w:eastAsia="zh-CN"/>
                    </w:rPr>
                    <w:t>772.2</w:t>
                  </w:r>
                </w:p>
              </w:tc>
              <w:tc>
                <w:tcPr>
                  <w:tcW w:w="1239" w:type="pct"/>
                  <w:noWrap w:val="0"/>
                  <w:vAlign w:val="center"/>
                </w:tcPr>
                <w:p w14:paraId="7A2CE8FD">
                  <w:pPr>
                    <w:pStyle w:val="63"/>
                    <w:keepNext w:val="0"/>
                    <w:keepLines w:val="0"/>
                    <w:pageBreakBefore w:val="0"/>
                    <w:kinsoku/>
                    <w:wordWrap/>
                    <w:overflowPunct/>
                    <w:topLinePunct w:val="0"/>
                    <w:autoSpaceDE/>
                    <w:autoSpaceDN/>
                    <w:bidi w:val="0"/>
                    <w:spacing w:line="240" w:lineRule="auto"/>
                    <w:ind w:firstLine="0" w:firstLineChars="0"/>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w:t>
                  </w:r>
                </w:p>
              </w:tc>
            </w:tr>
            <w:tr w14:paraId="40612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52" w:type="pct"/>
                  <w:vMerge w:val="continue"/>
                  <w:noWrap w:val="0"/>
                  <w:vAlign w:val="center"/>
                </w:tcPr>
                <w:p w14:paraId="7FE45D77">
                  <w:pPr>
                    <w:keepNext w:val="0"/>
                    <w:keepLines w:val="0"/>
                    <w:pageBreakBefore w:val="0"/>
                    <w:tabs>
                      <w:tab w:val="left" w:pos="2468"/>
                    </w:tabs>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color w:val="000000"/>
                      <w:kern w:val="0"/>
                      <w:sz w:val="21"/>
                      <w:szCs w:val="21"/>
                    </w:rPr>
                  </w:pPr>
                </w:p>
              </w:tc>
              <w:tc>
                <w:tcPr>
                  <w:tcW w:w="1410" w:type="pct"/>
                  <w:noWrap w:val="0"/>
                  <w:vAlign w:val="center"/>
                </w:tcPr>
                <w:p w14:paraId="00F65154">
                  <w:pPr>
                    <w:keepNext w:val="0"/>
                    <w:keepLines w:val="0"/>
                    <w:pageBreakBefore w:val="0"/>
                    <w:tabs>
                      <w:tab w:val="left" w:pos="2468"/>
                    </w:tabs>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color w:val="000000"/>
                      <w:kern w:val="0"/>
                      <w:sz w:val="21"/>
                      <w:szCs w:val="21"/>
                    </w:rPr>
                  </w:pPr>
                  <w:r>
                    <w:rPr>
                      <w:rFonts w:hint="default" w:ascii="Times New Roman" w:hAnsi="Times New Roman" w:cs="Times New Roman"/>
                      <w:color w:val="000000"/>
                      <w:kern w:val="0"/>
                      <w:sz w:val="21"/>
                      <w:szCs w:val="21"/>
                    </w:rPr>
                    <w:t>COD</w:t>
                  </w:r>
                </w:p>
              </w:tc>
              <w:tc>
                <w:tcPr>
                  <w:tcW w:w="1596" w:type="pct"/>
                  <w:noWrap w:val="0"/>
                  <w:vAlign w:val="center"/>
                </w:tcPr>
                <w:p w14:paraId="2B306AAD">
                  <w:pPr>
                    <w:pStyle w:val="61"/>
                    <w:keepNext w:val="0"/>
                    <w:keepLines w:val="0"/>
                    <w:pageBreakBefore w:val="0"/>
                    <w:kinsoku/>
                    <w:wordWrap/>
                    <w:overflowPunct/>
                    <w:topLinePunct w:val="0"/>
                    <w:autoSpaceDE/>
                    <w:autoSpaceDN/>
                    <w:bidi w:val="0"/>
                    <w:spacing w:beforeLines="0" w:afterLines="0" w:line="240" w:lineRule="auto"/>
                    <w:ind w:firstLine="0" w:firstLineChars="0"/>
                    <w:rPr>
                      <w:rFonts w:hint="default" w:ascii="Times New Roman" w:hAnsi="Times New Roman" w:eastAsia="宋体" w:cs="Times New Roman"/>
                      <w:snapToGrid w:val="0"/>
                      <w:color w:val="000000"/>
                      <w:kern w:val="21"/>
                      <w:sz w:val="21"/>
                      <w:szCs w:val="21"/>
                      <w:lang w:val="en-US" w:eastAsia="zh-CN"/>
                    </w:rPr>
                  </w:pPr>
                  <w:r>
                    <w:rPr>
                      <w:rFonts w:hint="eastAsia" w:ascii="Times New Roman" w:hAnsi="Times New Roman" w:cs="Times New Roman"/>
                      <w:snapToGrid w:val="0"/>
                      <w:color w:val="000000"/>
                      <w:kern w:val="21"/>
                      <w:sz w:val="21"/>
                      <w:szCs w:val="21"/>
                      <w:lang w:val="en-US" w:eastAsia="zh-CN"/>
                    </w:rPr>
                    <w:t>0.3861</w:t>
                  </w:r>
                </w:p>
              </w:tc>
              <w:tc>
                <w:tcPr>
                  <w:tcW w:w="1239" w:type="pct"/>
                  <w:vMerge w:val="restart"/>
                  <w:noWrap w:val="0"/>
                  <w:vAlign w:val="center"/>
                </w:tcPr>
                <w:p w14:paraId="2FE4D212">
                  <w:pPr>
                    <w:pStyle w:val="63"/>
                    <w:keepNext w:val="0"/>
                    <w:keepLines w:val="0"/>
                    <w:pageBreakBefore w:val="0"/>
                    <w:kinsoku/>
                    <w:wordWrap/>
                    <w:overflowPunct/>
                    <w:topLinePunct w:val="0"/>
                    <w:autoSpaceDE/>
                    <w:autoSpaceDN/>
                    <w:bidi w:val="0"/>
                    <w:spacing w:line="240" w:lineRule="auto"/>
                    <w:ind w:firstLine="0" w:firstLineChars="0"/>
                    <w:rPr>
                      <w:rFonts w:hint="default" w:ascii="Times New Roman" w:hAnsi="Times New Roman" w:cs="Times New Roman"/>
                      <w:color w:val="000000"/>
                      <w:kern w:val="0"/>
                      <w:sz w:val="21"/>
                      <w:szCs w:val="21"/>
                    </w:rPr>
                  </w:pPr>
                  <w:r>
                    <w:rPr>
                      <w:rFonts w:hint="eastAsia" w:ascii="宋体" w:hAnsi="宋体" w:eastAsia="宋体" w:cs="宋体"/>
                      <w:sz w:val="21"/>
                      <w:szCs w:val="21"/>
                      <w:lang w:val="en-US" w:eastAsia="zh-CN"/>
                    </w:rPr>
                    <w:t>星光工业园区污水处理厂</w:t>
                  </w:r>
                </w:p>
              </w:tc>
            </w:tr>
            <w:tr w14:paraId="403D3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52" w:type="pct"/>
                  <w:vMerge w:val="continue"/>
                  <w:noWrap w:val="0"/>
                  <w:vAlign w:val="center"/>
                </w:tcPr>
                <w:p w14:paraId="1C21BD90">
                  <w:pPr>
                    <w:keepNext w:val="0"/>
                    <w:keepLines w:val="0"/>
                    <w:pageBreakBefore w:val="0"/>
                    <w:tabs>
                      <w:tab w:val="left" w:pos="2468"/>
                    </w:tabs>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color w:val="000000"/>
                      <w:kern w:val="0"/>
                      <w:sz w:val="21"/>
                      <w:szCs w:val="21"/>
                    </w:rPr>
                  </w:pPr>
                </w:p>
              </w:tc>
              <w:tc>
                <w:tcPr>
                  <w:tcW w:w="1410" w:type="pct"/>
                  <w:noWrap w:val="0"/>
                  <w:vAlign w:val="center"/>
                </w:tcPr>
                <w:p w14:paraId="4C999923">
                  <w:pPr>
                    <w:keepNext w:val="0"/>
                    <w:keepLines w:val="0"/>
                    <w:pageBreakBefore w:val="0"/>
                    <w:tabs>
                      <w:tab w:val="left" w:pos="2468"/>
                    </w:tabs>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color w:val="000000"/>
                      <w:kern w:val="0"/>
                      <w:sz w:val="21"/>
                      <w:szCs w:val="21"/>
                    </w:rPr>
                  </w:pPr>
                  <w:r>
                    <w:rPr>
                      <w:rFonts w:hint="default" w:ascii="Times New Roman" w:hAnsi="Times New Roman" w:cs="Times New Roman"/>
                      <w:color w:val="000000"/>
                      <w:kern w:val="0"/>
                      <w:sz w:val="21"/>
                      <w:szCs w:val="21"/>
                    </w:rPr>
                    <w:t>NH</w:t>
                  </w:r>
                  <w:r>
                    <w:rPr>
                      <w:rFonts w:hint="default" w:ascii="Times New Roman" w:hAnsi="Times New Roman" w:cs="Times New Roman"/>
                      <w:color w:val="000000"/>
                      <w:kern w:val="0"/>
                      <w:sz w:val="21"/>
                      <w:szCs w:val="21"/>
                      <w:vertAlign w:val="subscript"/>
                    </w:rPr>
                    <w:t>3</w:t>
                  </w:r>
                  <w:r>
                    <w:rPr>
                      <w:rFonts w:hint="default" w:ascii="Times New Roman" w:hAnsi="Times New Roman" w:cs="Times New Roman"/>
                      <w:color w:val="000000"/>
                      <w:kern w:val="0"/>
                      <w:sz w:val="21"/>
                      <w:szCs w:val="21"/>
                    </w:rPr>
                    <w:t>-N</w:t>
                  </w:r>
                </w:p>
              </w:tc>
              <w:tc>
                <w:tcPr>
                  <w:tcW w:w="1596" w:type="pct"/>
                  <w:noWrap w:val="0"/>
                  <w:vAlign w:val="center"/>
                </w:tcPr>
                <w:p w14:paraId="58DABC1B">
                  <w:pPr>
                    <w:pStyle w:val="61"/>
                    <w:keepNext w:val="0"/>
                    <w:keepLines w:val="0"/>
                    <w:pageBreakBefore w:val="0"/>
                    <w:kinsoku/>
                    <w:wordWrap/>
                    <w:overflowPunct/>
                    <w:topLinePunct w:val="0"/>
                    <w:autoSpaceDE/>
                    <w:autoSpaceDN/>
                    <w:bidi w:val="0"/>
                    <w:spacing w:beforeLines="0" w:afterLines="0" w:line="240" w:lineRule="auto"/>
                    <w:ind w:firstLine="0" w:firstLineChars="0"/>
                    <w:rPr>
                      <w:rFonts w:hint="default" w:ascii="Times New Roman" w:hAnsi="Times New Roman" w:eastAsia="宋体" w:cs="Times New Roman"/>
                      <w:snapToGrid w:val="0"/>
                      <w:color w:val="000000"/>
                      <w:kern w:val="21"/>
                      <w:sz w:val="21"/>
                      <w:szCs w:val="21"/>
                      <w:lang w:val="en-US" w:eastAsia="zh-CN"/>
                    </w:rPr>
                  </w:pPr>
                  <w:r>
                    <w:rPr>
                      <w:rFonts w:hint="eastAsia" w:ascii="Times New Roman" w:hAnsi="Times New Roman" w:cs="Times New Roman"/>
                      <w:snapToGrid w:val="0"/>
                      <w:color w:val="000000"/>
                      <w:kern w:val="21"/>
                      <w:sz w:val="21"/>
                      <w:szCs w:val="21"/>
                      <w:lang w:val="en-US" w:eastAsia="zh-CN"/>
                    </w:rPr>
                    <w:t>0.0347</w:t>
                  </w:r>
                </w:p>
              </w:tc>
              <w:tc>
                <w:tcPr>
                  <w:tcW w:w="1239" w:type="pct"/>
                  <w:vMerge w:val="continue"/>
                  <w:noWrap w:val="0"/>
                  <w:vAlign w:val="center"/>
                </w:tcPr>
                <w:p w14:paraId="25751CE7">
                  <w:pPr>
                    <w:pStyle w:val="63"/>
                    <w:keepNext w:val="0"/>
                    <w:keepLines w:val="0"/>
                    <w:pageBreakBefore w:val="0"/>
                    <w:kinsoku/>
                    <w:wordWrap/>
                    <w:overflowPunct/>
                    <w:topLinePunct w:val="0"/>
                    <w:autoSpaceDE/>
                    <w:autoSpaceDN/>
                    <w:bidi w:val="0"/>
                    <w:spacing w:line="240" w:lineRule="auto"/>
                    <w:ind w:firstLine="0" w:firstLineChars="0"/>
                    <w:rPr>
                      <w:rFonts w:hint="default" w:ascii="Times New Roman" w:hAnsi="Times New Roman" w:eastAsia="宋体" w:cs="Times New Roman"/>
                      <w:color w:val="000000"/>
                      <w:sz w:val="21"/>
                      <w:szCs w:val="21"/>
                    </w:rPr>
                  </w:pPr>
                </w:p>
              </w:tc>
            </w:tr>
            <w:tr w14:paraId="61AF6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52" w:type="pct"/>
                  <w:vMerge w:val="continue"/>
                  <w:noWrap w:val="0"/>
                  <w:vAlign w:val="center"/>
                </w:tcPr>
                <w:p w14:paraId="0D77734E">
                  <w:pPr>
                    <w:keepNext w:val="0"/>
                    <w:keepLines w:val="0"/>
                    <w:pageBreakBefore w:val="0"/>
                    <w:tabs>
                      <w:tab w:val="left" w:pos="2468"/>
                    </w:tabs>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color w:val="000000"/>
                      <w:kern w:val="0"/>
                      <w:sz w:val="21"/>
                      <w:szCs w:val="21"/>
                    </w:rPr>
                  </w:pPr>
                </w:p>
              </w:tc>
              <w:tc>
                <w:tcPr>
                  <w:tcW w:w="1410" w:type="pct"/>
                  <w:noWrap w:val="0"/>
                  <w:vAlign w:val="center"/>
                </w:tcPr>
                <w:p w14:paraId="727283DD">
                  <w:pPr>
                    <w:keepNext w:val="0"/>
                    <w:keepLines w:val="0"/>
                    <w:pageBreakBefore w:val="0"/>
                    <w:tabs>
                      <w:tab w:val="left" w:pos="2468"/>
                    </w:tabs>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color w:val="000000"/>
                      <w:kern w:val="0"/>
                      <w:sz w:val="21"/>
                      <w:szCs w:val="21"/>
                    </w:rPr>
                  </w:pPr>
                  <w:r>
                    <w:rPr>
                      <w:rFonts w:hint="default" w:ascii="Times New Roman" w:hAnsi="Times New Roman" w:cs="Times New Roman"/>
                      <w:color w:val="000000"/>
                      <w:kern w:val="0"/>
                      <w:sz w:val="21"/>
                      <w:szCs w:val="21"/>
                    </w:rPr>
                    <w:t>TP</w:t>
                  </w:r>
                </w:p>
              </w:tc>
              <w:tc>
                <w:tcPr>
                  <w:tcW w:w="1596" w:type="pct"/>
                  <w:noWrap w:val="0"/>
                  <w:vAlign w:val="center"/>
                </w:tcPr>
                <w:p w14:paraId="573DAA61">
                  <w:pPr>
                    <w:pStyle w:val="61"/>
                    <w:keepNext w:val="0"/>
                    <w:keepLines w:val="0"/>
                    <w:pageBreakBefore w:val="0"/>
                    <w:kinsoku/>
                    <w:wordWrap/>
                    <w:overflowPunct/>
                    <w:topLinePunct w:val="0"/>
                    <w:autoSpaceDE/>
                    <w:autoSpaceDN/>
                    <w:bidi w:val="0"/>
                    <w:spacing w:beforeLines="0" w:afterLines="0" w:line="240" w:lineRule="auto"/>
                    <w:ind w:firstLine="0" w:firstLineChars="0"/>
                    <w:rPr>
                      <w:rFonts w:hint="default" w:ascii="Times New Roman" w:hAnsi="Times New Roman" w:eastAsia="宋体" w:cs="Times New Roman"/>
                      <w:snapToGrid w:val="0"/>
                      <w:color w:val="000000"/>
                      <w:kern w:val="21"/>
                      <w:sz w:val="21"/>
                      <w:szCs w:val="21"/>
                      <w:lang w:val="en-US" w:eastAsia="zh-CN"/>
                    </w:rPr>
                  </w:pPr>
                  <w:r>
                    <w:rPr>
                      <w:rFonts w:hint="eastAsia" w:ascii="Times New Roman" w:hAnsi="Times New Roman" w:cs="Times New Roman"/>
                      <w:snapToGrid w:val="0"/>
                      <w:color w:val="000000"/>
                      <w:kern w:val="21"/>
                      <w:sz w:val="21"/>
                      <w:szCs w:val="21"/>
                      <w:lang w:val="en-US" w:eastAsia="zh-CN"/>
                    </w:rPr>
                    <w:t>0.0062</w:t>
                  </w:r>
                </w:p>
              </w:tc>
              <w:tc>
                <w:tcPr>
                  <w:tcW w:w="1239" w:type="pct"/>
                  <w:vMerge w:val="continue"/>
                  <w:noWrap w:val="0"/>
                  <w:vAlign w:val="center"/>
                </w:tcPr>
                <w:p w14:paraId="11EF51C7">
                  <w:pPr>
                    <w:keepNext w:val="0"/>
                    <w:keepLines w:val="0"/>
                    <w:pageBreakBefore w:val="0"/>
                    <w:tabs>
                      <w:tab w:val="left" w:pos="2468"/>
                    </w:tabs>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color w:val="000000"/>
                      <w:kern w:val="0"/>
                      <w:sz w:val="21"/>
                      <w:szCs w:val="21"/>
                    </w:rPr>
                  </w:pPr>
                </w:p>
              </w:tc>
            </w:tr>
            <w:tr w14:paraId="4F439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52" w:type="pct"/>
                  <w:vMerge w:val="continue"/>
                  <w:noWrap w:val="0"/>
                  <w:vAlign w:val="center"/>
                </w:tcPr>
                <w:p w14:paraId="37D3D31A">
                  <w:pPr>
                    <w:keepNext w:val="0"/>
                    <w:keepLines w:val="0"/>
                    <w:pageBreakBefore w:val="0"/>
                    <w:tabs>
                      <w:tab w:val="left" w:pos="2468"/>
                    </w:tabs>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color w:val="000000"/>
                      <w:kern w:val="0"/>
                      <w:sz w:val="21"/>
                      <w:szCs w:val="21"/>
                    </w:rPr>
                  </w:pPr>
                </w:p>
              </w:tc>
              <w:tc>
                <w:tcPr>
                  <w:tcW w:w="1410" w:type="pct"/>
                  <w:noWrap w:val="0"/>
                  <w:vAlign w:val="center"/>
                </w:tcPr>
                <w:p w14:paraId="678BDCB2">
                  <w:pPr>
                    <w:keepNext w:val="0"/>
                    <w:keepLines w:val="0"/>
                    <w:pageBreakBefore w:val="0"/>
                    <w:tabs>
                      <w:tab w:val="left" w:pos="2468"/>
                    </w:tabs>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color w:val="000000"/>
                      <w:kern w:val="0"/>
                      <w:sz w:val="21"/>
                      <w:szCs w:val="21"/>
                    </w:rPr>
                  </w:pPr>
                  <w:r>
                    <w:rPr>
                      <w:rFonts w:hint="default" w:ascii="Times New Roman" w:hAnsi="Times New Roman" w:cs="Times New Roman"/>
                      <w:color w:val="000000"/>
                      <w:kern w:val="0"/>
                      <w:sz w:val="21"/>
                      <w:szCs w:val="21"/>
                    </w:rPr>
                    <w:t>COD</w:t>
                  </w:r>
                </w:p>
              </w:tc>
              <w:tc>
                <w:tcPr>
                  <w:tcW w:w="1596" w:type="pct"/>
                  <w:noWrap w:val="0"/>
                  <w:vAlign w:val="center"/>
                </w:tcPr>
                <w:p w14:paraId="58EE46A2">
                  <w:pPr>
                    <w:keepNext w:val="0"/>
                    <w:keepLines w:val="0"/>
                    <w:pageBreakBefore w:val="0"/>
                    <w:widowControl/>
                    <w:kinsoku/>
                    <w:wordWrap/>
                    <w:overflowPunct/>
                    <w:topLinePunct w:val="0"/>
                    <w:autoSpaceDE/>
                    <w:autoSpaceDN/>
                    <w:bidi w:val="0"/>
                    <w:spacing w:line="240" w:lineRule="auto"/>
                    <w:ind w:firstLine="0" w:firstLineChars="0"/>
                    <w:jc w:val="center"/>
                    <w:textAlignment w:val="center"/>
                    <w:rPr>
                      <w:rFonts w:hint="default" w:ascii="Times New Roman" w:hAnsi="Times New Roman" w:eastAsia="宋体" w:cs="Times New Roman"/>
                      <w:color w:val="000000"/>
                      <w:kern w:val="0"/>
                      <w:sz w:val="21"/>
                      <w:szCs w:val="21"/>
                      <w:lang w:val="en-US" w:eastAsia="zh-CN" w:bidi="ar"/>
                    </w:rPr>
                  </w:pPr>
                  <w:r>
                    <w:rPr>
                      <w:rFonts w:hint="eastAsia" w:ascii="Times New Roman" w:hAnsi="Times New Roman" w:cs="Times New Roman"/>
                      <w:color w:val="000000"/>
                      <w:kern w:val="0"/>
                      <w:sz w:val="21"/>
                      <w:szCs w:val="21"/>
                      <w:lang w:val="en-US" w:eastAsia="zh-CN" w:bidi="ar"/>
                    </w:rPr>
                    <w:t>0.0386</w:t>
                  </w:r>
                </w:p>
              </w:tc>
              <w:tc>
                <w:tcPr>
                  <w:tcW w:w="1239" w:type="pct"/>
                  <w:vMerge w:val="restart"/>
                  <w:noWrap w:val="0"/>
                  <w:vAlign w:val="center"/>
                </w:tcPr>
                <w:p w14:paraId="3F34B00A">
                  <w:pPr>
                    <w:pStyle w:val="63"/>
                    <w:keepNext w:val="0"/>
                    <w:keepLines w:val="0"/>
                    <w:pageBreakBefore w:val="0"/>
                    <w:kinsoku/>
                    <w:wordWrap/>
                    <w:overflowPunct/>
                    <w:topLinePunct w:val="0"/>
                    <w:autoSpaceDE/>
                    <w:autoSpaceDN/>
                    <w:bidi w:val="0"/>
                    <w:spacing w:line="240" w:lineRule="auto"/>
                    <w:ind w:firstLine="0" w:firstLineChars="0"/>
                    <w:rPr>
                      <w:rFonts w:hint="eastAsia" w:ascii="Times New Roman" w:hAnsi="Times New Roman" w:eastAsia="宋体" w:cs="Times New Roman"/>
                      <w:color w:val="000000"/>
                      <w:kern w:val="0"/>
                      <w:sz w:val="21"/>
                      <w:szCs w:val="21"/>
                      <w:lang w:val="en-US" w:eastAsia="zh-CN"/>
                    </w:rPr>
                  </w:pPr>
                  <w:r>
                    <w:rPr>
                      <w:rFonts w:hint="eastAsia" w:ascii="Times New Roman" w:hAnsi="Times New Roman" w:eastAsia="宋体" w:cs="Times New Roman"/>
                      <w:color w:val="000000"/>
                      <w:kern w:val="0"/>
                      <w:sz w:val="21"/>
                      <w:szCs w:val="21"/>
                      <w:lang w:val="en-US" w:eastAsia="zh-CN"/>
                    </w:rPr>
                    <w:t>巴河</w:t>
                  </w:r>
                </w:p>
              </w:tc>
            </w:tr>
            <w:tr w14:paraId="3498B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52" w:type="pct"/>
                  <w:vMerge w:val="continue"/>
                  <w:noWrap w:val="0"/>
                  <w:vAlign w:val="center"/>
                </w:tcPr>
                <w:p w14:paraId="156C0529">
                  <w:pPr>
                    <w:keepNext w:val="0"/>
                    <w:keepLines w:val="0"/>
                    <w:pageBreakBefore w:val="0"/>
                    <w:tabs>
                      <w:tab w:val="left" w:pos="2468"/>
                    </w:tabs>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color w:val="000000"/>
                      <w:kern w:val="0"/>
                      <w:sz w:val="21"/>
                      <w:szCs w:val="21"/>
                    </w:rPr>
                  </w:pPr>
                </w:p>
              </w:tc>
              <w:tc>
                <w:tcPr>
                  <w:tcW w:w="1410" w:type="pct"/>
                  <w:noWrap w:val="0"/>
                  <w:vAlign w:val="center"/>
                </w:tcPr>
                <w:p w14:paraId="0FD01FAE">
                  <w:pPr>
                    <w:keepNext w:val="0"/>
                    <w:keepLines w:val="0"/>
                    <w:pageBreakBefore w:val="0"/>
                    <w:tabs>
                      <w:tab w:val="left" w:pos="2468"/>
                    </w:tabs>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color w:val="000000"/>
                      <w:kern w:val="0"/>
                      <w:sz w:val="21"/>
                      <w:szCs w:val="21"/>
                    </w:rPr>
                  </w:pPr>
                  <w:r>
                    <w:rPr>
                      <w:rFonts w:hint="default" w:ascii="Times New Roman" w:hAnsi="Times New Roman" w:cs="Times New Roman"/>
                      <w:color w:val="000000"/>
                      <w:kern w:val="0"/>
                      <w:sz w:val="21"/>
                      <w:szCs w:val="21"/>
                    </w:rPr>
                    <w:t>NH</w:t>
                  </w:r>
                  <w:r>
                    <w:rPr>
                      <w:rFonts w:hint="default" w:ascii="Times New Roman" w:hAnsi="Times New Roman" w:cs="Times New Roman"/>
                      <w:color w:val="000000"/>
                      <w:kern w:val="0"/>
                      <w:sz w:val="21"/>
                      <w:szCs w:val="21"/>
                      <w:vertAlign w:val="subscript"/>
                    </w:rPr>
                    <w:t>3</w:t>
                  </w:r>
                  <w:r>
                    <w:rPr>
                      <w:rFonts w:hint="default" w:ascii="Times New Roman" w:hAnsi="Times New Roman" w:cs="Times New Roman"/>
                      <w:color w:val="000000"/>
                      <w:kern w:val="0"/>
                      <w:sz w:val="21"/>
                      <w:szCs w:val="21"/>
                    </w:rPr>
                    <w:t>-N</w:t>
                  </w:r>
                </w:p>
              </w:tc>
              <w:tc>
                <w:tcPr>
                  <w:tcW w:w="1596" w:type="pct"/>
                  <w:noWrap w:val="0"/>
                  <w:vAlign w:val="center"/>
                </w:tcPr>
                <w:p w14:paraId="45ACD168">
                  <w:pPr>
                    <w:keepNext w:val="0"/>
                    <w:keepLines w:val="0"/>
                    <w:pageBreakBefore w:val="0"/>
                    <w:widowControl/>
                    <w:kinsoku/>
                    <w:wordWrap/>
                    <w:overflowPunct/>
                    <w:topLinePunct w:val="0"/>
                    <w:autoSpaceDE/>
                    <w:autoSpaceDN/>
                    <w:bidi w:val="0"/>
                    <w:spacing w:line="240" w:lineRule="auto"/>
                    <w:ind w:firstLine="0" w:firstLineChars="0"/>
                    <w:jc w:val="center"/>
                    <w:textAlignment w:val="center"/>
                    <w:rPr>
                      <w:rFonts w:hint="default" w:ascii="Times New Roman" w:hAnsi="Times New Roman" w:eastAsia="宋体" w:cs="Times New Roman"/>
                      <w:color w:val="000000"/>
                      <w:kern w:val="0"/>
                      <w:sz w:val="21"/>
                      <w:szCs w:val="21"/>
                      <w:lang w:val="en-US" w:eastAsia="zh-CN" w:bidi="ar"/>
                    </w:rPr>
                  </w:pPr>
                  <w:r>
                    <w:rPr>
                      <w:rFonts w:hint="eastAsia" w:cs="Times New Roman"/>
                      <w:color w:val="000000"/>
                      <w:kern w:val="0"/>
                      <w:sz w:val="21"/>
                      <w:szCs w:val="21"/>
                      <w:lang w:val="en-US" w:eastAsia="zh-CN" w:bidi="ar"/>
                    </w:rPr>
                    <w:t>0.0039</w:t>
                  </w:r>
                </w:p>
              </w:tc>
              <w:tc>
                <w:tcPr>
                  <w:tcW w:w="1239" w:type="pct"/>
                  <w:vMerge w:val="continue"/>
                  <w:noWrap w:val="0"/>
                  <w:vAlign w:val="center"/>
                </w:tcPr>
                <w:p w14:paraId="03932F9C">
                  <w:pPr>
                    <w:pStyle w:val="63"/>
                    <w:keepNext w:val="0"/>
                    <w:keepLines w:val="0"/>
                    <w:pageBreakBefore w:val="0"/>
                    <w:kinsoku/>
                    <w:wordWrap/>
                    <w:overflowPunct/>
                    <w:topLinePunct w:val="0"/>
                    <w:autoSpaceDE/>
                    <w:autoSpaceDN/>
                    <w:bidi w:val="0"/>
                    <w:spacing w:line="240" w:lineRule="auto"/>
                    <w:ind w:firstLine="0" w:firstLineChars="0"/>
                    <w:rPr>
                      <w:rFonts w:hint="default" w:ascii="Times New Roman" w:hAnsi="Times New Roman" w:eastAsia="宋体" w:cs="Times New Roman"/>
                      <w:color w:val="000000"/>
                      <w:sz w:val="21"/>
                      <w:szCs w:val="21"/>
                    </w:rPr>
                  </w:pPr>
                </w:p>
              </w:tc>
            </w:tr>
            <w:tr w14:paraId="44706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52" w:type="pct"/>
                  <w:vMerge w:val="continue"/>
                  <w:noWrap w:val="0"/>
                  <w:vAlign w:val="center"/>
                </w:tcPr>
                <w:p w14:paraId="00DBA668">
                  <w:pPr>
                    <w:keepNext w:val="0"/>
                    <w:keepLines w:val="0"/>
                    <w:pageBreakBefore w:val="0"/>
                    <w:tabs>
                      <w:tab w:val="left" w:pos="2468"/>
                    </w:tabs>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color w:val="000000"/>
                      <w:kern w:val="0"/>
                      <w:sz w:val="21"/>
                      <w:szCs w:val="21"/>
                    </w:rPr>
                  </w:pPr>
                </w:p>
              </w:tc>
              <w:tc>
                <w:tcPr>
                  <w:tcW w:w="1410" w:type="pct"/>
                  <w:noWrap w:val="0"/>
                  <w:vAlign w:val="center"/>
                </w:tcPr>
                <w:p w14:paraId="309DC654">
                  <w:pPr>
                    <w:keepNext w:val="0"/>
                    <w:keepLines w:val="0"/>
                    <w:pageBreakBefore w:val="0"/>
                    <w:tabs>
                      <w:tab w:val="left" w:pos="2468"/>
                    </w:tabs>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color w:val="000000"/>
                      <w:kern w:val="0"/>
                      <w:sz w:val="21"/>
                      <w:szCs w:val="21"/>
                    </w:rPr>
                  </w:pPr>
                  <w:r>
                    <w:rPr>
                      <w:rFonts w:hint="default" w:ascii="Times New Roman" w:hAnsi="Times New Roman" w:cs="Times New Roman"/>
                      <w:color w:val="000000"/>
                      <w:kern w:val="0"/>
                      <w:sz w:val="21"/>
                      <w:szCs w:val="21"/>
                    </w:rPr>
                    <w:t>TP</w:t>
                  </w:r>
                </w:p>
              </w:tc>
              <w:tc>
                <w:tcPr>
                  <w:tcW w:w="1596" w:type="pct"/>
                  <w:noWrap w:val="0"/>
                  <w:vAlign w:val="center"/>
                </w:tcPr>
                <w:p w14:paraId="029C478C">
                  <w:pPr>
                    <w:keepNext w:val="0"/>
                    <w:keepLines w:val="0"/>
                    <w:pageBreakBefore w:val="0"/>
                    <w:widowControl/>
                    <w:kinsoku/>
                    <w:wordWrap/>
                    <w:overflowPunct/>
                    <w:topLinePunct w:val="0"/>
                    <w:autoSpaceDE/>
                    <w:autoSpaceDN/>
                    <w:bidi w:val="0"/>
                    <w:spacing w:line="240" w:lineRule="auto"/>
                    <w:ind w:firstLine="0" w:firstLineChars="0"/>
                    <w:jc w:val="center"/>
                    <w:textAlignment w:val="center"/>
                    <w:rPr>
                      <w:rFonts w:hint="default" w:ascii="Times New Roman" w:hAnsi="Times New Roman" w:eastAsia="宋体" w:cs="Times New Roman"/>
                      <w:color w:val="000000"/>
                      <w:kern w:val="0"/>
                      <w:sz w:val="21"/>
                      <w:szCs w:val="21"/>
                      <w:lang w:val="en-US" w:eastAsia="zh-CN" w:bidi="ar"/>
                    </w:rPr>
                  </w:pPr>
                  <w:r>
                    <w:rPr>
                      <w:rFonts w:hint="eastAsia" w:ascii="Times New Roman" w:hAnsi="Times New Roman" w:cs="Times New Roman"/>
                      <w:color w:val="000000"/>
                      <w:kern w:val="0"/>
                      <w:sz w:val="21"/>
                      <w:szCs w:val="21"/>
                      <w:lang w:val="en-US" w:eastAsia="zh-CN" w:bidi="ar"/>
                    </w:rPr>
                    <w:t>0.0004</w:t>
                  </w:r>
                </w:p>
              </w:tc>
              <w:tc>
                <w:tcPr>
                  <w:tcW w:w="1239" w:type="pct"/>
                  <w:vMerge w:val="continue"/>
                  <w:noWrap w:val="0"/>
                  <w:vAlign w:val="center"/>
                </w:tcPr>
                <w:p w14:paraId="654BDF46">
                  <w:pPr>
                    <w:keepNext w:val="0"/>
                    <w:keepLines w:val="0"/>
                    <w:pageBreakBefore w:val="0"/>
                    <w:tabs>
                      <w:tab w:val="left" w:pos="2468"/>
                    </w:tabs>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color w:val="000000"/>
                      <w:kern w:val="0"/>
                      <w:sz w:val="21"/>
                      <w:szCs w:val="21"/>
                    </w:rPr>
                  </w:pPr>
                </w:p>
              </w:tc>
            </w:tr>
          </w:tbl>
          <w:p w14:paraId="23DAFCFF">
            <w:pPr>
              <w:pStyle w:val="12"/>
              <w:keepNext w:val="0"/>
              <w:keepLines w:val="0"/>
              <w:pageBreakBefore w:val="0"/>
              <w:numPr>
                <w:ilvl w:val="0"/>
                <w:numId w:val="0"/>
              </w:numPr>
              <w:kinsoku/>
              <w:wordWrap/>
              <w:overflowPunct/>
              <w:topLinePunct w:val="0"/>
              <w:autoSpaceDE/>
              <w:autoSpaceDN/>
              <w:bidi w:val="0"/>
              <w:adjustRightInd w:val="0"/>
              <w:snapToGrid w:val="0"/>
              <w:spacing w:line="360" w:lineRule="auto"/>
              <w:ind w:firstLine="422" w:firstLineChars="200"/>
              <w:jc w:val="both"/>
              <w:textAlignment w:val="auto"/>
              <w:rPr>
                <w:rFonts w:hint="eastAsia" w:cs="Times New Roman"/>
                <w:b/>
                <w:bCs/>
                <w:color w:val="000000" w:themeColor="text1"/>
                <w:sz w:val="21"/>
                <w:szCs w:val="21"/>
                <w:highlight w:val="none"/>
                <w:lang w:val="en-US" w:eastAsia="zh-CN"/>
                <w14:textFill>
                  <w14:solidFill>
                    <w14:schemeClr w14:val="tx1"/>
                  </w14:solidFill>
                </w14:textFill>
              </w:rPr>
            </w:pPr>
            <w:r>
              <w:rPr>
                <w:rFonts w:hint="eastAsia" w:cs="Times New Roman"/>
                <w:b/>
                <w:bCs/>
                <w:color w:val="000000" w:themeColor="text1"/>
                <w:sz w:val="21"/>
                <w:szCs w:val="21"/>
                <w:highlight w:val="none"/>
                <w:lang w:val="en-US" w:eastAsia="zh-CN"/>
                <w14:textFill>
                  <w14:solidFill>
                    <w14:schemeClr w14:val="tx1"/>
                  </w14:solidFill>
                </w14:textFill>
              </w:rPr>
              <w:t>注：本项目总量控制指标以相关管理部门最终核定为准。</w:t>
            </w:r>
          </w:p>
          <w:p w14:paraId="2F28D785">
            <w:pPr>
              <w:pStyle w:val="12"/>
              <w:keepNext w:val="0"/>
              <w:keepLines w:val="0"/>
              <w:pageBreakBefore w:val="0"/>
              <w:numPr>
                <w:ilvl w:val="0"/>
                <w:numId w:val="0"/>
              </w:numPr>
              <w:kinsoku/>
              <w:wordWrap/>
              <w:overflowPunct/>
              <w:topLinePunct w:val="0"/>
              <w:autoSpaceDE/>
              <w:autoSpaceDN/>
              <w:bidi w:val="0"/>
              <w:adjustRightInd w:val="0"/>
              <w:snapToGrid w:val="0"/>
              <w:spacing w:line="360" w:lineRule="auto"/>
              <w:ind w:firstLine="422" w:firstLineChars="200"/>
              <w:jc w:val="both"/>
              <w:textAlignment w:val="auto"/>
              <w:rPr>
                <w:rFonts w:hint="eastAsia" w:cs="Times New Roman"/>
                <w:b/>
                <w:bCs/>
                <w:color w:val="000000" w:themeColor="text1"/>
                <w:sz w:val="21"/>
                <w:szCs w:val="21"/>
                <w:highlight w:val="none"/>
                <w:lang w:val="en-US" w:eastAsia="zh-CN"/>
                <w14:textFill>
                  <w14:solidFill>
                    <w14:schemeClr w14:val="tx1"/>
                  </w14:solidFill>
                </w14:textFill>
              </w:rPr>
            </w:pPr>
          </w:p>
          <w:p w14:paraId="1635B0D0">
            <w:pPr>
              <w:pStyle w:val="12"/>
              <w:keepNext w:val="0"/>
              <w:keepLines w:val="0"/>
              <w:pageBreakBefore w:val="0"/>
              <w:numPr>
                <w:ilvl w:val="0"/>
                <w:numId w:val="0"/>
              </w:numPr>
              <w:kinsoku/>
              <w:wordWrap/>
              <w:overflowPunct/>
              <w:topLinePunct w:val="0"/>
              <w:autoSpaceDE/>
              <w:autoSpaceDN/>
              <w:bidi w:val="0"/>
              <w:adjustRightInd w:val="0"/>
              <w:snapToGrid w:val="0"/>
              <w:spacing w:line="360" w:lineRule="auto"/>
              <w:ind w:firstLine="422" w:firstLineChars="200"/>
              <w:jc w:val="both"/>
              <w:textAlignment w:val="auto"/>
              <w:rPr>
                <w:rFonts w:hint="eastAsia" w:cs="Times New Roman"/>
                <w:b/>
                <w:bCs/>
                <w:color w:val="000000" w:themeColor="text1"/>
                <w:sz w:val="21"/>
                <w:szCs w:val="21"/>
                <w:highlight w:val="none"/>
                <w:lang w:val="en-US" w:eastAsia="zh-CN"/>
                <w14:textFill>
                  <w14:solidFill>
                    <w14:schemeClr w14:val="tx1"/>
                  </w14:solidFill>
                </w14:textFill>
              </w:rPr>
            </w:pPr>
          </w:p>
          <w:p w14:paraId="62F6929A">
            <w:pPr>
              <w:pStyle w:val="12"/>
              <w:keepNext w:val="0"/>
              <w:keepLines w:val="0"/>
              <w:pageBreakBefore w:val="0"/>
              <w:numPr>
                <w:ilvl w:val="0"/>
                <w:numId w:val="0"/>
              </w:numPr>
              <w:kinsoku/>
              <w:wordWrap/>
              <w:overflowPunct/>
              <w:topLinePunct w:val="0"/>
              <w:autoSpaceDE/>
              <w:autoSpaceDN/>
              <w:bidi w:val="0"/>
              <w:adjustRightInd w:val="0"/>
              <w:snapToGrid w:val="0"/>
              <w:spacing w:line="360" w:lineRule="auto"/>
              <w:ind w:firstLine="422" w:firstLineChars="200"/>
              <w:jc w:val="both"/>
              <w:textAlignment w:val="auto"/>
              <w:rPr>
                <w:rFonts w:hint="eastAsia" w:cs="Times New Roman"/>
                <w:b/>
                <w:bCs/>
                <w:color w:val="000000" w:themeColor="text1"/>
                <w:sz w:val="21"/>
                <w:szCs w:val="21"/>
                <w:highlight w:val="none"/>
                <w:lang w:val="en-US" w:eastAsia="zh-CN"/>
                <w14:textFill>
                  <w14:solidFill>
                    <w14:schemeClr w14:val="tx1"/>
                  </w14:solidFill>
                </w14:textFill>
              </w:rPr>
            </w:pPr>
          </w:p>
          <w:p w14:paraId="518A80E3">
            <w:pPr>
              <w:pStyle w:val="12"/>
              <w:keepNext w:val="0"/>
              <w:keepLines w:val="0"/>
              <w:pageBreakBefore w:val="0"/>
              <w:numPr>
                <w:ilvl w:val="0"/>
                <w:numId w:val="0"/>
              </w:numPr>
              <w:kinsoku/>
              <w:wordWrap/>
              <w:overflowPunct/>
              <w:topLinePunct w:val="0"/>
              <w:autoSpaceDE/>
              <w:autoSpaceDN/>
              <w:bidi w:val="0"/>
              <w:adjustRightInd w:val="0"/>
              <w:snapToGrid w:val="0"/>
              <w:spacing w:line="360" w:lineRule="auto"/>
              <w:ind w:firstLine="422" w:firstLineChars="200"/>
              <w:jc w:val="both"/>
              <w:textAlignment w:val="auto"/>
              <w:rPr>
                <w:rFonts w:hint="eastAsia" w:cs="Times New Roman"/>
                <w:b/>
                <w:bCs/>
                <w:color w:val="000000" w:themeColor="text1"/>
                <w:sz w:val="21"/>
                <w:szCs w:val="21"/>
                <w:highlight w:val="none"/>
                <w:lang w:val="en-US" w:eastAsia="zh-CN"/>
                <w14:textFill>
                  <w14:solidFill>
                    <w14:schemeClr w14:val="tx1"/>
                  </w14:solidFill>
                </w14:textFill>
              </w:rPr>
            </w:pPr>
          </w:p>
          <w:p w14:paraId="20CEF0D8">
            <w:pPr>
              <w:pStyle w:val="12"/>
              <w:keepNext w:val="0"/>
              <w:keepLines w:val="0"/>
              <w:pageBreakBefore w:val="0"/>
              <w:numPr>
                <w:ilvl w:val="0"/>
                <w:numId w:val="0"/>
              </w:numPr>
              <w:kinsoku/>
              <w:wordWrap/>
              <w:overflowPunct/>
              <w:topLinePunct w:val="0"/>
              <w:autoSpaceDE/>
              <w:autoSpaceDN/>
              <w:bidi w:val="0"/>
              <w:adjustRightInd w:val="0"/>
              <w:snapToGrid w:val="0"/>
              <w:spacing w:line="360" w:lineRule="auto"/>
              <w:ind w:firstLine="422" w:firstLineChars="200"/>
              <w:jc w:val="both"/>
              <w:textAlignment w:val="auto"/>
              <w:rPr>
                <w:rFonts w:hint="eastAsia" w:cs="Times New Roman"/>
                <w:b/>
                <w:bCs/>
                <w:color w:val="000000" w:themeColor="text1"/>
                <w:sz w:val="21"/>
                <w:szCs w:val="21"/>
                <w:highlight w:val="none"/>
                <w:lang w:val="en-US" w:eastAsia="zh-CN"/>
                <w14:textFill>
                  <w14:solidFill>
                    <w14:schemeClr w14:val="tx1"/>
                  </w14:solidFill>
                </w14:textFill>
              </w:rPr>
            </w:pPr>
          </w:p>
          <w:p w14:paraId="7935CFDF">
            <w:pPr>
              <w:pStyle w:val="12"/>
              <w:keepNext w:val="0"/>
              <w:keepLines w:val="0"/>
              <w:pageBreakBefore w:val="0"/>
              <w:numPr>
                <w:ilvl w:val="0"/>
                <w:numId w:val="0"/>
              </w:numPr>
              <w:kinsoku/>
              <w:wordWrap/>
              <w:overflowPunct/>
              <w:topLinePunct w:val="0"/>
              <w:autoSpaceDE/>
              <w:autoSpaceDN/>
              <w:bidi w:val="0"/>
              <w:adjustRightInd w:val="0"/>
              <w:snapToGrid w:val="0"/>
              <w:spacing w:line="360" w:lineRule="auto"/>
              <w:ind w:firstLine="422" w:firstLineChars="200"/>
              <w:jc w:val="both"/>
              <w:textAlignment w:val="auto"/>
              <w:rPr>
                <w:rFonts w:hint="eastAsia" w:cs="Times New Roman"/>
                <w:b/>
                <w:bCs/>
                <w:color w:val="000000" w:themeColor="text1"/>
                <w:sz w:val="21"/>
                <w:szCs w:val="21"/>
                <w:highlight w:val="none"/>
                <w:lang w:val="en-US" w:eastAsia="zh-CN"/>
                <w14:textFill>
                  <w14:solidFill>
                    <w14:schemeClr w14:val="tx1"/>
                  </w14:solidFill>
                </w14:textFill>
              </w:rPr>
            </w:pPr>
          </w:p>
          <w:p w14:paraId="6F31240F">
            <w:pPr>
              <w:pStyle w:val="12"/>
              <w:keepNext w:val="0"/>
              <w:keepLines w:val="0"/>
              <w:pageBreakBefore w:val="0"/>
              <w:numPr>
                <w:ilvl w:val="0"/>
                <w:numId w:val="0"/>
              </w:numPr>
              <w:kinsoku/>
              <w:wordWrap/>
              <w:overflowPunct/>
              <w:topLinePunct w:val="0"/>
              <w:autoSpaceDE/>
              <w:autoSpaceDN/>
              <w:bidi w:val="0"/>
              <w:adjustRightInd w:val="0"/>
              <w:snapToGrid w:val="0"/>
              <w:spacing w:line="360" w:lineRule="auto"/>
              <w:ind w:firstLine="422" w:firstLineChars="200"/>
              <w:jc w:val="both"/>
              <w:textAlignment w:val="auto"/>
              <w:rPr>
                <w:rFonts w:hint="eastAsia" w:cs="Times New Roman"/>
                <w:b/>
                <w:bCs/>
                <w:color w:val="000000" w:themeColor="text1"/>
                <w:sz w:val="21"/>
                <w:szCs w:val="21"/>
                <w:highlight w:val="none"/>
                <w:lang w:val="en-US" w:eastAsia="zh-CN"/>
                <w14:textFill>
                  <w14:solidFill>
                    <w14:schemeClr w14:val="tx1"/>
                  </w14:solidFill>
                </w14:textFill>
              </w:rPr>
            </w:pPr>
          </w:p>
          <w:p w14:paraId="44EA93FB">
            <w:pPr>
              <w:pStyle w:val="12"/>
              <w:keepNext w:val="0"/>
              <w:keepLines w:val="0"/>
              <w:pageBreakBefore w:val="0"/>
              <w:numPr>
                <w:ilvl w:val="0"/>
                <w:numId w:val="0"/>
              </w:numPr>
              <w:kinsoku/>
              <w:wordWrap/>
              <w:overflowPunct/>
              <w:topLinePunct w:val="0"/>
              <w:autoSpaceDE/>
              <w:autoSpaceDN/>
              <w:bidi w:val="0"/>
              <w:adjustRightInd w:val="0"/>
              <w:snapToGrid w:val="0"/>
              <w:spacing w:line="360" w:lineRule="auto"/>
              <w:ind w:firstLine="422" w:firstLineChars="200"/>
              <w:jc w:val="both"/>
              <w:textAlignment w:val="auto"/>
              <w:rPr>
                <w:rFonts w:hint="eastAsia" w:cs="Times New Roman"/>
                <w:b/>
                <w:bCs/>
                <w:color w:val="000000" w:themeColor="text1"/>
                <w:sz w:val="21"/>
                <w:szCs w:val="21"/>
                <w:highlight w:val="none"/>
                <w:lang w:val="en-US" w:eastAsia="zh-CN"/>
                <w14:textFill>
                  <w14:solidFill>
                    <w14:schemeClr w14:val="tx1"/>
                  </w14:solidFill>
                </w14:textFill>
              </w:rPr>
            </w:pPr>
          </w:p>
          <w:p w14:paraId="40E67277">
            <w:pPr>
              <w:pStyle w:val="12"/>
              <w:keepNext w:val="0"/>
              <w:keepLines w:val="0"/>
              <w:pageBreakBefore w:val="0"/>
              <w:numPr>
                <w:ilvl w:val="0"/>
                <w:numId w:val="0"/>
              </w:numPr>
              <w:kinsoku/>
              <w:wordWrap/>
              <w:overflowPunct/>
              <w:topLinePunct w:val="0"/>
              <w:autoSpaceDE/>
              <w:autoSpaceDN/>
              <w:bidi w:val="0"/>
              <w:adjustRightInd w:val="0"/>
              <w:snapToGrid w:val="0"/>
              <w:spacing w:line="360" w:lineRule="auto"/>
              <w:ind w:firstLine="422" w:firstLineChars="200"/>
              <w:jc w:val="both"/>
              <w:textAlignment w:val="auto"/>
              <w:rPr>
                <w:rFonts w:hint="eastAsia" w:cs="Times New Roman"/>
                <w:b/>
                <w:bCs/>
                <w:color w:val="000000" w:themeColor="text1"/>
                <w:sz w:val="21"/>
                <w:szCs w:val="21"/>
                <w:highlight w:val="none"/>
                <w:lang w:val="en-US" w:eastAsia="zh-CN"/>
                <w14:textFill>
                  <w14:solidFill>
                    <w14:schemeClr w14:val="tx1"/>
                  </w14:solidFill>
                </w14:textFill>
              </w:rPr>
            </w:pPr>
          </w:p>
          <w:p w14:paraId="04302ABD">
            <w:pPr>
              <w:pStyle w:val="12"/>
              <w:keepNext w:val="0"/>
              <w:keepLines w:val="0"/>
              <w:pageBreakBefore w:val="0"/>
              <w:numPr>
                <w:ilvl w:val="0"/>
                <w:numId w:val="0"/>
              </w:numPr>
              <w:kinsoku/>
              <w:wordWrap/>
              <w:overflowPunct/>
              <w:topLinePunct w:val="0"/>
              <w:autoSpaceDE/>
              <w:autoSpaceDN/>
              <w:bidi w:val="0"/>
              <w:adjustRightInd w:val="0"/>
              <w:snapToGrid w:val="0"/>
              <w:spacing w:line="360" w:lineRule="auto"/>
              <w:ind w:firstLine="422" w:firstLineChars="200"/>
              <w:jc w:val="both"/>
              <w:textAlignment w:val="auto"/>
              <w:rPr>
                <w:rFonts w:hint="eastAsia" w:cs="Times New Roman"/>
                <w:b/>
                <w:bCs/>
                <w:color w:val="000000" w:themeColor="text1"/>
                <w:sz w:val="21"/>
                <w:szCs w:val="21"/>
                <w:highlight w:val="none"/>
                <w:lang w:val="en-US" w:eastAsia="zh-CN"/>
                <w14:textFill>
                  <w14:solidFill>
                    <w14:schemeClr w14:val="tx1"/>
                  </w14:solidFill>
                </w14:textFill>
              </w:rPr>
            </w:pPr>
          </w:p>
          <w:p w14:paraId="6E41211C">
            <w:pPr>
              <w:pStyle w:val="12"/>
              <w:keepNext w:val="0"/>
              <w:keepLines w:val="0"/>
              <w:pageBreakBefore w:val="0"/>
              <w:numPr>
                <w:ilvl w:val="0"/>
                <w:numId w:val="0"/>
              </w:numPr>
              <w:kinsoku/>
              <w:wordWrap/>
              <w:overflowPunct/>
              <w:topLinePunct w:val="0"/>
              <w:autoSpaceDE/>
              <w:autoSpaceDN/>
              <w:bidi w:val="0"/>
              <w:adjustRightInd w:val="0"/>
              <w:snapToGrid w:val="0"/>
              <w:spacing w:line="360" w:lineRule="auto"/>
              <w:ind w:firstLine="422" w:firstLineChars="200"/>
              <w:jc w:val="both"/>
              <w:textAlignment w:val="auto"/>
              <w:rPr>
                <w:rFonts w:hint="eastAsia" w:cs="Times New Roman"/>
                <w:b/>
                <w:bCs/>
                <w:color w:val="000000" w:themeColor="text1"/>
                <w:sz w:val="21"/>
                <w:szCs w:val="21"/>
                <w:highlight w:val="none"/>
                <w:lang w:val="en-US" w:eastAsia="zh-CN"/>
                <w14:textFill>
                  <w14:solidFill>
                    <w14:schemeClr w14:val="tx1"/>
                  </w14:solidFill>
                </w14:textFill>
              </w:rPr>
            </w:pPr>
          </w:p>
          <w:p w14:paraId="28DE2351">
            <w:pPr>
              <w:pStyle w:val="12"/>
              <w:keepNext w:val="0"/>
              <w:keepLines w:val="0"/>
              <w:pageBreakBefore w:val="0"/>
              <w:numPr>
                <w:ilvl w:val="0"/>
                <w:numId w:val="0"/>
              </w:numPr>
              <w:kinsoku/>
              <w:wordWrap/>
              <w:overflowPunct/>
              <w:topLinePunct w:val="0"/>
              <w:autoSpaceDE/>
              <w:autoSpaceDN/>
              <w:bidi w:val="0"/>
              <w:adjustRightInd w:val="0"/>
              <w:snapToGrid w:val="0"/>
              <w:spacing w:line="360" w:lineRule="auto"/>
              <w:ind w:firstLine="422" w:firstLineChars="200"/>
              <w:jc w:val="both"/>
              <w:textAlignment w:val="auto"/>
              <w:rPr>
                <w:rFonts w:hint="eastAsia" w:cs="Times New Roman"/>
                <w:b/>
                <w:bCs/>
                <w:color w:val="000000" w:themeColor="text1"/>
                <w:sz w:val="21"/>
                <w:szCs w:val="21"/>
                <w:highlight w:val="none"/>
                <w:lang w:val="en-US" w:eastAsia="zh-CN"/>
                <w14:textFill>
                  <w14:solidFill>
                    <w14:schemeClr w14:val="tx1"/>
                  </w14:solidFill>
                </w14:textFill>
              </w:rPr>
            </w:pPr>
          </w:p>
          <w:p w14:paraId="71D3F572">
            <w:pPr>
              <w:pStyle w:val="12"/>
              <w:keepNext w:val="0"/>
              <w:keepLines w:val="0"/>
              <w:pageBreakBefore w:val="0"/>
              <w:numPr>
                <w:ilvl w:val="0"/>
                <w:numId w:val="0"/>
              </w:numPr>
              <w:kinsoku/>
              <w:wordWrap/>
              <w:overflowPunct/>
              <w:topLinePunct w:val="0"/>
              <w:autoSpaceDE/>
              <w:autoSpaceDN/>
              <w:bidi w:val="0"/>
              <w:adjustRightInd w:val="0"/>
              <w:snapToGrid w:val="0"/>
              <w:spacing w:line="360" w:lineRule="auto"/>
              <w:ind w:firstLine="422" w:firstLineChars="200"/>
              <w:jc w:val="both"/>
              <w:textAlignment w:val="auto"/>
              <w:rPr>
                <w:rFonts w:hint="eastAsia" w:cs="Times New Roman"/>
                <w:b/>
                <w:bCs/>
                <w:color w:val="000000" w:themeColor="text1"/>
                <w:sz w:val="21"/>
                <w:szCs w:val="21"/>
                <w:highlight w:val="none"/>
                <w:lang w:val="en-US" w:eastAsia="zh-CN"/>
                <w14:textFill>
                  <w14:solidFill>
                    <w14:schemeClr w14:val="tx1"/>
                  </w14:solidFill>
                </w14:textFill>
              </w:rPr>
            </w:pPr>
          </w:p>
          <w:p w14:paraId="6F8DA021">
            <w:pPr>
              <w:pStyle w:val="12"/>
              <w:keepNext w:val="0"/>
              <w:keepLines w:val="0"/>
              <w:pageBreakBefore w:val="0"/>
              <w:numPr>
                <w:ilvl w:val="0"/>
                <w:numId w:val="0"/>
              </w:numPr>
              <w:kinsoku/>
              <w:wordWrap/>
              <w:overflowPunct/>
              <w:topLinePunct w:val="0"/>
              <w:autoSpaceDE/>
              <w:autoSpaceDN/>
              <w:bidi w:val="0"/>
              <w:adjustRightInd w:val="0"/>
              <w:snapToGrid w:val="0"/>
              <w:spacing w:line="360" w:lineRule="auto"/>
              <w:ind w:firstLine="422" w:firstLineChars="200"/>
              <w:jc w:val="both"/>
              <w:textAlignment w:val="auto"/>
              <w:rPr>
                <w:rFonts w:hint="eastAsia" w:cs="Times New Roman"/>
                <w:b/>
                <w:bCs/>
                <w:color w:val="000000" w:themeColor="text1"/>
                <w:sz w:val="21"/>
                <w:szCs w:val="21"/>
                <w:highlight w:val="none"/>
                <w:lang w:val="en-US" w:eastAsia="zh-CN"/>
                <w14:textFill>
                  <w14:solidFill>
                    <w14:schemeClr w14:val="tx1"/>
                  </w14:solidFill>
                </w14:textFill>
              </w:rPr>
            </w:pPr>
          </w:p>
          <w:p w14:paraId="7E003ECE">
            <w:pPr>
              <w:pStyle w:val="12"/>
              <w:keepNext w:val="0"/>
              <w:keepLines w:val="0"/>
              <w:pageBreakBefore w:val="0"/>
              <w:numPr>
                <w:ilvl w:val="0"/>
                <w:numId w:val="0"/>
              </w:numPr>
              <w:kinsoku/>
              <w:wordWrap/>
              <w:overflowPunct/>
              <w:topLinePunct w:val="0"/>
              <w:autoSpaceDE/>
              <w:autoSpaceDN/>
              <w:bidi w:val="0"/>
              <w:adjustRightInd w:val="0"/>
              <w:snapToGrid w:val="0"/>
              <w:spacing w:line="360" w:lineRule="auto"/>
              <w:ind w:firstLine="422" w:firstLineChars="200"/>
              <w:jc w:val="both"/>
              <w:textAlignment w:val="auto"/>
              <w:rPr>
                <w:rFonts w:hint="eastAsia" w:cs="Times New Roman"/>
                <w:b/>
                <w:bCs/>
                <w:color w:val="000000" w:themeColor="text1"/>
                <w:sz w:val="21"/>
                <w:szCs w:val="21"/>
                <w:highlight w:val="none"/>
                <w:lang w:val="en-US" w:eastAsia="zh-CN"/>
                <w14:textFill>
                  <w14:solidFill>
                    <w14:schemeClr w14:val="tx1"/>
                  </w14:solidFill>
                </w14:textFill>
              </w:rPr>
            </w:pPr>
          </w:p>
          <w:p w14:paraId="74E56691">
            <w:pPr>
              <w:pStyle w:val="12"/>
              <w:keepNext w:val="0"/>
              <w:keepLines w:val="0"/>
              <w:pageBreakBefore w:val="0"/>
              <w:numPr>
                <w:ilvl w:val="0"/>
                <w:numId w:val="0"/>
              </w:numPr>
              <w:kinsoku/>
              <w:wordWrap/>
              <w:overflowPunct/>
              <w:topLinePunct w:val="0"/>
              <w:autoSpaceDE/>
              <w:autoSpaceDN/>
              <w:bidi w:val="0"/>
              <w:adjustRightInd w:val="0"/>
              <w:snapToGrid w:val="0"/>
              <w:spacing w:line="360" w:lineRule="auto"/>
              <w:ind w:firstLine="422" w:firstLineChars="200"/>
              <w:jc w:val="both"/>
              <w:textAlignment w:val="auto"/>
              <w:rPr>
                <w:rFonts w:hint="eastAsia" w:cs="Times New Roman"/>
                <w:b/>
                <w:bCs/>
                <w:color w:val="000000" w:themeColor="text1"/>
                <w:sz w:val="21"/>
                <w:szCs w:val="21"/>
                <w:highlight w:val="none"/>
                <w:lang w:val="en-US" w:eastAsia="zh-CN"/>
                <w14:textFill>
                  <w14:solidFill>
                    <w14:schemeClr w14:val="tx1"/>
                  </w14:solidFill>
                </w14:textFill>
              </w:rPr>
            </w:pPr>
          </w:p>
          <w:p w14:paraId="4AA04EB0">
            <w:pPr>
              <w:pStyle w:val="12"/>
              <w:keepNext w:val="0"/>
              <w:keepLines w:val="0"/>
              <w:pageBreakBefore w:val="0"/>
              <w:numPr>
                <w:ilvl w:val="0"/>
                <w:numId w:val="0"/>
              </w:numPr>
              <w:kinsoku/>
              <w:wordWrap/>
              <w:overflowPunct/>
              <w:topLinePunct w:val="0"/>
              <w:autoSpaceDE/>
              <w:autoSpaceDN/>
              <w:bidi w:val="0"/>
              <w:adjustRightInd w:val="0"/>
              <w:snapToGrid w:val="0"/>
              <w:spacing w:line="360" w:lineRule="auto"/>
              <w:ind w:firstLine="422" w:firstLineChars="200"/>
              <w:jc w:val="both"/>
              <w:textAlignment w:val="auto"/>
              <w:rPr>
                <w:rFonts w:hint="eastAsia" w:cs="Times New Roman"/>
                <w:b/>
                <w:bCs/>
                <w:color w:val="000000" w:themeColor="text1"/>
                <w:sz w:val="21"/>
                <w:szCs w:val="21"/>
                <w:highlight w:val="none"/>
                <w:lang w:val="en-US" w:eastAsia="zh-CN"/>
                <w14:textFill>
                  <w14:solidFill>
                    <w14:schemeClr w14:val="tx1"/>
                  </w14:solidFill>
                </w14:textFill>
              </w:rPr>
            </w:pPr>
          </w:p>
          <w:p w14:paraId="69A83FFB">
            <w:pPr>
              <w:pStyle w:val="12"/>
              <w:keepNext w:val="0"/>
              <w:keepLines w:val="0"/>
              <w:pageBreakBefore w:val="0"/>
              <w:numPr>
                <w:ilvl w:val="0"/>
                <w:numId w:val="0"/>
              </w:numPr>
              <w:kinsoku/>
              <w:wordWrap/>
              <w:overflowPunct/>
              <w:topLinePunct w:val="0"/>
              <w:autoSpaceDE/>
              <w:autoSpaceDN/>
              <w:bidi w:val="0"/>
              <w:adjustRightInd w:val="0"/>
              <w:snapToGrid w:val="0"/>
              <w:spacing w:line="360" w:lineRule="auto"/>
              <w:ind w:firstLine="422" w:firstLineChars="200"/>
              <w:jc w:val="both"/>
              <w:textAlignment w:val="auto"/>
              <w:rPr>
                <w:rFonts w:hint="eastAsia" w:cs="Times New Roman"/>
                <w:b/>
                <w:bCs/>
                <w:color w:val="000000" w:themeColor="text1"/>
                <w:sz w:val="21"/>
                <w:szCs w:val="21"/>
                <w:highlight w:val="none"/>
                <w:lang w:val="en-US" w:eastAsia="zh-CN"/>
                <w14:textFill>
                  <w14:solidFill>
                    <w14:schemeClr w14:val="tx1"/>
                  </w14:solidFill>
                </w14:textFill>
              </w:rPr>
            </w:pPr>
          </w:p>
          <w:p w14:paraId="4BC9B4A2">
            <w:pPr>
              <w:pStyle w:val="12"/>
              <w:keepNext w:val="0"/>
              <w:keepLines w:val="0"/>
              <w:pageBreakBefore w:val="0"/>
              <w:numPr>
                <w:ilvl w:val="0"/>
                <w:numId w:val="0"/>
              </w:numPr>
              <w:kinsoku/>
              <w:wordWrap/>
              <w:overflowPunct/>
              <w:topLinePunct w:val="0"/>
              <w:autoSpaceDE/>
              <w:autoSpaceDN/>
              <w:bidi w:val="0"/>
              <w:adjustRightInd w:val="0"/>
              <w:snapToGrid w:val="0"/>
              <w:spacing w:line="360" w:lineRule="auto"/>
              <w:ind w:firstLine="422" w:firstLineChars="200"/>
              <w:jc w:val="both"/>
              <w:textAlignment w:val="auto"/>
              <w:rPr>
                <w:rFonts w:hint="eastAsia" w:cs="Times New Roman"/>
                <w:b/>
                <w:bCs/>
                <w:color w:val="000000" w:themeColor="text1"/>
                <w:sz w:val="21"/>
                <w:szCs w:val="21"/>
                <w:highlight w:val="none"/>
                <w:lang w:val="en-US" w:eastAsia="zh-CN"/>
                <w14:textFill>
                  <w14:solidFill>
                    <w14:schemeClr w14:val="tx1"/>
                  </w14:solidFill>
                </w14:textFill>
              </w:rPr>
            </w:pPr>
          </w:p>
          <w:p w14:paraId="0C35E6E4">
            <w:pPr>
              <w:pStyle w:val="12"/>
              <w:keepNext w:val="0"/>
              <w:keepLines w:val="0"/>
              <w:pageBreakBefore w:val="0"/>
              <w:numPr>
                <w:ilvl w:val="0"/>
                <w:numId w:val="0"/>
              </w:numPr>
              <w:kinsoku/>
              <w:wordWrap/>
              <w:overflowPunct/>
              <w:topLinePunct w:val="0"/>
              <w:autoSpaceDE/>
              <w:autoSpaceDN/>
              <w:bidi w:val="0"/>
              <w:adjustRightInd w:val="0"/>
              <w:snapToGrid w:val="0"/>
              <w:spacing w:line="360" w:lineRule="auto"/>
              <w:ind w:firstLine="422" w:firstLineChars="200"/>
              <w:jc w:val="both"/>
              <w:textAlignment w:val="auto"/>
              <w:rPr>
                <w:rFonts w:hint="eastAsia" w:cs="Times New Roman"/>
                <w:b/>
                <w:bCs/>
                <w:color w:val="000000" w:themeColor="text1"/>
                <w:sz w:val="21"/>
                <w:szCs w:val="21"/>
                <w:highlight w:val="none"/>
                <w:lang w:val="en-US" w:eastAsia="zh-CN"/>
                <w14:textFill>
                  <w14:solidFill>
                    <w14:schemeClr w14:val="tx1"/>
                  </w14:solidFill>
                </w14:textFill>
              </w:rPr>
            </w:pPr>
          </w:p>
          <w:p w14:paraId="21B5A7A6">
            <w:pPr>
              <w:pStyle w:val="12"/>
              <w:keepNext w:val="0"/>
              <w:keepLines w:val="0"/>
              <w:pageBreakBefore w:val="0"/>
              <w:numPr>
                <w:ilvl w:val="0"/>
                <w:numId w:val="0"/>
              </w:numPr>
              <w:kinsoku/>
              <w:wordWrap/>
              <w:overflowPunct/>
              <w:topLinePunct w:val="0"/>
              <w:autoSpaceDE/>
              <w:autoSpaceDN/>
              <w:bidi w:val="0"/>
              <w:adjustRightInd w:val="0"/>
              <w:snapToGrid w:val="0"/>
              <w:spacing w:line="360" w:lineRule="auto"/>
              <w:ind w:firstLine="422" w:firstLineChars="200"/>
              <w:jc w:val="both"/>
              <w:textAlignment w:val="auto"/>
              <w:rPr>
                <w:rFonts w:hint="eastAsia" w:cs="Times New Roman"/>
                <w:b/>
                <w:bCs/>
                <w:color w:val="000000" w:themeColor="text1"/>
                <w:sz w:val="21"/>
                <w:szCs w:val="21"/>
                <w:highlight w:val="none"/>
                <w:lang w:val="en-US" w:eastAsia="zh-CN"/>
                <w14:textFill>
                  <w14:solidFill>
                    <w14:schemeClr w14:val="tx1"/>
                  </w14:solidFill>
                </w14:textFill>
              </w:rPr>
            </w:pPr>
          </w:p>
          <w:p w14:paraId="63B4688B">
            <w:pPr>
              <w:pStyle w:val="12"/>
              <w:keepNext w:val="0"/>
              <w:keepLines w:val="0"/>
              <w:pageBreakBefore w:val="0"/>
              <w:numPr>
                <w:ilvl w:val="0"/>
                <w:numId w:val="0"/>
              </w:numPr>
              <w:kinsoku/>
              <w:wordWrap/>
              <w:overflowPunct/>
              <w:topLinePunct w:val="0"/>
              <w:autoSpaceDE/>
              <w:autoSpaceDN/>
              <w:bidi w:val="0"/>
              <w:adjustRightInd w:val="0"/>
              <w:snapToGrid w:val="0"/>
              <w:spacing w:line="360" w:lineRule="auto"/>
              <w:ind w:firstLine="422" w:firstLineChars="200"/>
              <w:jc w:val="both"/>
              <w:textAlignment w:val="auto"/>
              <w:rPr>
                <w:rFonts w:hint="eastAsia" w:cs="Times New Roman"/>
                <w:b/>
                <w:bCs/>
                <w:color w:val="000000" w:themeColor="text1"/>
                <w:sz w:val="21"/>
                <w:szCs w:val="21"/>
                <w:highlight w:val="none"/>
                <w:lang w:val="en-US" w:eastAsia="zh-CN"/>
                <w14:textFill>
                  <w14:solidFill>
                    <w14:schemeClr w14:val="tx1"/>
                  </w14:solidFill>
                </w14:textFill>
              </w:rPr>
            </w:pPr>
          </w:p>
          <w:p w14:paraId="2B146C2C">
            <w:pPr>
              <w:pStyle w:val="12"/>
              <w:keepNext w:val="0"/>
              <w:keepLines w:val="0"/>
              <w:pageBreakBefore w:val="0"/>
              <w:numPr>
                <w:ilvl w:val="0"/>
                <w:numId w:val="0"/>
              </w:numPr>
              <w:kinsoku/>
              <w:wordWrap/>
              <w:overflowPunct/>
              <w:topLinePunct w:val="0"/>
              <w:autoSpaceDE/>
              <w:autoSpaceDN/>
              <w:bidi w:val="0"/>
              <w:adjustRightInd w:val="0"/>
              <w:snapToGrid w:val="0"/>
              <w:spacing w:line="360" w:lineRule="auto"/>
              <w:ind w:firstLine="422" w:firstLineChars="200"/>
              <w:jc w:val="both"/>
              <w:textAlignment w:val="auto"/>
              <w:rPr>
                <w:rFonts w:hint="eastAsia" w:cs="Times New Roman"/>
                <w:b/>
                <w:bCs/>
                <w:color w:val="000000" w:themeColor="text1"/>
                <w:sz w:val="21"/>
                <w:szCs w:val="21"/>
                <w:highlight w:val="none"/>
                <w:lang w:val="en-US" w:eastAsia="zh-CN"/>
                <w14:textFill>
                  <w14:solidFill>
                    <w14:schemeClr w14:val="tx1"/>
                  </w14:solidFill>
                </w14:textFill>
              </w:rPr>
            </w:pPr>
          </w:p>
          <w:p w14:paraId="734C38EE">
            <w:pPr>
              <w:pStyle w:val="12"/>
              <w:keepNext w:val="0"/>
              <w:keepLines w:val="0"/>
              <w:pageBreakBefore w:val="0"/>
              <w:numPr>
                <w:ilvl w:val="0"/>
                <w:numId w:val="0"/>
              </w:numPr>
              <w:kinsoku/>
              <w:wordWrap/>
              <w:overflowPunct/>
              <w:topLinePunct w:val="0"/>
              <w:autoSpaceDE/>
              <w:autoSpaceDN/>
              <w:bidi w:val="0"/>
              <w:adjustRightInd w:val="0"/>
              <w:snapToGrid w:val="0"/>
              <w:spacing w:line="360" w:lineRule="auto"/>
              <w:ind w:firstLine="422" w:firstLineChars="200"/>
              <w:jc w:val="both"/>
              <w:textAlignment w:val="auto"/>
              <w:rPr>
                <w:rFonts w:hint="eastAsia" w:cs="Times New Roman"/>
                <w:b/>
                <w:bCs/>
                <w:color w:val="000000" w:themeColor="text1"/>
                <w:sz w:val="21"/>
                <w:szCs w:val="21"/>
                <w:highlight w:val="none"/>
                <w:lang w:val="en-US" w:eastAsia="zh-CN"/>
                <w14:textFill>
                  <w14:solidFill>
                    <w14:schemeClr w14:val="tx1"/>
                  </w14:solidFill>
                </w14:textFill>
              </w:rPr>
            </w:pPr>
          </w:p>
          <w:p w14:paraId="1A7590E6">
            <w:pPr>
              <w:pStyle w:val="12"/>
              <w:keepNext w:val="0"/>
              <w:keepLines w:val="0"/>
              <w:pageBreakBefore w:val="0"/>
              <w:numPr>
                <w:ilvl w:val="0"/>
                <w:numId w:val="0"/>
              </w:numPr>
              <w:kinsoku/>
              <w:wordWrap/>
              <w:overflowPunct/>
              <w:topLinePunct w:val="0"/>
              <w:autoSpaceDE/>
              <w:autoSpaceDN/>
              <w:bidi w:val="0"/>
              <w:adjustRightInd w:val="0"/>
              <w:snapToGrid w:val="0"/>
              <w:spacing w:line="360" w:lineRule="auto"/>
              <w:ind w:firstLine="422" w:firstLineChars="200"/>
              <w:jc w:val="both"/>
              <w:textAlignment w:val="auto"/>
              <w:rPr>
                <w:rFonts w:hint="eastAsia" w:cs="Times New Roman"/>
                <w:b/>
                <w:bCs/>
                <w:color w:val="000000" w:themeColor="text1"/>
                <w:sz w:val="21"/>
                <w:szCs w:val="21"/>
                <w:highlight w:val="none"/>
                <w:lang w:val="en-US" w:eastAsia="zh-CN"/>
                <w14:textFill>
                  <w14:solidFill>
                    <w14:schemeClr w14:val="tx1"/>
                  </w14:solidFill>
                </w14:textFill>
              </w:rPr>
            </w:pPr>
          </w:p>
          <w:p w14:paraId="2E71B63A">
            <w:pPr>
              <w:pStyle w:val="12"/>
              <w:keepNext w:val="0"/>
              <w:keepLines w:val="0"/>
              <w:pageBreakBefore w:val="0"/>
              <w:numPr>
                <w:ilvl w:val="0"/>
                <w:numId w:val="0"/>
              </w:numPr>
              <w:kinsoku/>
              <w:wordWrap/>
              <w:overflowPunct/>
              <w:topLinePunct w:val="0"/>
              <w:autoSpaceDE/>
              <w:autoSpaceDN/>
              <w:bidi w:val="0"/>
              <w:adjustRightInd w:val="0"/>
              <w:snapToGrid w:val="0"/>
              <w:spacing w:line="360" w:lineRule="auto"/>
              <w:ind w:firstLine="422" w:firstLineChars="200"/>
              <w:jc w:val="both"/>
              <w:textAlignment w:val="auto"/>
              <w:rPr>
                <w:rFonts w:hint="eastAsia" w:cs="Times New Roman"/>
                <w:b/>
                <w:bCs/>
                <w:color w:val="000000" w:themeColor="text1"/>
                <w:sz w:val="21"/>
                <w:szCs w:val="21"/>
                <w:highlight w:val="none"/>
                <w:lang w:val="en-US" w:eastAsia="zh-CN"/>
                <w14:textFill>
                  <w14:solidFill>
                    <w14:schemeClr w14:val="tx1"/>
                  </w14:solidFill>
                </w14:textFill>
              </w:rPr>
            </w:pPr>
          </w:p>
          <w:p w14:paraId="154E607D">
            <w:pPr>
              <w:pStyle w:val="12"/>
              <w:keepNext w:val="0"/>
              <w:keepLines w:val="0"/>
              <w:pageBreakBefore w:val="0"/>
              <w:numPr>
                <w:ilvl w:val="0"/>
                <w:numId w:val="0"/>
              </w:numPr>
              <w:kinsoku/>
              <w:wordWrap/>
              <w:overflowPunct/>
              <w:topLinePunct w:val="0"/>
              <w:autoSpaceDE/>
              <w:autoSpaceDN/>
              <w:bidi w:val="0"/>
              <w:adjustRightInd w:val="0"/>
              <w:snapToGrid w:val="0"/>
              <w:spacing w:line="360" w:lineRule="auto"/>
              <w:ind w:firstLine="0" w:firstLineChars="0"/>
              <w:jc w:val="both"/>
              <w:textAlignment w:val="auto"/>
              <w:rPr>
                <w:rFonts w:hint="default" w:cs="Times New Roman"/>
                <w:b/>
                <w:bCs/>
                <w:color w:val="000000" w:themeColor="text1"/>
                <w:sz w:val="21"/>
                <w:szCs w:val="21"/>
                <w:highlight w:val="none"/>
                <w:lang w:val="en-US" w:eastAsia="zh-CN"/>
                <w14:textFill>
                  <w14:solidFill>
                    <w14:schemeClr w14:val="tx1"/>
                  </w14:solidFill>
                </w14:textFill>
              </w:rPr>
            </w:pPr>
          </w:p>
        </w:tc>
      </w:tr>
    </w:tbl>
    <w:p w14:paraId="57C2ED79">
      <w:pPr>
        <w:ind w:firstLine="480"/>
        <w:rPr>
          <w:rFonts w:cs="Times New Roman"/>
        </w:rPr>
        <w:sectPr>
          <w:pgSz w:w="11906" w:h="16838"/>
          <w:pgMar w:top="1440" w:right="1080" w:bottom="1440" w:left="1080" w:header="851" w:footer="567" w:gutter="0"/>
          <w:cols w:space="425" w:num="1"/>
          <w:docGrid w:type="lines" w:linePitch="326" w:charSpace="0"/>
        </w:sectPr>
      </w:pPr>
    </w:p>
    <w:p w14:paraId="5D860D06">
      <w:pPr>
        <w:pStyle w:val="2"/>
        <w:rPr>
          <w:rFonts w:ascii="Times New Roman" w:hAnsi="Times New Roman"/>
        </w:rPr>
      </w:pPr>
      <w:bookmarkStart w:id="58" w:name="_Toc21631"/>
      <w:r>
        <w:rPr>
          <w:rFonts w:ascii="Times New Roman" w:hAnsi="Times New Roman"/>
        </w:rPr>
        <w:fldChar w:fldCharType="begin"/>
      </w:r>
      <w:r>
        <w:rPr>
          <w:rFonts w:ascii="Times New Roman" w:hAnsi="Times New Roman"/>
        </w:rPr>
        <w:instrText xml:space="preserve"> SEQ seq \h </w:instrText>
      </w:r>
      <w:r>
        <w:rPr>
          <w:rFonts w:ascii="Times New Roman" w:hAnsi="Times New Roman"/>
        </w:rPr>
        <w:fldChar w:fldCharType="separate"/>
      </w:r>
      <w:r>
        <w:rPr>
          <w:rFonts w:ascii="Times New Roman" w:hAnsi="Times New Roman"/>
        </w:rPr>
        <w:fldChar w:fldCharType="end"/>
      </w:r>
      <w:r>
        <w:rPr>
          <w:rFonts w:ascii="Times New Roman" w:hAnsi="Times New Roman"/>
        </w:rPr>
        <w:t>主要环境影响和保护措施</w:t>
      </w:r>
      <w:bookmarkEnd w:id="58"/>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4"/>
        <w:gridCol w:w="9145"/>
      </w:tblGrid>
      <w:tr w14:paraId="4DAD3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01530AA4">
            <w:pPr>
              <w:pStyle w:val="24"/>
              <w:rPr>
                <w:rFonts w:cs="Times New Roman"/>
                <w:sz w:val="24"/>
                <w:szCs w:val="24"/>
              </w:rPr>
            </w:pPr>
            <w:r>
              <w:rPr>
                <w:rFonts w:cs="Times New Roman"/>
                <w:sz w:val="24"/>
                <w:szCs w:val="24"/>
              </w:rPr>
              <w:t>施工期环境保护措施</w:t>
            </w:r>
          </w:p>
        </w:tc>
        <w:tc>
          <w:tcPr>
            <w:tcW w:w="9032" w:type="dxa"/>
          </w:tcPr>
          <w:p w14:paraId="1F00DA7B">
            <w:pPr>
              <w:keepNext w:val="0"/>
              <w:keepLines w:val="0"/>
              <w:pageBreakBefore w:val="0"/>
              <w:widowControl/>
              <w:suppressLineNumbers w:val="0"/>
              <w:kinsoku/>
              <w:wordWrap/>
              <w:overflowPunct/>
              <w:topLinePunct w:val="0"/>
              <w:autoSpaceDE/>
              <w:autoSpaceDN/>
              <w:bidi w:val="0"/>
              <w:ind w:left="0"/>
              <w:jc w:val="left"/>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本项目租赁厂房位于四川省巴中市平昌县星光工业园施迈路1号</w:t>
            </w:r>
            <w:r>
              <w:rPr>
                <w:rFonts w:hint="default" w:ascii="Times New Roman" w:hAnsi="Times New Roman" w:cs="Times New Roman"/>
                <w:color w:val="000000"/>
                <w:kern w:val="0"/>
                <w:sz w:val="24"/>
                <w:szCs w:val="24"/>
                <w:lang w:val="en-US" w:eastAsia="zh-CN" w:bidi="ar"/>
              </w:rPr>
              <w:t>已建成厂区内，本项目租用</w:t>
            </w:r>
            <w:r>
              <w:rPr>
                <w:rFonts w:hint="default" w:ascii="Times New Roman" w:hAnsi="Times New Roman" w:eastAsia="宋体" w:cs="Times New Roman"/>
                <w:color w:val="000000"/>
                <w:kern w:val="0"/>
                <w:sz w:val="24"/>
                <w:szCs w:val="24"/>
                <w:lang w:val="en-US" w:eastAsia="zh-CN" w:bidi="ar"/>
              </w:rPr>
              <w:t>1号厂房、2号厂房、3号厂房</w:t>
            </w:r>
            <w:r>
              <w:rPr>
                <w:rFonts w:hint="default" w:ascii="Times New Roman" w:hAnsi="Times New Roman" w:cs="Times New Roman"/>
                <w:color w:val="000000"/>
                <w:kern w:val="0"/>
                <w:sz w:val="24"/>
                <w:szCs w:val="24"/>
                <w:lang w:val="en-US" w:eastAsia="zh-CN" w:bidi="ar"/>
              </w:rPr>
              <w:t>及办公楼（部分区域）、宿舍（部分区域）进行建设。施工期主要对厂房进行适应性改造及设备调试安装，</w:t>
            </w:r>
            <w:r>
              <w:rPr>
                <w:rFonts w:hint="default" w:ascii="Times New Roman" w:hAnsi="Times New Roman" w:cs="Times New Roman"/>
                <w:sz w:val="24"/>
                <w:szCs w:val="24"/>
                <w:lang w:val="en-US" w:eastAsia="zh-CN"/>
              </w:rPr>
              <w:t>2号厂房涉及厂房扩建及水基岩屑储存池和滤液池的基建开挖。</w:t>
            </w:r>
            <w:r>
              <w:rPr>
                <w:rFonts w:hint="default" w:ascii="Times New Roman" w:hAnsi="Times New Roman" w:eastAsia="宋体" w:cs="Times New Roman"/>
                <w:color w:val="000000"/>
                <w:kern w:val="0"/>
                <w:sz w:val="24"/>
                <w:szCs w:val="24"/>
                <w:lang w:val="en-US" w:eastAsia="zh-CN" w:bidi="ar"/>
              </w:rPr>
              <w:t>施工过程中将产生废气、噪声、建筑垃圾、开挖土石方、施工人员的生活污水和生活垃圾等。</w:t>
            </w:r>
            <w:r>
              <w:rPr>
                <w:rFonts w:hint="default" w:ascii="Times New Roman" w:hAnsi="Times New Roman" w:cs="Times New Roman"/>
                <w:sz w:val="24"/>
                <w:szCs w:val="24"/>
              </w:rPr>
              <w:t>这些污染是暂时的，待施工结束后，基本可以得到消除，对周边环境影响较小。</w:t>
            </w:r>
          </w:p>
          <w:p w14:paraId="555D269A">
            <w:pPr>
              <w:keepNext w:val="0"/>
              <w:keepLines w:val="0"/>
              <w:pageBreakBefore w:val="0"/>
              <w:kinsoku/>
              <w:wordWrap/>
              <w:overflowPunct/>
              <w:topLinePunct w:val="0"/>
              <w:autoSpaceDE/>
              <w:autoSpaceDN/>
              <w:bidi w:val="0"/>
              <w:ind w:left="0" w:firstLine="480"/>
              <w:textAlignment w:val="auto"/>
              <w:rPr>
                <w:rFonts w:hint="default" w:ascii="Times New Roman" w:hAnsi="Times New Roman" w:cs="Times New Roman"/>
                <w:sz w:val="24"/>
                <w:szCs w:val="24"/>
              </w:rPr>
            </w:pPr>
            <w:r>
              <w:rPr>
                <w:rFonts w:hint="default" w:ascii="Times New Roman" w:hAnsi="Times New Roman" w:cs="Times New Roman"/>
                <w:sz w:val="24"/>
                <w:szCs w:val="24"/>
              </w:rPr>
              <w:t>本项目施工过程主要污染情况和环境保护措施如下：</w:t>
            </w:r>
          </w:p>
          <w:p w14:paraId="6EBCD086">
            <w:pPr>
              <w:keepNext w:val="0"/>
              <w:keepLines w:val="0"/>
              <w:pageBreakBefore w:val="0"/>
              <w:kinsoku/>
              <w:wordWrap/>
              <w:overflowPunct/>
              <w:topLinePunct w:val="0"/>
              <w:autoSpaceDE/>
              <w:autoSpaceDN/>
              <w:bidi w:val="0"/>
              <w:ind w:left="0" w:leftChars="0" w:firstLine="0" w:firstLineChars="0"/>
              <w:textAlignment w:val="auto"/>
              <w:rPr>
                <w:b/>
                <w:bCs/>
                <w:sz w:val="24"/>
                <w:szCs w:val="24"/>
              </w:rPr>
            </w:pPr>
            <w:r>
              <w:rPr>
                <w:rFonts w:hint="eastAsia" w:ascii="Times New Roman" w:hAnsi="Times New Roman" w:cs="Times New Roman"/>
                <w:b/>
                <w:bCs/>
                <w:sz w:val="24"/>
                <w:szCs w:val="24"/>
                <w:lang w:val="en-US" w:eastAsia="zh-CN"/>
              </w:rPr>
              <w:t>1、</w:t>
            </w:r>
            <w:r>
              <w:rPr>
                <w:b/>
                <w:bCs/>
                <w:sz w:val="24"/>
                <w:szCs w:val="24"/>
              </w:rPr>
              <w:t>施工期废气污染防治措施</w:t>
            </w:r>
          </w:p>
          <w:p w14:paraId="0FA3134C">
            <w:pPr>
              <w:keepNext w:val="0"/>
              <w:keepLines w:val="0"/>
              <w:pageBreakBefore w:val="0"/>
              <w:kinsoku/>
              <w:wordWrap/>
              <w:overflowPunct/>
              <w:topLinePunct w:val="0"/>
              <w:autoSpaceDE/>
              <w:autoSpaceDN/>
              <w:bidi w:val="0"/>
              <w:ind w:left="0" w:firstLine="482"/>
              <w:textAlignment w:val="auto"/>
              <w:rPr>
                <w:rFonts w:cs="Times New Roman"/>
                <w:b/>
                <w:sz w:val="24"/>
                <w:szCs w:val="24"/>
              </w:rPr>
            </w:pPr>
            <w:r>
              <w:rPr>
                <w:rFonts w:cs="Times New Roman"/>
                <w:b/>
                <w:sz w:val="24"/>
                <w:szCs w:val="24"/>
              </w:rPr>
              <w:t>（1）扬尘</w:t>
            </w:r>
          </w:p>
          <w:p w14:paraId="3C78C399">
            <w:pPr>
              <w:keepNext w:val="0"/>
              <w:keepLines w:val="0"/>
              <w:pageBreakBefore w:val="0"/>
              <w:kinsoku/>
              <w:wordWrap/>
              <w:overflowPunct/>
              <w:topLinePunct w:val="0"/>
              <w:autoSpaceDE/>
              <w:autoSpaceDN/>
              <w:bidi w:val="0"/>
              <w:ind w:left="0" w:firstLine="480"/>
              <w:textAlignment w:val="auto"/>
              <w:rPr>
                <w:rFonts w:cs="Times New Roman"/>
                <w:sz w:val="24"/>
                <w:szCs w:val="24"/>
              </w:rPr>
            </w:pPr>
            <w:r>
              <w:rPr>
                <w:rFonts w:cs="Times New Roman"/>
                <w:sz w:val="24"/>
                <w:szCs w:val="24"/>
              </w:rPr>
              <w:t>在施工过程中，施工单位必须按照《四川省〈中华人民共和国大气污染防治法〉实施办法》（</w:t>
            </w:r>
            <w:r>
              <w:rPr>
                <w:rFonts w:cs="Times New Roman" w:eastAsiaTheme="minorEastAsia"/>
                <w:sz w:val="24"/>
                <w:szCs w:val="24"/>
              </w:rPr>
              <w:t>2019.1.1</w:t>
            </w:r>
            <w:r>
              <w:rPr>
                <w:rFonts w:cs="Times New Roman"/>
                <w:sz w:val="24"/>
                <w:szCs w:val="24"/>
              </w:rPr>
              <w:t>施行）、《四川省住房和城乡建设厅城市扬尘防治工作方案》（川建发</w:t>
            </w:r>
            <w:r>
              <w:rPr>
                <w:rFonts w:hint="eastAsia" w:cs="Times New Roman"/>
                <w:sz w:val="24"/>
                <w:szCs w:val="24"/>
                <w:lang w:eastAsia="zh-CN"/>
              </w:rPr>
              <w:t>〔2018〕8号</w:t>
            </w:r>
            <w:r>
              <w:rPr>
                <w:rFonts w:cs="Times New Roman"/>
                <w:sz w:val="24"/>
                <w:szCs w:val="24"/>
              </w:rPr>
              <w:t>）中有关施工工地和道路扬尘污染防治规定，积极推行绿色施工，施工现场必须采取封闭施工，严禁敞开式作业，施工现场道路、作业区、生活区必须进行地面硬化；制定、完善和严格执行建设施工管理制度，全面推行现场标准化管理。主要采取以下措施防治扬尘污染：</w:t>
            </w:r>
          </w:p>
          <w:p w14:paraId="6290009A">
            <w:pPr>
              <w:keepNext w:val="0"/>
              <w:keepLines w:val="0"/>
              <w:pageBreakBefore w:val="0"/>
              <w:kinsoku/>
              <w:wordWrap/>
              <w:overflowPunct/>
              <w:topLinePunct w:val="0"/>
              <w:autoSpaceDE/>
              <w:autoSpaceDN/>
              <w:bidi w:val="0"/>
              <w:ind w:left="0" w:firstLine="480"/>
              <w:textAlignment w:val="auto"/>
              <w:rPr>
                <w:rFonts w:cs="Times New Roman"/>
                <w:sz w:val="24"/>
                <w:szCs w:val="24"/>
              </w:rPr>
            </w:pPr>
            <w:r>
              <w:rPr>
                <w:rFonts w:hint="eastAsia" w:ascii="宋体" w:hAnsi="宋体" w:cs="宋体"/>
                <w:sz w:val="24"/>
                <w:szCs w:val="24"/>
              </w:rPr>
              <w:t>①</w:t>
            </w:r>
            <w:r>
              <w:rPr>
                <w:rFonts w:cs="Times New Roman"/>
                <w:sz w:val="24"/>
                <w:szCs w:val="24"/>
              </w:rPr>
              <w:t>加强施工管理，确保湿法作业，施工场地设专门的保洁工人，场地清理阶段，做到先洒水，后清扫，防止扬尘产生；同时</w:t>
            </w:r>
            <w:r>
              <w:rPr>
                <w:rFonts w:cs="Times New Roman"/>
                <w:kern w:val="0"/>
                <w:sz w:val="24"/>
                <w:szCs w:val="24"/>
              </w:rPr>
              <w:t>在进行可能产生扬尘的工序时需关闭门窗，减少扬尘飘散到大气环境中；</w:t>
            </w:r>
          </w:p>
          <w:p w14:paraId="4973ECE3">
            <w:pPr>
              <w:keepNext w:val="0"/>
              <w:keepLines w:val="0"/>
              <w:pageBreakBefore w:val="0"/>
              <w:widowControl/>
              <w:kinsoku/>
              <w:wordWrap/>
              <w:overflowPunct/>
              <w:topLinePunct w:val="0"/>
              <w:autoSpaceDE/>
              <w:autoSpaceDN/>
              <w:bidi w:val="0"/>
              <w:ind w:left="0" w:firstLine="480"/>
              <w:textAlignment w:val="auto"/>
              <w:rPr>
                <w:rFonts w:cs="Times New Roman"/>
                <w:sz w:val="24"/>
                <w:szCs w:val="24"/>
              </w:rPr>
            </w:pPr>
            <w:r>
              <w:rPr>
                <w:rFonts w:hint="eastAsia" w:ascii="宋体" w:hAnsi="宋体" w:cs="宋体"/>
                <w:sz w:val="24"/>
                <w:szCs w:val="24"/>
              </w:rPr>
              <w:t>②</w:t>
            </w:r>
            <w:r>
              <w:rPr>
                <w:rFonts w:cs="Times New Roman"/>
                <w:sz w:val="24"/>
                <w:szCs w:val="24"/>
              </w:rPr>
              <w:t>由于道路和扬尘量与车辆的行驶速度有关，速度越快，扬尘量越大，因此，在施工场地对施工车辆必须实施限速行驶，同时施工现场主要运输道路必须采用硬化路面并定时进行洒水抑尘；同时运输车辆路线避开人流量较大的道路，避免在上下班和上下学高峰期运输货物；</w:t>
            </w:r>
          </w:p>
          <w:p w14:paraId="7F538B3D">
            <w:pPr>
              <w:keepNext w:val="0"/>
              <w:keepLines w:val="0"/>
              <w:pageBreakBefore w:val="0"/>
              <w:kinsoku/>
              <w:wordWrap/>
              <w:overflowPunct/>
              <w:topLinePunct w:val="0"/>
              <w:autoSpaceDE/>
              <w:autoSpaceDN/>
              <w:bidi w:val="0"/>
              <w:ind w:left="0"/>
              <w:textAlignment w:val="auto"/>
              <w:rPr>
                <w:sz w:val="24"/>
                <w:szCs w:val="24"/>
              </w:rPr>
            </w:pPr>
            <w:r>
              <w:rPr>
                <w:rFonts w:hint="eastAsia"/>
                <w:sz w:val="24"/>
                <w:szCs w:val="24"/>
              </w:rPr>
              <w:t>③</w:t>
            </w:r>
            <w:r>
              <w:rPr>
                <w:sz w:val="24"/>
                <w:szCs w:val="24"/>
              </w:rPr>
              <w:t>要求施工单位文明施工，定期对地面洒水，并对撒落在路面的渣土及时清除，清理阶段做到先洒水后清扫；</w:t>
            </w:r>
          </w:p>
          <w:p w14:paraId="32BDF550">
            <w:pPr>
              <w:keepNext w:val="0"/>
              <w:keepLines w:val="0"/>
              <w:pageBreakBefore w:val="0"/>
              <w:widowControl/>
              <w:kinsoku/>
              <w:wordWrap/>
              <w:overflowPunct/>
              <w:topLinePunct w:val="0"/>
              <w:autoSpaceDE/>
              <w:autoSpaceDN/>
              <w:bidi w:val="0"/>
              <w:ind w:left="0" w:firstLine="480"/>
              <w:textAlignment w:val="auto"/>
              <w:rPr>
                <w:rFonts w:cs="Times New Roman"/>
                <w:sz w:val="24"/>
                <w:szCs w:val="24"/>
              </w:rPr>
            </w:pPr>
            <w:r>
              <w:rPr>
                <w:rFonts w:hint="eastAsia" w:ascii="宋体" w:hAnsi="宋体" w:cs="宋体"/>
                <w:sz w:val="24"/>
                <w:szCs w:val="24"/>
              </w:rPr>
              <w:t>④</w:t>
            </w:r>
            <w:r>
              <w:rPr>
                <w:rFonts w:cs="Times New Roman"/>
                <w:sz w:val="24"/>
                <w:szCs w:val="24"/>
              </w:rPr>
              <w:t>施工管理由专人负责，并设定专门负责人定期对该区的施工扬尘污染防治措施以及环保管理进行检查和核实，严格按照当地政府关于城市扬尘污染管理的有关规定进行治理，减少扬尘对环境的影响。</w:t>
            </w:r>
          </w:p>
          <w:p w14:paraId="6F88C3AE">
            <w:pPr>
              <w:keepNext w:val="0"/>
              <w:keepLines w:val="0"/>
              <w:pageBreakBefore w:val="0"/>
              <w:kinsoku/>
              <w:wordWrap/>
              <w:overflowPunct/>
              <w:topLinePunct w:val="0"/>
              <w:autoSpaceDE/>
              <w:autoSpaceDN/>
              <w:bidi w:val="0"/>
              <w:ind w:left="0" w:firstLine="482"/>
              <w:textAlignment w:val="auto"/>
              <w:rPr>
                <w:rFonts w:cs="Times New Roman"/>
                <w:b/>
                <w:sz w:val="24"/>
                <w:szCs w:val="24"/>
              </w:rPr>
            </w:pPr>
            <w:r>
              <w:rPr>
                <w:rFonts w:cs="Times New Roman"/>
                <w:b/>
                <w:sz w:val="24"/>
                <w:szCs w:val="24"/>
              </w:rPr>
              <w:t>（2）汽车尾气</w:t>
            </w:r>
          </w:p>
          <w:p w14:paraId="6B91BCA3">
            <w:pPr>
              <w:keepNext w:val="0"/>
              <w:keepLines w:val="0"/>
              <w:pageBreakBefore w:val="0"/>
              <w:widowControl/>
              <w:suppressLineNumbers w:val="0"/>
              <w:kinsoku/>
              <w:wordWrap/>
              <w:overflowPunct/>
              <w:topLinePunct w:val="0"/>
              <w:autoSpaceDE/>
              <w:autoSpaceDN/>
              <w:bidi w:val="0"/>
              <w:ind w:left="0"/>
              <w:jc w:val="left"/>
              <w:textAlignment w:val="auto"/>
              <w:rPr>
                <w:sz w:val="24"/>
                <w:szCs w:val="24"/>
              </w:rPr>
            </w:pPr>
            <w:r>
              <w:rPr>
                <w:rFonts w:hint="default" w:ascii="Times New Roman" w:hAnsi="Times New Roman" w:eastAsia="宋体" w:cs="Times New Roman"/>
                <w:color w:val="000000"/>
                <w:kern w:val="0"/>
                <w:sz w:val="24"/>
                <w:szCs w:val="24"/>
                <w:lang w:val="en-US" w:eastAsia="zh-CN" w:bidi="ar"/>
              </w:rPr>
              <w:t>1</w:t>
            </w:r>
            <w:r>
              <w:rPr>
                <w:rFonts w:hint="eastAsia" w:ascii="宋体" w:hAnsi="宋体" w:eastAsia="宋体" w:cs="宋体"/>
                <w:color w:val="000000"/>
                <w:kern w:val="0"/>
                <w:sz w:val="24"/>
                <w:szCs w:val="24"/>
                <w:lang w:val="en-US" w:eastAsia="zh-CN" w:bidi="ar"/>
              </w:rPr>
              <w:t xml:space="preserve">）加强施工机械的保养维护，提高机械的正常使用率。 </w:t>
            </w:r>
          </w:p>
          <w:p w14:paraId="631CCB06">
            <w:pPr>
              <w:keepNext w:val="0"/>
              <w:keepLines w:val="0"/>
              <w:pageBreakBefore w:val="0"/>
              <w:widowControl/>
              <w:suppressLineNumbers w:val="0"/>
              <w:kinsoku/>
              <w:wordWrap/>
              <w:overflowPunct/>
              <w:topLinePunct w:val="0"/>
              <w:autoSpaceDE/>
              <w:autoSpaceDN/>
              <w:bidi w:val="0"/>
              <w:ind w:left="0"/>
              <w:jc w:val="left"/>
              <w:textAlignment w:val="auto"/>
              <w:rPr>
                <w:sz w:val="24"/>
                <w:szCs w:val="24"/>
              </w:rPr>
            </w:pPr>
            <w:r>
              <w:rPr>
                <w:rFonts w:hint="default" w:ascii="Times New Roman" w:hAnsi="Times New Roman" w:eastAsia="宋体" w:cs="Times New Roman"/>
                <w:color w:val="000000"/>
                <w:kern w:val="0"/>
                <w:sz w:val="24"/>
                <w:szCs w:val="24"/>
                <w:lang w:val="en-US" w:eastAsia="zh-CN" w:bidi="ar"/>
              </w:rPr>
              <w:t>2</w:t>
            </w:r>
            <w:r>
              <w:rPr>
                <w:rFonts w:hint="eastAsia" w:ascii="宋体" w:hAnsi="宋体" w:eastAsia="宋体" w:cs="宋体"/>
                <w:color w:val="000000"/>
                <w:kern w:val="0"/>
                <w:sz w:val="24"/>
                <w:szCs w:val="24"/>
                <w:lang w:val="en-US" w:eastAsia="zh-CN" w:bidi="ar"/>
              </w:rPr>
              <w:t>）加强对机械、车辆的维修保养，禁止以柴油为燃料的施工机械超负荷工作，减少烟尘和颗粒物排放。</w:t>
            </w:r>
          </w:p>
          <w:p w14:paraId="332F9BBF">
            <w:pPr>
              <w:keepNext w:val="0"/>
              <w:keepLines w:val="0"/>
              <w:pageBreakBefore w:val="0"/>
              <w:widowControl/>
              <w:suppressLineNumbers w:val="0"/>
              <w:kinsoku/>
              <w:wordWrap/>
              <w:overflowPunct/>
              <w:topLinePunct w:val="0"/>
              <w:autoSpaceDE/>
              <w:autoSpaceDN/>
              <w:bidi w:val="0"/>
              <w:ind w:left="0"/>
              <w:jc w:val="left"/>
              <w:textAlignment w:val="auto"/>
              <w:rPr>
                <w:sz w:val="24"/>
                <w:szCs w:val="24"/>
              </w:rPr>
            </w:pPr>
            <w:r>
              <w:rPr>
                <w:rFonts w:hint="default" w:ascii="Times New Roman" w:hAnsi="Times New Roman" w:eastAsia="宋体" w:cs="Times New Roman"/>
                <w:color w:val="000000"/>
                <w:kern w:val="0"/>
                <w:sz w:val="24"/>
                <w:szCs w:val="24"/>
                <w:lang w:val="en-US" w:eastAsia="zh-CN" w:bidi="ar"/>
              </w:rPr>
              <w:t>3</w:t>
            </w:r>
            <w:r>
              <w:rPr>
                <w:rFonts w:hint="eastAsia" w:ascii="宋体" w:hAnsi="宋体" w:eastAsia="宋体" w:cs="宋体"/>
                <w:color w:val="000000"/>
                <w:kern w:val="0"/>
                <w:sz w:val="24"/>
                <w:szCs w:val="24"/>
                <w:lang w:val="en-US" w:eastAsia="zh-CN" w:bidi="ar"/>
              </w:rPr>
              <w:t>）动力机械多选择使用电动工具，严格控制内燃机械的使用。</w:t>
            </w:r>
          </w:p>
          <w:p w14:paraId="207A7EFE">
            <w:pPr>
              <w:keepNext w:val="0"/>
              <w:keepLines w:val="0"/>
              <w:pageBreakBefore w:val="0"/>
              <w:widowControl/>
              <w:suppressLineNumbers w:val="0"/>
              <w:kinsoku/>
              <w:wordWrap/>
              <w:overflowPunct/>
              <w:topLinePunct w:val="0"/>
              <w:autoSpaceDE/>
              <w:autoSpaceDN/>
              <w:bidi w:val="0"/>
              <w:ind w:left="0"/>
              <w:jc w:val="left"/>
              <w:textAlignment w:val="auto"/>
              <w:rPr>
                <w:sz w:val="24"/>
                <w:szCs w:val="24"/>
              </w:rPr>
            </w:pPr>
            <w:r>
              <w:rPr>
                <w:rFonts w:hint="default" w:ascii="Times New Roman" w:hAnsi="Times New Roman" w:eastAsia="宋体" w:cs="Times New Roman"/>
                <w:color w:val="000000"/>
                <w:kern w:val="0"/>
                <w:sz w:val="24"/>
                <w:szCs w:val="24"/>
                <w:lang w:val="en-US" w:eastAsia="zh-CN" w:bidi="ar"/>
              </w:rPr>
              <w:t>4</w:t>
            </w:r>
            <w:r>
              <w:rPr>
                <w:rFonts w:hint="eastAsia" w:ascii="宋体" w:hAnsi="宋体" w:eastAsia="宋体" w:cs="宋体"/>
                <w:color w:val="000000"/>
                <w:kern w:val="0"/>
                <w:sz w:val="24"/>
                <w:szCs w:val="24"/>
                <w:lang w:val="en-US" w:eastAsia="zh-CN" w:bidi="ar"/>
              </w:rPr>
              <w:t>）生态环境部办公厅发布《关于实施汽车国六排放标准有关事宜的公告》，并明确指出，自</w:t>
            </w:r>
            <w:r>
              <w:rPr>
                <w:rFonts w:hint="default" w:ascii="Times New Roman" w:hAnsi="Times New Roman" w:eastAsia="宋体" w:cs="Times New Roman"/>
                <w:color w:val="000000"/>
                <w:kern w:val="0"/>
                <w:sz w:val="24"/>
                <w:szCs w:val="24"/>
                <w:lang w:val="en-US" w:eastAsia="zh-CN" w:bidi="ar"/>
              </w:rPr>
              <w:t>2023</w:t>
            </w:r>
            <w:r>
              <w:rPr>
                <w:rFonts w:hint="eastAsia" w:ascii="宋体" w:hAnsi="宋体" w:eastAsia="宋体" w:cs="宋体"/>
                <w:color w:val="000000"/>
                <w:kern w:val="0"/>
                <w:sz w:val="24"/>
                <w:szCs w:val="24"/>
                <w:lang w:val="en-US" w:eastAsia="zh-CN" w:bidi="ar"/>
              </w:rPr>
              <w:t>年</w:t>
            </w:r>
            <w:r>
              <w:rPr>
                <w:rFonts w:hint="default" w:ascii="Times New Roman" w:hAnsi="Times New Roman" w:eastAsia="宋体" w:cs="Times New Roman"/>
                <w:color w:val="000000"/>
                <w:kern w:val="0"/>
                <w:sz w:val="24"/>
                <w:szCs w:val="24"/>
                <w:lang w:val="en-US" w:eastAsia="zh-CN" w:bidi="ar"/>
              </w:rPr>
              <w:t>7</w:t>
            </w:r>
            <w:r>
              <w:rPr>
                <w:rFonts w:hint="eastAsia" w:ascii="宋体" w:hAnsi="宋体" w:eastAsia="宋体" w:cs="宋体"/>
                <w:color w:val="000000"/>
                <w:kern w:val="0"/>
                <w:sz w:val="24"/>
                <w:szCs w:val="24"/>
                <w:lang w:val="en-US" w:eastAsia="zh-CN" w:bidi="ar"/>
              </w:rPr>
              <w:t>月</w:t>
            </w:r>
            <w:r>
              <w:rPr>
                <w:rFonts w:hint="default" w:ascii="Times New Roman" w:hAnsi="Times New Roman" w:eastAsia="宋体" w:cs="Times New Roman"/>
                <w:color w:val="000000"/>
                <w:kern w:val="0"/>
                <w:sz w:val="24"/>
                <w:szCs w:val="24"/>
                <w:lang w:val="en-US" w:eastAsia="zh-CN" w:bidi="ar"/>
              </w:rPr>
              <w:t>1</w:t>
            </w:r>
            <w:r>
              <w:rPr>
                <w:rFonts w:hint="eastAsia" w:ascii="宋体" w:hAnsi="宋体" w:eastAsia="宋体" w:cs="宋体"/>
                <w:color w:val="000000"/>
                <w:kern w:val="0"/>
                <w:sz w:val="24"/>
                <w:szCs w:val="24"/>
                <w:lang w:val="en-US" w:eastAsia="zh-CN" w:bidi="ar"/>
              </w:rPr>
              <w:t>日起，全国范围全面实施国六排放标准</w:t>
            </w:r>
            <w:r>
              <w:rPr>
                <w:rFonts w:hint="default" w:ascii="Times New Roman" w:hAnsi="Times New Roman" w:eastAsia="宋体" w:cs="Times New Roman"/>
                <w:color w:val="000000"/>
                <w:kern w:val="0"/>
                <w:sz w:val="24"/>
                <w:szCs w:val="24"/>
                <w:lang w:val="en-US" w:eastAsia="zh-CN" w:bidi="ar"/>
              </w:rPr>
              <w:t>6b</w:t>
            </w:r>
            <w:r>
              <w:rPr>
                <w:rFonts w:hint="eastAsia" w:ascii="宋体" w:hAnsi="宋体" w:eastAsia="宋体" w:cs="宋体"/>
                <w:color w:val="000000"/>
                <w:kern w:val="0"/>
                <w:sz w:val="24"/>
                <w:szCs w:val="24"/>
                <w:lang w:val="en-US" w:eastAsia="zh-CN" w:bidi="ar"/>
              </w:rPr>
              <w:t>阶段，禁止生产、进口、销售不符合国六排放标准</w:t>
            </w:r>
            <w:r>
              <w:rPr>
                <w:rFonts w:hint="default" w:ascii="Times New Roman" w:hAnsi="Times New Roman" w:eastAsia="宋体" w:cs="Times New Roman"/>
                <w:color w:val="000000"/>
                <w:kern w:val="0"/>
                <w:sz w:val="24"/>
                <w:szCs w:val="24"/>
                <w:lang w:val="en-US" w:eastAsia="zh-CN" w:bidi="ar"/>
              </w:rPr>
              <w:t>6b</w:t>
            </w:r>
            <w:r>
              <w:rPr>
                <w:rFonts w:hint="eastAsia" w:ascii="宋体" w:hAnsi="宋体" w:eastAsia="宋体" w:cs="宋体"/>
                <w:color w:val="000000"/>
                <w:kern w:val="0"/>
                <w:sz w:val="24"/>
                <w:szCs w:val="24"/>
                <w:lang w:val="en-US" w:eastAsia="zh-CN" w:bidi="ar"/>
              </w:rPr>
              <w:t>阶段的汽车。因此公路运输全部使用</w:t>
            </w:r>
            <w:r>
              <w:rPr>
                <w:rFonts w:hint="default" w:ascii="Times New Roman" w:hAnsi="Times New Roman" w:eastAsia="宋体" w:cs="Times New Roman"/>
                <w:color w:val="000000"/>
                <w:kern w:val="0"/>
                <w:sz w:val="24"/>
                <w:szCs w:val="24"/>
                <w:lang w:val="en-US" w:eastAsia="zh-CN" w:bidi="ar"/>
              </w:rPr>
              <w:t>6b</w:t>
            </w:r>
            <w:r>
              <w:rPr>
                <w:rFonts w:hint="eastAsia" w:ascii="宋体" w:hAnsi="宋体" w:eastAsia="宋体" w:cs="宋体"/>
                <w:color w:val="000000"/>
                <w:kern w:val="0"/>
                <w:sz w:val="24"/>
                <w:szCs w:val="24"/>
                <w:lang w:val="en-US" w:eastAsia="zh-CN" w:bidi="ar"/>
              </w:rPr>
              <w:t>及以上排放标准重型载货车辆（含燃气）或新能源车辆等清洁运输方式。本环评要求企业施工期运输车辆全部达到</w:t>
            </w:r>
            <w:r>
              <w:rPr>
                <w:rFonts w:hint="default" w:ascii="Times New Roman" w:hAnsi="Times New Roman" w:eastAsia="宋体" w:cs="Times New Roman"/>
                <w:color w:val="000000"/>
                <w:kern w:val="0"/>
                <w:sz w:val="24"/>
                <w:szCs w:val="24"/>
                <w:lang w:val="en-US" w:eastAsia="zh-CN" w:bidi="ar"/>
              </w:rPr>
              <w:t>6b</w:t>
            </w:r>
            <w:r>
              <w:rPr>
                <w:rFonts w:hint="eastAsia" w:ascii="宋体" w:hAnsi="宋体" w:eastAsia="宋体" w:cs="宋体"/>
                <w:color w:val="000000"/>
                <w:kern w:val="0"/>
                <w:sz w:val="24"/>
                <w:szCs w:val="24"/>
                <w:lang w:val="en-US" w:eastAsia="zh-CN" w:bidi="ar"/>
              </w:rPr>
              <w:t xml:space="preserve">及以上排放标准（含燃气）或使用新能源车辆。 </w:t>
            </w:r>
          </w:p>
          <w:p w14:paraId="77756D15">
            <w:pPr>
              <w:keepNext w:val="0"/>
              <w:keepLines w:val="0"/>
              <w:pageBreakBefore w:val="0"/>
              <w:widowControl/>
              <w:suppressLineNumbers w:val="0"/>
              <w:kinsoku/>
              <w:wordWrap/>
              <w:overflowPunct/>
              <w:topLinePunct w:val="0"/>
              <w:autoSpaceDE/>
              <w:autoSpaceDN/>
              <w:bidi w:val="0"/>
              <w:ind w:left="0"/>
              <w:jc w:val="left"/>
              <w:textAlignment w:val="auto"/>
              <w:rPr>
                <w:sz w:val="24"/>
                <w:szCs w:val="24"/>
              </w:rPr>
            </w:pPr>
            <w:r>
              <w:rPr>
                <w:rFonts w:hint="eastAsia" w:ascii="宋体" w:hAnsi="宋体" w:eastAsia="宋体" w:cs="宋体"/>
                <w:color w:val="000000"/>
                <w:kern w:val="0"/>
                <w:sz w:val="24"/>
                <w:szCs w:val="24"/>
                <w:lang w:val="en-US" w:eastAsia="zh-CN" w:bidi="ar"/>
              </w:rPr>
              <w:t>采取上述措施后，施工期废气经宽敞的地带扩散后对周围环境空气质量影响较小。</w:t>
            </w:r>
          </w:p>
          <w:p w14:paraId="06700606">
            <w:pPr>
              <w:keepNext w:val="0"/>
              <w:keepLines w:val="0"/>
              <w:pageBreakBefore w:val="0"/>
              <w:kinsoku/>
              <w:wordWrap/>
              <w:overflowPunct/>
              <w:topLinePunct w:val="0"/>
              <w:autoSpaceDE/>
              <w:autoSpaceDN/>
              <w:bidi w:val="0"/>
              <w:ind w:left="0" w:firstLine="482"/>
              <w:textAlignment w:val="auto"/>
              <w:rPr>
                <w:rFonts w:cs="Times New Roman"/>
                <w:b/>
                <w:sz w:val="24"/>
                <w:szCs w:val="24"/>
              </w:rPr>
            </w:pPr>
            <w:r>
              <w:rPr>
                <w:rFonts w:cs="Times New Roman"/>
                <w:b/>
                <w:sz w:val="24"/>
                <w:szCs w:val="24"/>
              </w:rPr>
              <w:t>（3）装修废气</w:t>
            </w:r>
          </w:p>
          <w:p w14:paraId="17AADC4D">
            <w:pPr>
              <w:keepNext w:val="0"/>
              <w:keepLines w:val="0"/>
              <w:pageBreakBefore w:val="0"/>
              <w:kinsoku/>
              <w:wordWrap/>
              <w:overflowPunct/>
              <w:topLinePunct w:val="0"/>
              <w:autoSpaceDE/>
              <w:autoSpaceDN/>
              <w:bidi w:val="0"/>
              <w:ind w:left="0" w:firstLine="480"/>
              <w:textAlignment w:val="auto"/>
              <w:rPr>
                <w:rFonts w:cs="Times New Roman"/>
                <w:sz w:val="24"/>
                <w:szCs w:val="24"/>
              </w:rPr>
            </w:pPr>
            <w:r>
              <w:rPr>
                <w:rFonts w:cs="Times New Roman"/>
                <w:sz w:val="24"/>
                <w:szCs w:val="24"/>
              </w:rPr>
              <w:t>装修废气主要产生于室内室外装修阶段，主要为油漆、胶等挥发产生，主要污染因子是作为稀释剂的二甲苯，此外还有少量的醋酸丁酯、乙醇、丁醇等，该废气的排放属无组织排放。</w:t>
            </w:r>
          </w:p>
          <w:p w14:paraId="10D23A16">
            <w:pPr>
              <w:keepNext w:val="0"/>
              <w:keepLines w:val="0"/>
              <w:pageBreakBefore w:val="0"/>
              <w:kinsoku/>
              <w:wordWrap/>
              <w:overflowPunct/>
              <w:topLinePunct w:val="0"/>
              <w:autoSpaceDE/>
              <w:autoSpaceDN/>
              <w:bidi w:val="0"/>
              <w:ind w:left="0" w:firstLine="480"/>
              <w:textAlignment w:val="auto"/>
              <w:rPr>
                <w:rFonts w:cs="Times New Roman"/>
                <w:sz w:val="24"/>
                <w:szCs w:val="24"/>
              </w:rPr>
            </w:pPr>
            <w:r>
              <w:rPr>
                <w:rFonts w:cs="Times New Roman"/>
                <w:sz w:val="24"/>
                <w:szCs w:val="24"/>
              </w:rPr>
              <w:t>建设单位在油漆的选择上应推广使用环保型油漆。在装修油漆期间，应加强室内的通风换气，油漆结束完成以后，也应每天进行通风换气一至</w:t>
            </w:r>
            <w:r>
              <w:rPr>
                <w:rFonts w:hint="eastAsia" w:cs="Times New Roman"/>
                <w:sz w:val="24"/>
                <w:szCs w:val="24"/>
                <w:lang w:eastAsia="zh-CN"/>
              </w:rPr>
              <w:t>两个</w:t>
            </w:r>
            <w:r>
              <w:rPr>
                <w:rFonts w:cs="Times New Roman"/>
                <w:sz w:val="24"/>
                <w:szCs w:val="24"/>
              </w:rPr>
              <w:t>月后才能使用。由于装修时采用的三合板和油漆中含有的甲醛、甲苯、二甲苯等影响环境质量的有毒有害物质挥发时间长，所以营运后也要注意室内空气的流畅。</w:t>
            </w:r>
          </w:p>
          <w:p w14:paraId="6C0B15BD">
            <w:pPr>
              <w:keepNext w:val="0"/>
              <w:keepLines w:val="0"/>
              <w:pageBreakBefore w:val="0"/>
              <w:kinsoku/>
              <w:wordWrap/>
              <w:overflowPunct/>
              <w:topLinePunct w:val="0"/>
              <w:autoSpaceDE/>
              <w:autoSpaceDN/>
              <w:bidi w:val="0"/>
              <w:ind w:left="0" w:firstLine="480"/>
              <w:textAlignment w:val="auto"/>
              <w:rPr>
                <w:rFonts w:cs="Times New Roman"/>
                <w:sz w:val="24"/>
                <w:szCs w:val="24"/>
              </w:rPr>
            </w:pPr>
            <w:r>
              <w:rPr>
                <w:rFonts w:cs="Times New Roman"/>
                <w:sz w:val="24"/>
                <w:szCs w:val="24"/>
              </w:rPr>
              <w:t>环评建议：在施工装修期，涂料及装修材料的选取应按照国家质检总局颁布的“室内装修材料10项有害物质限量”规定进行，严格控制室内甲醛、苯系物等挥发性有机物及放射性元素氡，优先采用已取得国家环境标志认可委员会批准、并被授予环境标志的建筑材料和产品，使各项污染指标达到《室内空气质量标准》（GB/T18883-20</w:t>
            </w:r>
            <w:r>
              <w:rPr>
                <w:rFonts w:hint="eastAsia" w:cs="Times New Roman"/>
                <w:sz w:val="24"/>
                <w:szCs w:val="24"/>
                <w:lang w:val="en-US" w:eastAsia="zh-CN"/>
              </w:rPr>
              <w:t>22</w:t>
            </w:r>
            <w:r>
              <w:rPr>
                <w:rFonts w:cs="Times New Roman"/>
                <w:sz w:val="24"/>
                <w:szCs w:val="24"/>
              </w:rPr>
              <w:t>）。</w:t>
            </w:r>
          </w:p>
          <w:p w14:paraId="641418DD">
            <w:pPr>
              <w:pStyle w:val="3"/>
              <w:keepNext w:val="0"/>
              <w:keepLines w:val="0"/>
              <w:pageBreakBefore w:val="0"/>
              <w:kinsoku/>
              <w:wordWrap/>
              <w:overflowPunct/>
              <w:topLinePunct w:val="0"/>
              <w:autoSpaceDE/>
              <w:autoSpaceDN/>
              <w:bidi w:val="0"/>
              <w:spacing w:before="0" w:beforeLines="0"/>
              <w:ind w:left="0"/>
              <w:textAlignment w:val="auto"/>
              <w:rPr>
                <w:sz w:val="24"/>
                <w:szCs w:val="24"/>
              </w:rPr>
            </w:pPr>
            <w:r>
              <w:rPr>
                <w:sz w:val="24"/>
                <w:szCs w:val="24"/>
              </w:rPr>
              <w:t>2、施工期废水污染防治措施</w:t>
            </w:r>
          </w:p>
          <w:p w14:paraId="75F2AB89">
            <w:pPr>
              <w:keepNext w:val="0"/>
              <w:keepLines w:val="0"/>
              <w:pageBreakBefore w:val="0"/>
              <w:kinsoku/>
              <w:wordWrap/>
              <w:overflowPunct/>
              <w:topLinePunct w:val="0"/>
              <w:autoSpaceDE/>
              <w:autoSpaceDN/>
              <w:bidi w:val="0"/>
              <w:adjustRightInd w:val="0"/>
              <w:snapToGrid w:val="0"/>
              <w:ind w:left="0" w:firstLine="480"/>
              <w:textAlignment w:val="auto"/>
              <w:rPr>
                <w:rFonts w:cs="Times New Roman"/>
                <w:sz w:val="24"/>
                <w:szCs w:val="24"/>
              </w:rPr>
            </w:pPr>
            <w:r>
              <w:rPr>
                <w:rFonts w:cs="Times New Roman"/>
                <w:sz w:val="24"/>
                <w:szCs w:val="24"/>
              </w:rPr>
              <w:t>施工期废水主要为生活污水，少量施工人员生活污水依托租赁厂房所在厂区内已建污水预处理池处理，最终经</w:t>
            </w:r>
            <w:r>
              <w:rPr>
                <w:rFonts w:hint="eastAsia" w:cs="Times New Roman"/>
                <w:sz w:val="24"/>
                <w:szCs w:val="24"/>
                <w:lang w:val="en-US" w:eastAsia="zh-CN"/>
              </w:rPr>
              <w:t>园区</w:t>
            </w:r>
            <w:r>
              <w:rPr>
                <w:rFonts w:cs="Times New Roman"/>
                <w:sz w:val="24"/>
                <w:szCs w:val="24"/>
              </w:rPr>
              <w:t>管网汇入</w:t>
            </w:r>
            <w:r>
              <w:rPr>
                <w:rFonts w:hint="eastAsia" w:cs="Times New Roman"/>
                <w:sz w:val="24"/>
                <w:szCs w:val="24"/>
                <w:lang w:val="en-US" w:eastAsia="zh-CN"/>
              </w:rPr>
              <w:t>星光工业园区</w:t>
            </w:r>
            <w:r>
              <w:rPr>
                <w:rFonts w:cs="Times New Roman"/>
                <w:sz w:val="24"/>
                <w:szCs w:val="24"/>
              </w:rPr>
              <w:t>污水处理厂处理后达标排放。</w:t>
            </w:r>
          </w:p>
          <w:p w14:paraId="6BE9885C">
            <w:pPr>
              <w:pStyle w:val="3"/>
              <w:keepNext w:val="0"/>
              <w:keepLines w:val="0"/>
              <w:pageBreakBefore w:val="0"/>
              <w:kinsoku/>
              <w:wordWrap/>
              <w:overflowPunct/>
              <w:topLinePunct w:val="0"/>
              <w:autoSpaceDE/>
              <w:autoSpaceDN/>
              <w:bidi w:val="0"/>
              <w:spacing w:before="0" w:beforeLines="0"/>
              <w:ind w:left="0"/>
              <w:textAlignment w:val="auto"/>
              <w:rPr>
                <w:sz w:val="24"/>
                <w:szCs w:val="24"/>
              </w:rPr>
            </w:pPr>
            <w:r>
              <w:rPr>
                <w:sz w:val="24"/>
                <w:szCs w:val="24"/>
              </w:rPr>
              <w:t>3、施工期噪声污染防治措施</w:t>
            </w:r>
          </w:p>
          <w:p w14:paraId="00FDAD78">
            <w:pPr>
              <w:keepNext w:val="0"/>
              <w:keepLines w:val="0"/>
              <w:pageBreakBefore w:val="0"/>
              <w:widowControl/>
              <w:suppressLineNumbers w:val="0"/>
              <w:kinsoku/>
              <w:wordWrap/>
              <w:overflowPunct/>
              <w:topLinePunct w:val="0"/>
              <w:autoSpaceDE/>
              <w:autoSpaceDN/>
              <w:bidi w:val="0"/>
              <w:ind w:left="0"/>
              <w:jc w:val="left"/>
              <w:textAlignment w:val="auto"/>
              <w:rPr>
                <w:rFonts w:cs="Times New Roman"/>
                <w:sz w:val="24"/>
                <w:szCs w:val="24"/>
              </w:rPr>
            </w:pPr>
            <w:r>
              <w:rPr>
                <w:rFonts w:cs="Times New Roman"/>
                <w:sz w:val="24"/>
                <w:szCs w:val="24"/>
              </w:rPr>
              <w:t>施工噪声主要施工期主要分为机械噪声、施工作业噪声和施工车辆噪声，本项目施工量较小，基本</w:t>
            </w:r>
            <w:r>
              <w:rPr>
                <w:rFonts w:hint="eastAsia" w:cs="Times New Roman"/>
                <w:sz w:val="24"/>
                <w:szCs w:val="24"/>
                <w:lang w:eastAsia="zh-CN"/>
              </w:rPr>
              <w:t>为人</w:t>
            </w:r>
            <w:r>
              <w:rPr>
                <w:rFonts w:cs="Times New Roman"/>
                <w:sz w:val="24"/>
                <w:szCs w:val="24"/>
              </w:rPr>
              <w:t>工施工，机械设备噪声为间断式。</w:t>
            </w:r>
            <w:r>
              <w:rPr>
                <w:rFonts w:hint="eastAsia" w:ascii="宋体" w:hAnsi="宋体" w:eastAsia="宋体" w:cs="宋体"/>
                <w:color w:val="000000"/>
                <w:kern w:val="0"/>
                <w:sz w:val="24"/>
                <w:szCs w:val="24"/>
                <w:lang w:val="en-US" w:eastAsia="zh-CN" w:bidi="ar"/>
              </w:rPr>
              <w:t>施工期选用低噪设备，并对其采取有效的隔声减振措施，通过合理安排施工工序，缩短施工周期、合理安排施工时间、文明施工等措施，确保施工期间场界噪声满足《建筑施工噪声排放标准》（</w:t>
            </w:r>
            <w:r>
              <w:rPr>
                <w:rFonts w:hint="default" w:ascii="Times New Roman" w:hAnsi="Times New Roman" w:eastAsia="宋体" w:cs="Times New Roman"/>
                <w:color w:val="000000"/>
                <w:kern w:val="0"/>
                <w:sz w:val="24"/>
                <w:szCs w:val="24"/>
                <w:lang w:val="en-US" w:eastAsia="zh-CN" w:bidi="ar"/>
              </w:rPr>
              <w:t>GB12523-20</w:t>
            </w:r>
            <w:r>
              <w:rPr>
                <w:rFonts w:hint="eastAsia" w:cs="Times New Roman"/>
                <w:color w:val="000000"/>
                <w:kern w:val="0"/>
                <w:sz w:val="24"/>
                <w:szCs w:val="24"/>
                <w:lang w:val="en-US" w:eastAsia="zh-CN" w:bidi="ar"/>
              </w:rPr>
              <w:t>25</w:t>
            </w:r>
            <w:r>
              <w:rPr>
                <w:rFonts w:hint="eastAsia" w:ascii="宋体" w:hAnsi="宋体" w:eastAsia="宋体" w:cs="宋体"/>
                <w:color w:val="000000"/>
                <w:kern w:val="0"/>
                <w:sz w:val="24"/>
                <w:szCs w:val="24"/>
                <w:lang w:val="en-US" w:eastAsia="zh-CN" w:bidi="ar"/>
              </w:rPr>
              <w:t>）中相关要求，实现厂界处达标排放。</w:t>
            </w:r>
          </w:p>
          <w:p w14:paraId="27274472">
            <w:pPr>
              <w:pStyle w:val="3"/>
              <w:keepNext w:val="0"/>
              <w:keepLines w:val="0"/>
              <w:pageBreakBefore w:val="0"/>
              <w:kinsoku/>
              <w:wordWrap/>
              <w:overflowPunct/>
              <w:topLinePunct w:val="0"/>
              <w:autoSpaceDE/>
              <w:autoSpaceDN/>
              <w:bidi w:val="0"/>
              <w:spacing w:before="0" w:beforeLines="0"/>
              <w:ind w:left="0"/>
              <w:textAlignment w:val="auto"/>
              <w:rPr>
                <w:sz w:val="24"/>
                <w:szCs w:val="24"/>
              </w:rPr>
            </w:pPr>
            <w:r>
              <w:rPr>
                <w:sz w:val="24"/>
                <w:szCs w:val="24"/>
              </w:rPr>
              <w:t>4、施工期</w:t>
            </w:r>
            <w:r>
              <w:rPr>
                <w:rFonts w:hint="eastAsia"/>
                <w:sz w:val="24"/>
                <w:szCs w:val="24"/>
                <w:lang w:eastAsia="zh-CN"/>
              </w:rPr>
              <w:t>固体废物污染</w:t>
            </w:r>
            <w:r>
              <w:rPr>
                <w:sz w:val="24"/>
                <w:szCs w:val="24"/>
              </w:rPr>
              <w:t>防治措施</w:t>
            </w:r>
          </w:p>
          <w:p w14:paraId="448837F9">
            <w:pPr>
              <w:keepNext w:val="0"/>
              <w:keepLines w:val="0"/>
              <w:pageBreakBefore w:val="0"/>
              <w:widowControl/>
              <w:suppressLineNumbers w:val="0"/>
              <w:kinsoku/>
              <w:wordWrap/>
              <w:overflowPunct/>
              <w:topLinePunct w:val="0"/>
              <w:autoSpaceDE/>
              <w:autoSpaceDN/>
              <w:bidi w:val="0"/>
              <w:ind w:left="0"/>
              <w:jc w:val="left"/>
              <w:textAlignment w:val="auto"/>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施工期固废主要为厂房适应性改造产生的建筑垃圾、水基岩屑储存池和沉淀池开挖土方、设备安装过程中会产生废包装材料及工作人员的生活垃圾等。</w:t>
            </w:r>
          </w:p>
          <w:p w14:paraId="67F5CC04">
            <w:pPr>
              <w:keepNext w:val="0"/>
              <w:keepLines w:val="0"/>
              <w:pageBreakBefore w:val="0"/>
              <w:widowControl/>
              <w:suppressLineNumbers w:val="0"/>
              <w:kinsoku/>
              <w:wordWrap/>
              <w:overflowPunct/>
              <w:topLinePunct w:val="0"/>
              <w:autoSpaceDE/>
              <w:autoSpaceDN/>
              <w:bidi w:val="0"/>
              <w:ind w:left="0"/>
              <w:jc w:val="left"/>
              <w:textAlignment w:val="auto"/>
              <w:rPr>
                <w:sz w:val="24"/>
                <w:szCs w:val="24"/>
              </w:rPr>
            </w:pPr>
            <w:r>
              <w:rPr>
                <w:rFonts w:hint="default" w:ascii="Times New Roman" w:hAnsi="Times New Roman" w:eastAsia="宋体" w:cs="Times New Roman"/>
                <w:color w:val="000000"/>
                <w:kern w:val="0"/>
                <w:sz w:val="24"/>
                <w:szCs w:val="24"/>
                <w:lang w:val="en-US" w:eastAsia="zh-CN" w:bidi="ar"/>
              </w:rPr>
              <w:t>1</w:t>
            </w:r>
            <w:r>
              <w:rPr>
                <w:rFonts w:hint="eastAsia" w:ascii="宋体" w:hAnsi="宋体" w:eastAsia="宋体" w:cs="宋体"/>
                <w:color w:val="000000"/>
                <w:kern w:val="0"/>
                <w:sz w:val="24"/>
                <w:szCs w:val="24"/>
                <w:lang w:val="en-US" w:eastAsia="zh-CN" w:bidi="ar"/>
              </w:rPr>
              <w:t xml:space="preserve">）厂房适应性改造产生的建筑垃圾首先应考虑回收利用，对钢板、木料可分类回收，交由有回收资质的废品收购站处理；对不能回收的建筑垃圾，如混凝土废料、碎砖、砂石等材料交由专业的运渣公司定期运至当地指定的建筑垃圾堆放点进行处置，严禁倾弃置于城建、规划部门非指定堆放点。 </w:t>
            </w:r>
          </w:p>
          <w:p w14:paraId="4D51D411">
            <w:pPr>
              <w:keepNext w:val="0"/>
              <w:keepLines w:val="0"/>
              <w:pageBreakBefore w:val="0"/>
              <w:widowControl/>
              <w:suppressLineNumbers w:val="0"/>
              <w:kinsoku/>
              <w:wordWrap/>
              <w:overflowPunct/>
              <w:topLinePunct w:val="0"/>
              <w:autoSpaceDE/>
              <w:autoSpaceDN/>
              <w:bidi w:val="0"/>
              <w:ind w:left="0"/>
              <w:jc w:val="left"/>
              <w:textAlignment w:val="auto"/>
              <w:rPr>
                <w:sz w:val="24"/>
                <w:szCs w:val="24"/>
              </w:rPr>
            </w:pPr>
            <w:r>
              <w:rPr>
                <w:rFonts w:hint="default" w:ascii="Times New Roman" w:hAnsi="Times New Roman" w:eastAsia="宋体" w:cs="Times New Roman"/>
                <w:color w:val="000000"/>
                <w:kern w:val="0"/>
                <w:sz w:val="24"/>
                <w:szCs w:val="24"/>
                <w:lang w:val="en-US" w:eastAsia="zh-CN" w:bidi="ar"/>
              </w:rPr>
              <w:t>2</w:t>
            </w:r>
            <w:r>
              <w:rPr>
                <w:rFonts w:hint="eastAsia" w:ascii="宋体" w:hAnsi="宋体" w:eastAsia="宋体" w:cs="宋体"/>
                <w:color w:val="000000"/>
                <w:kern w:val="0"/>
                <w:sz w:val="24"/>
                <w:szCs w:val="24"/>
                <w:lang w:val="en-US" w:eastAsia="zh-CN" w:bidi="ar"/>
              </w:rPr>
              <w:t xml:space="preserve">）水基岩屑储存池和沉淀池开挖土方运输至平昌县指定地点堆放，严禁倾弃置于城建、规划部门非指定堆放点。 </w:t>
            </w:r>
          </w:p>
          <w:p w14:paraId="7EACB324">
            <w:pPr>
              <w:keepNext w:val="0"/>
              <w:keepLines w:val="0"/>
              <w:pageBreakBefore w:val="0"/>
              <w:widowControl/>
              <w:suppressLineNumbers w:val="0"/>
              <w:kinsoku/>
              <w:wordWrap/>
              <w:overflowPunct/>
              <w:topLinePunct w:val="0"/>
              <w:autoSpaceDE/>
              <w:autoSpaceDN/>
              <w:bidi w:val="0"/>
              <w:ind w:left="0"/>
              <w:jc w:val="left"/>
              <w:textAlignment w:val="auto"/>
              <w:rPr>
                <w:sz w:val="24"/>
                <w:szCs w:val="24"/>
              </w:rPr>
            </w:pPr>
            <w:r>
              <w:rPr>
                <w:rFonts w:hint="default" w:ascii="Times New Roman" w:hAnsi="Times New Roman" w:eastAsia="宋体" w:cs="Times New Roman"/>
                <w:color w:val="000000"/>
                <w:kern w:val="0"/>
                <w:sz w:val="24"/>
                <w:szCs w:val="24"/>
                <w:lang w:val="en-US" w:eastAsia="zh-CN" w:bidi="ar"/>
              </w:rPr>
              <w:t>3</w:t>
            </w:r>
            <w:r>
              <w:rPr>
                <w:rFonts w:hint="eastAsia" w:ascii="宋体" w:hAnsi="宋体" w:eastAsia="宋体" w:cs="宋体"/>
                <w:color w:val="000000"/>
                <w:kern w:val="0"/>
                <w:sz w:val="24"/>
                <w:szCs w:val="24"/>
                <w:lang w:val="en-US" w:eastAsia="zh-CN" w:bidi="ar"/>
              </w:rPr>
              <w:t>）项目设备安装过程中会产生废包装材料，直接外售废品回收站，去向合理，不会造成二次污染。</w:t>
            </w:r>
          </w:p>
          <w:p w14:paraId="67B3164B">
            <w:pPr>
              <w:keepNext w:val="0"/>
              <w:keepLines w:val="0"/>
              <w:pageBreakBefore w:val="0"/>
              <w:widowControl/>
              <w:suppressLineNumbers w:val="0"/>
              <w:kinsoku/>
              <w:wordWrap/>
              <w:overflowPunct/>
              <w:topLinePunct w:val="0"/>
              <w:autoSpaceDE/>
              <w:autoSpaceDN/>
              <w:bidi w:val="0"/>
              <w:ind w:left="0"/>
              <w:jc w:val="left"/>
              <w:textAlignment w:val="auto"/>
              <w:rPr>
                <w:sz w:val="24"/>
                <w:szCs w:val="24"/>
              </w:rPr>
            </w:pPr>
            <w:r>
              <w:rPr>
                <w:rFonts w:hint="default" w:ascii="Times New Roman" w:hAnsi="Times New Roman" w:eastAsia="宋体" w:cs="Times New Roman"/>
                <w:color w:val="000000"/>
                <w:kern w:val="0"/>
                <w:sz w:val="24"/>
                <w:szCs w:val="24"/>
                <w:lang w:val="en-US" w:eastAsia="zh-CN" w:bidi="ar"/>
              </w:rPr>
              <w:t>4</w:t>
            </w:r>
            <w:r>
              <w:rPr>
                <w:rFonts w:hint="eastAsia" w:ascii="宋体" w:hAnsi="宋体" w:eastAsia="宋体" w:cs="宋体"/>
                <w:color w:val="000000"/>
                <w:kern w:val="0"/>
                <w:sz w:val="24"/>
                <w:szCs w:val="24"/>
                <w:lang w:val="en-US" w:eastAsia="zh-CN" w:bidi="ar"/>
              </w:rPr>
              <w:t>）施工期间施工人员产生的生活垃圾袋装收集，由环卫部门统一处理，去向合理，不会造成二次污染。</w:t>
            </w:r>
          </w:p>
          <w:p w14:paraId="7B486DDD">
            <w:pPr>
              <w:pStyle w:val="3"/>
              <w:keepNext w:val="0"/>
              <w:keepLines w:val="0"/>
              <w:pageBreakBefore w:val="0"/>
              <w:kinsoku/>
              <w:wordWrap/>
              <w:overflowPunct/>
              <w:topLinePunct w:val="0"/>
              <w:autoSpaceDE/>
              <w:autoSpaceDN/>
              <w:bidi w:val="0"/>
              <w:spacing w:before="0" w:beforeLines="0"/>
              <w:ind w:left="0"/>
              <w:textAlignment w:val="auto"/>
              <w:rPr>
                <w:sz w:val="24"/>
                <w:szCs w:val="24"/>
              </w:rPr>
            </w:pPr>
            <w:r>
              <w:rPr>
                <w:sz w:val="24"/>
                <w:szCs w:val="24"/>
              </w:rPr>
              <w:t>5、生态保护措施</w:t>
            </w:r>
          </w:p>
          <w:p w14:paraId="0D24E9CD">
            <w:pPr>
              <w:keepNext w:val="0"/>
              <w:keepLines w:val="0"/>
              <w:pageBreakBefore w:val="0"/>
              <w:kinsoku/>
              <w:wordWrap/>
              <w:overflowPunct/>
              <w:topLinePunct w:val="0"/>
              <w:autoSpaceDE/>
              <w:autoSpaceDN/>
              <w:bidi w:val="0"/>
              <w:adjustRightInd w:val="0"/>
              <w:snapToGrid w:val="0"/>
              <w:ind w:left="0" w:firstLine="480"/>
              <w:textAlignment w:val="auto"/>
              <w:rPr>
                <w:rFonts w:cs="Times New Roman"/>
                <w:sz w:val="24"/>
                <w:szCs w:val="24"/>
              </w:rPr>
            </w:pPr>
            <w:r>
              <w:rPr>
                <w:rFonts w:cs="Times New Roman"/>
                <w:sz w:val="24"/>
                <w:szCs w:val="24"/>
                <w:lang w:bidi="ar"/>
              </w:rPr>
              <w:t>项目为租用已建成厂房设置生产线，建设施工期在现有占地范围内建设，不新增用地，生态影响较小。施工期间，施工单位应该尽可能地缩小和控制施工范围，并将一切施工活动在施工范围内进行，避免对项目建设地周边生态环境造成影响</w:t>
            </w:r>
            <w:r>
              <w:rPr>
                <w:rFonts w:cs="Times New Roman"/>
                <w:sz w:val="24"/>
                <w:szCs w:val="24"/>
              </w:rPr>
              <w:t>。</w:t>
            </w:r>
          </w:p>
          <w:p w14:paraId="69CBE215">
            <w:pPr>
              <w:keepNext w:val="0"/>
              <w:keepLines w:val="0"/>
              <w:pageBreakBefore w:val="0"/>
              <w:kinsoku/>
              <w:wordWrap/>
              <w:overflowPunct/>
              <w:topLinePunct w:val="0"/>
              <w:autoSpaceDE/>
              <w:autoSpaceDN/>
              <w:bidi w:val="0"/>
              <w:ind w:left="0" w:firstLine="480"/>
              <w:textAlignment w:val="auto"/>
              <w:rPr>
                <w:rFonts w:cs="Times New Roman"/>
                <w:sz w:val="24"/>
                <w:szCs w:val="24"/>
              </w:rPr>
            </w:pPr>
            <w:r>
              <w:rPr>
                <w:rFonts w:cs="Times New Roman"/>
                <w:sz w:val="24"/>
                <w:szCs w:val="24"/>
              </w:rPr>
              <w:t>综上，项目施工期较短，施工造成的影响是暂时的，将随着施工期结束而结束，基本可以得到恢复。只要施工单位认真制定和严格落实工程施工期应该采取的环保对策措施，则施工对周围环境的影响可得到有效控制。</w:t>
            </w:r>
          </w:p>
          <w:p w14:paraId="43AD32E7">
            <w:pPr>
              <w:keepNext w:val="0"/>
              <w:keepLines w:val="0"/>
              <w:pageBreakBefore w:val="0"/>
              <w:kinsoku/>
              <w:wordWrap/>
              <w:overflowPunct/>
              <w:topLinePunct w:val="0"/>
              <w:autoSpaceDE/>
              <w:autoSpaceDN/>
              <w:bidi w:val="0"/>
              <w:ind w:left="0" w:firstLine="480"/>
              <w:textAlignment w:val="auto"/>
              <w:rPr>
                <w:rFonts w:cs="Times New Roman"/>
                <w:sz w:val="24"/>
                <w:szCs w:val="24"/>
              </w:rPr>
            </w:pPr>
          </w:p>
          <w:p w14:paraId="70D3A2EB">
            <w:pPr>
              <w:keepNext w:val="0"/>
              <w:keepLines w:val="0"/>
              <w:pageBreakBefore w:val="0"/>
              <w:kinsoku/>
              <w:wordWrap/>
              <w:overflowPunct/>
              <w:topLinePunct w:val="0"/>
              <w:autoSpaceDE/>
              <w:autoSpaceDN/>
              <w:bidi w:val="0"/>
              <w:ind w:left="0" w:leftChars="0" w:firstLine="0" w:firstLineChars="0"/>
              <w:textAlignment w:val="auto"/>
              <w:rPr>
                <w:rFonts w:cs="Times New Roman"/>
                <w:sz w:val="24"/>
                <w:szCs w:val="24"/>
              </w:rPr>
            </w:pPr>
          </w:p>
          <w:p w14:paraId="42041D8D">
            <w:pPr>
              <w:keepNext w:val="0"/>
              <w:keepLines w:val="0"/>
              <w:pageBreakBefore w:val="0"/>
              <w:kinsoku/>
              <w:wordWrap/>
              <w:overflowPunct/>
              <w:topLinePunct w:val="0"/>
              <w:autoSpaceDE/>
              <w:autoSpaceDN/>
              <w:bidi w:val="0"/>
              <w:ind w:left="0" w:leftChars="0" w:firstLine="0" w:firstLineChars="0"/>
              <w:textAlignment w:val="auto"/>
              <w:rPr>
                <w:rFonts w:cs="Times New Roman"/>
                <w:sz w:val="24"/>
                <w:szCs w:val="24"/>
              </w:rPr>
            </w:pPr>
          </w:p>
        </w:tc>
      </w:tr>
      <w:tr w14:paraId="0F9A0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10BFF6C1">
            <w:pPr>
              <w:pStyle w:val="24"/>
              <w:rPr>
                <w:rFonts w:cs="Times New Roman"/>
              </w:rPr>
            </w:pPr>
            <w:r>
              <w:rPr>
                <w:rFonts w:cs="Times New Roman"/>
                <w:sz w:val="24"/>
                <w:szCs w:val="28"/>
              </w:rPr>
              <w:t>运营期环境影响和保护措施</w:t>
            </w:r>
          </w:p>
        </w:tc>
        <w:tc>
          <w:tcPr>
            <w:tcW w:w="9032" w:type="dxa"/>
          </w:tcPr>
          <w:p w14:paraId="7574A8D4">
            <w:pPr>
              <w:pStyle w:val="3"/>
              <w:spacing w:before="163"/>
            </w:pPr>
            <w:r>
              <w:t>1、废气的排放及治理措施</w:t>
            </w:r>
          </w:p>
          <w:p w14:paraId="2A78E329">
            <w:pPr>
              <w:ind w:firstLine="480"/>
              <w:rPr>
                <w:rFonts w:hint="default" w:cs="Times New Roman"/>
                <w:lang w:val="en-US"/>
              </w:rPr>
            </w:pPr>
            <w:r>
              <w:rPr>
                <w:rFonts w:cs="Times New Roman"/>
              </w:rPr>
              <w:t>本项目运营期，生产过程中产生的废气主要</w:t>
            </w:r>
            <w:r>
              <w:rPr>
                <w:rFonts w:hint="eastAsia" w:cs="Times New Roman"/>
                <w:lang w:val="en-US" w:eastAsia="zh-CN"/>
              </w:rPr>
              <w:t>为煅烧废气、预处理药剂投加粉尘、2号厂房异味、1号厂房异味、水泥筒仓粉尘、水稳层骨料仓粉尘、砂石堆存区粉尘、食堂油烟。具体源强核算及大气预测内容见大气专项评价报告。</w:t>
            </w:r>
          </w:p>
          <w:p w14:paraId="39104ABD">
            <w:pPr>
              <w:ind w:firstLine="482"/>
              <w:rPr>
                <w:rFonts w:cs="Times New Roman"/>
                <w:b/>
              </w:rPr>
            </w:pPr>
            <w:r>
              <w:rPr>
                <w:rFonts w:cs="Times New Roman"/>
                <w:b/>
              </w:rPr>
              <w:t>（1）废气产生及排放基本情况</w:t>
            </w:r>
          </w:p>
          <w:p w14:paraId="2B464D31">
            <w:pPr>
              <w:pStyle w:val="11"/>
              <w:keepNext/>
              <w:rPr>
                <w:rFonts w:cs="Times New Roman"/>
              </w:rPr>
            </w:pPr>
            <w:bookmarkStart w:id="59" w:name="OLE_LINK51"/>
            <w:bookmarkStart w:id="60" w:name="OLE_LINK50"/>
            <w:r>
              <w:rPr>
                <w:rFonts w:cs="Times New Roman"/>
              </w:rPr>
              <w:t>表</w:t>
            </w:r>
            <w:r>
              <w:rPr>
                <w:rFonts w:cs="Times New Roman"/>
              </w:rPr>
              <w:fldChar w:fldCharType="begin"/>
            </w:r>
            <w:r>
              <w:rPr>
                <w:rFonts w:cs="Times New Roman"/>
              </w:rPr>
              <w:instrText xml:space="preserve"> SEQ seq \c </w:instrText>
            </w:r>
            <w:r>
              <w:rPr>
                <w:rFonts w:cs="Times New Roman"/>
              </w:rPr>
              <w:fldChar w:fldCharType="separate"/>
            </w:r>
            <w:r>
              <w:rPr>
                <w:rFonts w:cs="Times New Roman"/>
              </w:rPr>
              <w:t>4</w:t>
            </w:r>
            <w:r>
              <w:rPr>
                <w:rFonts w:cs="Times New Roman"/>
              </w:rPr>
              <w:fldChar w:fldCharType="end"/>
            </w:r>
            <w:r>
              <w:rPr>
                <w:rFonts w:cs="Times New Roman"/>
              </w:rPr>
              <w:noBreakHyphen/>
            </w:r>
            <w:r>
              <w:rPr>
                <w:rFonts w:cs="Times New Roman"/>
              </w:rPr>
              <w:fldChar w:fldCharType="begin"/>
            </w:r>
            <w:r>
              <w:rPr>
                <w:rFonts w:cs="Times New Roman"/>
              </w:rPr>
              <w:instrText xml:space="preserve"> SEQ 表 \* ARABIC \s 1 </w:instrText>
            </w:r>
            <w:r>
              <w:rPr>
                <w:rFonts w:cs="Times New Roman"/>
              </w:rPr>
              <w:fldChar w:fldCharType="separate"/>
            </w:r>
            <w:r>
              <w:rPr>
                <w:rFonts w:cs="Times New Roman"/>
              </w:rPr>
              <w:t>1</w:t>
            </w:r>
            <w:r>
              <w:rPr>
                <w:rFonts w:cs="Times New Roman"/>
              </w:rPr>
              <w:fldChar w:fldCharType="end"/>
            </w:r>
            <w:r>
              <w:rPr>
                <w:rFonts w:cs="Times New Roman"/>
              </w:rPr>
              <w:t xml:space="preserve"> 废气基本情况</w:t>
            </w:r>
          </w:p>
          <w:tbl>
            <w:tblPr>
              <w:tblStyle w:val="2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0"/>
              <w:gridCol w:w="1091"/>
              <w:gridCol w:w="1271"/>
              <w:gridCol w:w="1208"/>
              <w:gridCol w:w="714"/>
              <w:gridCol w:w="2022"/>
              <w:gridCol w:w="1953"/>
            </w:tblGrid>
            <w:tr w14:paraId="5E3D9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0" w:type="pct"/>
                  <w:vAlign w:val="center"/>
                </w:tcPr>
                <w:p w14:paraId="6A20C5E4">
                  <w:pPr>
                    <w:pStyle w:val="45"/>
                    <w:rPr>
                      <w:rFonts w:cs="Times New Roman"/>
                    </w:rPr>
                  </w:pPr>
                  <w:r>
                    <w:rPr>
                      <w:rFonts w:cs="Times New Roman"/>
                    </w:rPr>
                    <w:t>编号</w:t>
                  </w:r>
                </w:p>
              </w:tc>
              <w:tc>
                <w:tcPr>
                  <w:tcW w:w="611" w:type="pct"/>
                  <w:vAlign w:val="center"/>
                </w:tcPr>
                <w:p w14:paraId="4B38BECD">
                  <w:pPr>
                    <w:pStyle w:val="45"/>
                    <w:rPr>
                      <w:rFonts w:cs="Times New Roman"/>
                    </w:rPr>
                  </w:pPr>
                  <w:r>
                    <w:rPr>
                      <w:rFonts w:cs="Times New Roman"/>
                    </w:rPr>
                    <w:t>名称</w:t>
                  </w:r>
                </w:p>
              </w:tc>
              <w:tc>
                <w:tcPr>
                  <w:tcW w:w="712" w:type="pct"/>
                  <w:vAlign w:val="center"/>
                </w:tcPr>
                <w:p w14:paraId="37EE75B6">
                  <w:pPr>
                    <w:pStyle w:val="45"/>
                    <w:rPr>
                      <w:rFonts w:cs="Times New Roman"/>
                    </w:rPr>
                  </w:pPr>
                  <w:r>
                    <w:rPr>
                      <w:rFonts w:cs="Times New Roman"/>
                    </w:rPr>
                    <w:t>产生环节</w:t>
                  </w:r>
                </w:p>
              </w:tc>
              <w:tc>
                <w:tcPr>
                  <w:tcW w:w="677" w:type="pct"/>
                  <w:vAlign w:val="center"/>
                </w:tcPr>
                <w:p w14:paraId="1D386965">
                  <w:pPr>
                    <w:pStyle w:val="45"/>
                    <w:rPr>
                      <w:rFonts w:cs="Times New Roman"/>
                    </w:rPr>
                  </w:pPr>
                  <w:r>
                    <w:rPr>
                      <w:rFonts w:cs="Times New Roman"/>
                    </w:rPr>
                    <w:t>污染物种类</w:t>
                  </w:r>
                </w:p>
              </w:tc>
              <w:tc>
                <w:tcPr>
                  <w:tcW w:w="400" w:type="pct"/>
                  <w:vAlign w:val="center"/>
                </w:tcPr>
                <w:p w14:paraId="2671C1D1">
                  <w:pPr>
                    <w:pStyle w:val="45"/>
                    <w:rPr>
                      <w:rFonts w:cs="Times New Roman"/>
                    </w:rPr>
                  </w:pPr>
                  <w:r>
                    <w:rPr>
                      <w:rFonts w:cs="Times New Roman"/>
                    </w:rPr>
                    <w:t>排放形式</w:t>
                  </w:r>
                </w:p>
              </w:tc>
              <w:tc>
                <w:tcPr>
                  <w:tcW w:w="1133" w:type="pct"/>
                  <w:vAlign w:val="center"/>
                </w:tcPr>
                <w:p w14:paraId="4734BE3D">
                  <w:pPr>
                    <w:pStyle w:val="45"/>
                    <w:rPr>
                      <w:rFonts w:cs="Times New Roman"/>
                    </w:rPr>
                  </w:pPr>
                  <w:r>
                    <w:rPr>
                      <w:rFonts w:cs="Times New Roman"/>
                    </w:rPr>
                    <w:t>治理措施</w:t>
                  </w:r>
                </w:p>
              </w:tc>
              <w:tc>
                <w:tcPr>
                  <w:tcW w:w="1094" w:type="pct"/>
                  <w:vAlign w:val="center"/>
                </w:tcPr>
                <w:p w14:paraId="23A32C01">
                  <w:pPr>
                    <w:pStyle w:val="45"/>
                    <w:rPr>
                      <w:rFonts w:cs="Times New Roman"/>
                    </w:rPr>
                  </w:pPr>
                  <w:r>
                    <w:rPr>
                      <w:rFonts w:cs="Times New Roman"/>
                    </w:rPr>
                    <w:t>排放方式</w:t>
                  </w:r>
                </w:p>
              </w:tc>
            </w:tr>
            <w:tr w14:paraId="2407D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8" w:hRule="atLeast"/>
                <w:jc w:val="center"/>
              </w:trPr>
              <w:tc>
                <w:tcPr>
                  <w:tcW w:w="370" w:type="pct"/>
                  <w:vAlign w:val="center"/>
                </w:tcPr>
                <w:p w14:paraId="3EBBF9AF">
                  <w:pPr>
                    <w:pStyle w:val="12"/>
                    <w:rPr>
                      <w:rFonts w:cs="Times New Roman"/>
                    </w:rPr>
                  </w:pPr>
                  <w:r>
                    <w:rPr>
                      <w:rFonts w:cs="Times New Roman"/>
                      <w:kern w:val="21"/>
                    </w:rPr>
                    <w:t>G1</w:t>
                  </w:r>
                </w:p>
              </w:tc>
              <w:tc>
                <w:tcPr>
                  <w:tcW w:w="611" w:type="pct"/>
                  <w:vAlign w:val="center"/>
                </w:tcPr>
                <w:p w14:paraId="05783945">
                  <w:pPr>
                    <w:pStyle w:val="12"/>
                    <w:rPr>
                      <w:rFonts w:hint="default" w:eastAsia="宋体" w:cs="Times New Roman"/>
                      <w:lang w:val="en-US" w:eastAsia="zh-CN"/>
                    </w:rPr>
                  </w:pPr>
                  <w:r>
                    <w:rPr>
                      <w:rFonts w:hint="eastAsia" w:cs="Times New Roman"/>
                      <w:kern w:val="21"/>
                      <w:lang w:val="en-US" w:eastAsia="zh-CN"/>
                    </w:rPr>
                    <w:t>煅烧废气</w:t>
                  </w:r>
                </w:p>
              </w:tc>
              <w:tc>
                <w:tcPr>
                  <w:tcW w:w="712" w:type="pct"/>
                  <w:vAlign w:val="center"/>
                </w:tcPr>
                <w:p w14:paraId="339E9B57">
                  <w:pPr>
                    <w:pStyle w:val="12"/>
                    <w:rPr>
                      <w:rFonts w:hint="default" w:eastAsia="宋体" w:cs="Times New Roman"/>
                      <w:lang w:val="en-US" w:eastAsia="zh-CN"/>
                    </w:rPr>
                  </w:pPr>
                  <w:r>
                    <w:rPr>
                      <w:rFonts w:hint="eastAsia" w:cs="Times New Roman"/>
                      <w:kern w:val="21"/>
                      <w:lang w:val="en-US" w:eastAsia="zh-CN"/>
                    </w:rPr>
                    <w:t>煅烧</w:t>
                  </w:r>
                </w:p>
              </w:tc>
              <w:tc>
                <w:tcPr>
                  <w:tcW w:w="677" w:type="pct"/>
                  <w:vAlign w:val="center"/>
                </w:tcPr>
                <w:p w14:paraId="0D935EE2">
                  <w:pPr>
                    <w:pStyle w:val="12"/>
                    <w:rPr>
                      <w:rFonts w:hint="default" w:eastAsia="宋体" w:cs="Times New Roman"/>
                      <w:lang w:val="en-US" w:eastAsia="zh-CN"/>
                    </w:rPr>
                  </w:pPr>
                  <w:r>
                    <w:rPr>
                      <w:rFonts w:hint="eastAsia" w:cs="Times New Roman"/>
                      <w:kern w:val="21"/>
                      <w:lang w:val="en-US" w:eastAsia="zh-CN"/>
                    </w:rPr>
                    <w:t>颗粒物、二氧化硫、氮氧化物、氟化物、二噁英、臭气浓度、VOCs</w:t>
                  </w:r>
                </w:p>
              </w:tc>
              <w:tc>
                <w:tcPr>
                  <w:tcW w:w="400" w:type="pct"/>
                  <w:vAlign w:val="center"/>
                </w:tcPr>
                <w:p w14:paraId="6A672640">
                  <w:pPr>
                    <w:pStyle w:val="12"/>
                    <w:rPr>
                      <w:rFonts w:cs="Times New Roman"/>
                    </w:rPr>
                  </w:pPr>
                  <w:r>
                    <w:rPr>
                      <w:rFonts w:cs="Times New Roman"/>
                      <w:kern w:val="21"/>
                    </w:rPr>
                    <w:t>连续</w:t>
                  </w:r>
                </w:p>
              </w:tc>
              <w:tc>
                <w:tcPr>
                  <w:tcW w:w="1133" w:type="pct"/>
                  <w:vAlign w:val="center"/>
                </w:tcPr>
                <w:p w14:paraId="3E3B1CBB">
                  <w:pPr>
                    <w:pStyle w:val="12"/>
                    <w:rPr>
                      <w:rFonts w:hint="default" w:eastAsia="宋体" w:cs="Times New Roman"/>
                      <w:lang w:val="en-US" w:eastAsia="zh-CN"/>
                    </w:rPr>
                  </w:pPr>
                  <w:r>
                    <w:rPr>
                      <w:rFonts w:hint="eastAsia" w:cs="Times New Roman"/>
                      <w:lang w:val="en-US" w:eastAsia="zh-CN"/>
                    </w:rPr>
                    <w:t>旋风除尘器+布袋除尘器1#+活性炭喷射+布袋除尘器2#+3座脱酸塔（氢氧化钠碱液喷淋）</w:t>
                  </w:r>
                </w:p>
              </w:tc>
              <w:tc>
                <w:tcPr>
                  <w:tcW w:w="1094" w:type="pct"/>
                  <w:vAlign w:val="center"/>
                </w:tcPr>
                <w:p w14:paraId="2618D77E">
                  <w:pPr>
                    <w:pStyle w:val="12"/>
                    <w:rPr>
                      <w:rFonts w:cs="Times New Roman"/>
                    </w:rPr>
                  </w:pPr>
                  <w:r>
                    <w:rPr>
                      <w:rFonts w:cs="Times New Roman"/>
                    </w:rPr>
                    <w:t>1根</w:t>
                  </w:r>
                  <w:r>
                    <w:rPr>
                      <w:rFonts w:hint="eastAsia" w:cs="Times New Roman"/>
                      <w:lang w:val="en-US" w:eastAsia="zh-CN"/>
                    </w:rPr>
                    <w:t>25</w:t>
                  </w:r>
                  <w:r>
                    <w:rPr>
                      <w:rFonts w:cs="Times New Roman"/>
                    </w:rPr>
                    <w:t>m高排气筒排放（DA001）</w:t>
                  </w:r>
                </w:p>
              </w:tc>
            </w:tr>
            <w:tr w14:paraId="6A1F8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0" w:type="pct"/>
                  <w:shd w:val="clear" w:color="auto" w:fill="auto"/>
                  <w:vAlign w:val="center"/>
                </w:tcPr>
                <w:p w14:paraId="602DA671">
                  <w:pPr>
                    <w:pStyle w:val="12"/>
                    <w:ind w:firstLine="0" w:firstLineChars="0"/>
                    <w:rPr>
                      <w:rFonts w:hint="default" w:ascii="Times New Roman" w:hAnsi="Times New Roman" w:eastAsia="宋体" w:cs="Times New Roman"/>
                      <w:b w:val="0"/>
                      <w:bCs/>
                      <w:kern w:val="0"/>
                      <w:sz w:val="21"/>
                      <w:szCs w:val="24"/>
                      <w:lang w:val="en-US" w:eastAsia="zh-CN" w:bidi="ar-SA"/>
                    </w:rPr>
                  </w:pPr>
                  <w:r>
                    <w:rPr>
                      <w:rFonts w:cs="Times New Roman"/>
                      <w:kern w:val="21"/>
                    </w:rPr>
                    <w:t>G2</w:t>
                  </w:r>
                </w:p>
              </w:tc>
              <w:tc>
                <w:tcPr>
                  <w:tcW w:w="611" w:type="pct"/>
                  <w:vAlign w:val="center"/>
                </w:tcPr>
                <w:p w14:paraId="2BCF1B18">
                  <w:pPr>
                    <w:pStyle w:val="12"/>
                    <w:ind w:firstLine="0" w:firstLineChars="0"/>
                    <w:rPr>
                      <w:rFonts w:hint="eastAsia" w:cs="Times New Roman"/>
                      <w:lang w:val="en-US" w:eastAsia="zh-CN"/>
                    </w:rPr>
                  </w:pPr>
                  <w:r>
                    <w:rPr>
                      <w:rFonts w:hint="eastAsia" w:cs="Times New Roman"/>
                      <w:kern w:val="21"/>
                      <w:lang w:val="en-US" w:eastAsia="zh-CN"/>
                    </w:rPr>
                    <w:t>预处理药剂投加粉尘</w:t>
                  </w:r>
                </w:p>
              </w:tc>
              <w:tc>
                <w:tcPr>
                  <w:tcW w:w="712" w:type="pct"/>
                  <w:vAlign w:val="center"/>
                </w:tcPr>
                <w:p w14:paraId="22BCFFC3">
                  <w:pPr>
                    <w:pStyle w:val="12"/>
                    <w:ind w:firstLine="0" w:firstLineChars="0"/>
                    <w:rPr>
                      <w:rFonts w:hint="eastAsia" w:cs="Times New Roman"/>
                      <w:lang w:val="en-US" w:eastAsia="zh-CN"/>
                    </w:rPr>
                  </w:pPr>
                  <w:r>
                    <w:rPr>
                      <w:rFonts w:hint="eastAsia" w:cs="Times New Roman"/>
                      <w:lang w:val="en-US" w:eastAsia="zh-CN"/>
                    </w:rPr>
                    <w:t>水基岩屑预处理</w:t>
                  </w:r>
                </w:p>
              </w:tc>
              <w:tc>
                <w:tcPr>
                  <w:tcW w:w="677" w:type="pct"/>
                  <w:vAlign w:val="center"/>
                </w:tcPr>
                <w:p w14:paraId="0B134375">
                  <w:pPr>
                    <w:pStyle w:val="12"/>
                    <w:ind w:firstLine="0" w:firstLineChars="0"/>
                    <w:rPr>
                      <w:rFonts w:hint="eastAsia" w:cs="Times New Roman"/>
                      <w:lang w:val="en-US" w:eastAsia="zh-CN"/>
                    </w:rPr>
                  </w:pPr>
                  <w:r>
                    <w:rPr>
                      <w:rFonts w:hint="eastAsia" w:cs="Times New Roman"/>
                      <w:kern w:val="21"/>
                      <w:lang w:val="en-US" w:eastAsia="zh-CN"/>
                    </w:rPr>
                    <w:t>颗粒物</w:t>
                  </w:r>
                </w:p>
              </w:tc>
              <w:tc>
                <w:tcPr>
                  <w:tcW w:w="400" w:type="pct"/>
                  <w:vAlign w:val="center"/>
                </w:tcPr>
                <w:p w14:paraId="790A400B">
                  <w:pPr>
                    <w:pStyle w:val="12"/>
                    <w:ind w:firstLine="0" w:firstLineChars="0"/>
                    <w:rPr>
                      <w:rFonts w:hint="eastAsia" w:cs="Times New Roman"/>
                      <w:kern w:val="21"/>
                      <w:lang w:val="en-US" w:eastAsia="zh-CN"/>
                    </w:rPr>
                  </w:pPr>
                  <w:r>
                    <w:rPr>
                      <w:rFonts w:hint="eastAsia" w:cs="Times New Roman"/>
                      <w:kern w:val="21"/>
                      <w:lang w:val="en-US" w:eastAsia="zh-CN"/>
                    </w:rPr>
                    <w:t>间歇</w:t>
                  </w:r>
                </w:p>
              </w:tc>
              <w:tc>
                <w:tcPr>
                  <w:tcW w:w="1133" w:type="pct"/>
                  <w:vAlign w:val="center"/>
                </w:tcPr>
                <w:p w14:paraId="2CB0DD64">
                  <w:pPr>
                    <w:pStyle w:val="12"/>
                    <w:ind w:firstLine="0" w:firstLineChars="0"/>
                    <w:rPr>
                      <w:rFonts w:hint="eastAsia" w:cs="Times New Roman"/>
                      <w:lang w:val="en-US" w:eastAsia="zh-CN"/>
                    </w:rPr>
                  </w:pPr>
                  <w:r>
                    <w:rPr>
                      <w:rFonts w:hint="eastAsia" w:cs="Times New Roman"/>
                      <w:lang w:val="en-US" w:eastAsia="zh-CN"/>
                    </w:rPr>
                    <w:t>封闭式厂房+投料口围挡+投料口喷淋</w:t>
                  </w:r>
                </w:p>
              </w:tc>
              <w:tc>
                <w:tcPr>
                  <w:tcW w:w="1094" w:type="pct"/>
                  <w:vAlign w:val="center"/>
                </w:tcPr>
                <w:p w14:paraId="2D3317DE">
                  <w:pPr>
                    <w:pStyle w:val="12"/>
                    <w:ind w:firstLine="0" w:firstLineChars="0"/>
                    <w:rPr>
                      <w:rFonts w:hint="eastAsia" w:cs="Times New Roman"/>
                      <w:lang w:val="en-US" w:eastAsia="zh-CN"/>
                    </w:rPr>
                  </w:pPr>
                  <w:r>
                    <w:rPr>
                      <w:rFonts w:hint="eastAsia" w:cs="Times New Roman"/>
                      <w:lang w:val="en-US" w:eastAsia="zh-CN"/>
                    </w:rPr>
                    <w:t>厂房内无组织排放</w:t>
                  </w:r>
                </w:p>
              </w:tc>
            </w:tr>
            <w:tr w14:paraId="65C21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0" w:type="pct"/>
                  <w:shd w:val="clear" w:color="auto" w:fill="auto"/>
                  <w:vAlign w:val="center"/>
                </w:tcPr>
                <w:p w14:paraId="5A8A33BE">
                  <w:pPr>
                    <w:pStyle w:val="12"/>
                    <w:ind w:firstLine="0" w:firstLineChars="0"/>
                    <w:rPr>
                      <w:rFonts w:hint="default" w:ascii="Times New Roman" w:hAnsi="Times New Roman" w:eastAsia="宋体" w:cs="Times New Roman"/>
                      <w:b w:val="0"/>
                      <w:bCs/>
                      <w:kern w:val="0"/>
                      <w:sz w:val="21"/>
                      <w:szCs w:val="24"/>
                      <w:lang w:val="en-US" w:eastAsia="zh-CN" w:bidi="ar-SA"/>
                    </w:rPr>
                  </w:pPr>
                  <w:r>
                    <w:rPr>
                      <w:rFonts w:hint="eastAsia" w:cs="Times New Roman"/>
                      <w:lang w:val="en-US" w:eastAsia="zh-CN"/>
                    </w:rPr>
                    <w:t>G3</w:t>
                  </w:r>
                </w:p>
              </w:tc>
              <w:tc>
                <w:tcPr>
                  <w:tcW w:w="611" w:type="pct"/>
                  <w:vAlign w:val="center"/>
                </w:tcPr>
                <w:p w14:paraId="66FC434F">
                  <w:pPr>
                    <w:pStyle w:val="12"/>
                    <w:ind w:firstLine="0" w:firstLineChars="0"/>
                    <w:rPr>
                      <w:rFonts w:hint="default" w:cs="Times New Roman"/>
                      <w:kern w:val="21"/>
                      <w:lang w:val="en-US" w:eastAsia="zh-CN"/>
                    </w:rPr>
                  </w:pPr>
                  <w:r>
                    <w:rPr>
                      <w:rFonts w:hint="eastAsia" w:cs="Times New Roman"/>
                      <w:kern w:val="21"/>
                      <w:lang w:val="en-US" w:eastAsia="zh-CN"/>
                    </w:rPr>
                    <w:t>2号厂房异味</w:t>
                  </w:r>
                </w:p>
              </w:tc>
              <w:tc>
                <w:tcPr>
                  <w:tcW w:w="712" w:type="pct"/>
                  <w:vAlign w:val="center"/>
                </w:tcPr>
                <w:p w14:paraId="551B6068">
                  <w:pPr>
                    <w:pStyle w:val="12"/>
                    <w:ind w:firstLine="0" w:firstLineChars="0"/>
                    <w:rPr>
                      <w:rFonts w:hint="default" w:cs="Times New Roman"/>
                      <w:lang w:val="en-US" w:eastAsia="zh-CN"/>
                    </w:rPr>
                  </w:pPr>
                  <w:r>
                    <w:rPr>
                      <w:rFonts w:hint="eastAsia" w:cs="Times New Roman"/>
                      <w:lang w:val="en-US" w:eastAsia="zh-CN"/>
                    </w:rPr>
                    <w:t>水基岩屑暂存、压滤处理、滤液池储存</w:t>
                  </w:r>
                </w:p>
              </w:tc>
              <w:tc>
                <w:tcPr>
                  <w:tcW w:w="677" w:type="pct"/>
                  <w:vAlign w:val="center"/>
                </w:tcPr>
                <w:p w14:paraId="63A3ACA3">
                  <w:pPr>
                    <w:pStyle w:val="12"/>
                    <w:ind w:firstLine="0" w:firstLineChars="0"/>
                    <w:rPr>
                      <w:rFonts w:hint="default" w:cs="Times New Roman"/>
                      <w:kern w:val="21"/>
                      <w:lang w:val="en-US" w:eastAsia="zh-CN"/>
                    </w:rPr>
                  </w:pPr>
                  <w:r>
                    <w:rPr>
                      <w:rFonts w:hint="eastAsia" w:cs="Times New Roman"/>
                      <w:kern w:val="21"/>
                      <w:lang w:val="en-US" w:eastAsia="zh-CN"/>
                    </w:rPr>
                    <w:t>臭气浓度</w:t>
                  </w:r>
                </w:p>
              </w:tc>
              <w:tc>
                <w:tcPr>
                  <w:tcW w:w="400" w:type="pct"/>
                  <w:vAlign w:val="center"/>
                </w:tcPr>
                <w:p w14:paraId="41BBC489">
                  <w:pPr>
                    <w:pStyle w:val="12"/>
                    <w:ind w:firstLine="0" w:firstLineChars="0"/>
                    <w:rPr>
                      <w:rFonts w:hint="default" w:cs="Times New Roman"/>
                      <w:kern w:val="21"/>
                      <w:lang w:val="en-US" w:eastAsia="zh-CN"/>
                    </w:rPr>
                  </w:pPr>
                  <w:r>
                    <w:rPr>
                      <w:rFonts w:hint="eastAsia" w:cs="Times New Roman"/>
                      <w:kern w:val="21"/>
                      <w:lang w:val="en-US" w:eastAsia="zh-CN"/>
                    </w:rPr>
                    <w:t>连续</w:t>
                  </w:r>
                </w:p>
              </w:tc>
              <w:tc>
                <w:tcPr>
                  <w:tcW w:w="1133" w:type="pct"/>
                  <w:vAlign w:val="center"/>
                </w:tcPr>
                <w:p w14:paraId="262A5559">
                  <w:pPr>
                    <w:pStyle w:val="12"/>
                    <w:ind w:firstLine="0" w:firstLineChars="0"/>
                    <w:rPr>
                      <w:rFonts w:hint="default" w:cs="Times New Roman"/>
                      <w:lang w:val="en-US" w:eastAsia="zh-CN"/>
                    </w:rPr>
                  </w:pPr>
                  <w:r>
                    <w:rPr>
                      <w:rFonts w:hint="eastAsia" w:cs="Times New Roman"/>
                      <w:lang w:val="en-US" w:eastAsia="zh-CN"/>
                    </w:rPr>
                    <w:t>封闭式厂房+喷洒生物除臭剂</w:t>
                  </w:r>
                </w:p>
              </w:tc>
              <w:tc>
                <w:tcPr>
                  <w:tcW w:w="1094" w:type="pct"/>
                  <w:vAlign w:val="center"/>
                </w:tcPr>
                <w:p w14:paraId="05692772">
                  <w:pPr>
                    <w:pStyle w:val="12"/>
                    <w:ind w:firstLine="0" w:firstLineChars="0"/>
                    <w:rPr>
                      <w:rFonts w:hint="eastAsia" w:cs="Times New Roman"/>
                      <w:lang w:val="en-US" w:eastAsia="zh-CN"/>
                    </w:rPr>
                  </w:pPr>
                  <w:r>
                    <w:rPr>
                      <w:rFonts w:hint="eastAsia" w:cs="Times New Roman"/>
                      <w:lang w:val="en-US" w:eastAsia="zh-CN"/>
                    </w:rPr>
                    <w:t>厂房内无组织排放</w:t>
                  </w:r>
                </w:p>
              </w:tc>
            </w:tr>
            <w:tr w14:paraId="5BC87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0" w:type="pct"/>
                  <w:shd w:val="clear" w:color="auto" w:fill="auto"/>
                  <w:vAlign w:val="center"/>
                </w:tcPr>
                <w:p w14:paraId="5732DA64">
                  <w:pPr>
                    <w:pStyle w:val="12"/>
                    <w:ind w:firstLine="0" w:firstLineChars="0"/>
                    <w:rPr>
                      <w:rFonts w:hint="default" w:ascii="Times New Roman" w:hAnsi="Times New Roman" w:eastAsia="宋体" w:cs="Times New Roman"/>
                      <w:b w:val="0"/>
                      <w:bCs/>
                      <w:kern w:val="0"/>
                      <w:sz w:val="21"/>
                      <w:szCs w:val="24"/>
                      <w:lang w:val="en-US" w:eastAsia="zh-CN" w:bidi="ar-SA"/>
                    </w:rPr>
                  </w:pPr>
                  <w:r>
                    <w:rPr>
                      <w:rFonts w:hint="eastAsia" w:cs="Times New Roman"/>
                      <w:lang w:val="en-US" w:eastAsia="zh-CN"/>
                    </w:rPr>
                    <w:t>G4</w:t>
                  </w:r>
                </w:p>
              </w:tc>
              <w:tc>
                <w:tcPr>
                  <w:tcW w:w="611" w:type="pct"/>
                  <w:vAlign w:val="center"/>
                </w:tcPr>
                <w:p w14:paraId="66F16DDA">
                  <w:pPr>
                    <w:pStyle w:val="12"/>
                    <w:ind w:firstLine="0" w:firstLineChars="0"/>
                    <w:rPr>
                      <w:rFonts w:hint="eastAsia" w:cs="Times New Roman"/>
                      <w:kern w:val="21"/>
                      <w:lang w:val="en-US" w:eastAsia="zh-CN"/>
                    </w:rPr>
                  </w:pPr>
                  <w:r>
                    <w:rPr>
                      <w:rFonts w:hint="eastAsia" w:cs="Times New Roman"/>
                      <w:kern w:val="21"/>
                      <w:lang w:val="en-US" w:eastAsia="zh-CN"/>
                    </w:rPr>
                    <w:t>1号厂房异味</w:t>
                  </w:r>
                </w:p>
              </w:tc>
              <w:tc>
                <w:tcPr>
                  <w:tcW w:w="712" w:type="pct"/>
                  <w:vAlign w:val="center"/>
                </w:tcPr>
                <w:p w14:paraId="2D64B6F2">
                  <w:pPr>
                    <w:pStyle w:val="12"/>
                    <w:ind w:firstLine="0" w:firstLineChars="0"/>
                    <w:rPr>
                      <w:rFonts w:hint="eastAsia" w:cs="Times New Roman"/>
                      <w:lang w:val="en-US" w:eastAsia="zh-CN"/>
                    </w:rPr>
                  </w:pPr>
                  <w:r>
                    <w:rPr>
                      <w:rFonts w:hint="eastAsia" w:cs="Times New Roman"/>
                      <w:lang w:val="en-US" w:eastAsia="zh-CN"/>
                    </w:rPr>
                    <w:t>水基岩屑暂存</w:t>
                  </w:r>
                </w:p>
              </w:tc>
              <w:tc>
                <w:tcPr>
                  <w:tcW w:w="677" w:type="pct"/>
                  <w:vAlign w:val="center"/>
                </w:tcPr>
                <w:p w14:paraId="4A735F5A">
                  <w:pPr>
                    <w:pStyle w:val="12"/>
                    <w:ind w:firstLine="0" w:firstLineChars="0"/>
                    <w:rPr>
                      <w:rFonts w:hint="default" w:cs="Times New Roman"/>
                      <w:kern w:val="21"/>
                      <w:lang w:val="en-US" w:eastAsia="zh-CN"/>
                    </w:rPr>
                  </w:pPr>
                  <w:r>
                    <w:rPr>
                      <w:rFonts w:hint="eastAsia" w:cs="Times New Roman"/>
                      <w:kern w:val="21"/>
                      <w:lang w:val="en-US" w:eastAsia="zh-CN"/>
                    </w:rPr>
                    <w:t>臭气浓度</w:t>
                  </w:r>
                </w:p>
              </w:tc>
              <w:tc>
                <w:tcPr>
                  <w:tcW w:w="400" w:type="pct"/>
                  <w:vAlign w:val="center"/>
                </w:tcPr>
                <w:p w14:paraId="71F21BE0">
                  <w:pPr>
                    <w:pStyle w:val="12"/>
                    <w:ind w:firstLine="0" w:firstLineChars="0"/>
                    <w:rPr>
                      <w:rFonts w:hint="eastAsia" w:cs="Times New Roman"/>
                      <w:kern w:val="21"/>
                      <w:lang w:val="en-US" w:eastAsia="zh-CN"/>
                    </w:rPr>
                  </w:pPr>
                  <w:r>
                    <w:rPr>
                      <w:rFonts w:hint="eastAsia" w:cs="Times New Roman"/>
                      <w:kern w:val="21"/>
                      <w:lang w:val="en-US" w:eastAsia="zh-CN"/>
                    </w:rPr>
                    <w:t>连续</w:t>
                  </w:r>
                </w:p>
              </w:tc>
              <w:tc>
                <w:tcPr>
                  <w:tcW w:w="1133" w:type="pct"/>
                  <w:vAlign w:val="center"/>
                </w:tcPr>
                <w:p w14:paraId="361CBB0C">
                  <w:pPr>
                    <w:pStyle w:val="12"/>
                    <w:ind w:firstLine="0" w:firstLineChars="0"/>
                    <w:rPr>
                      <w:rFonts w:hint="eastAsia" w:cs="Times New Roman"/>
                      <w:lang w:val="en-US" w:eastAsia="zh-CN"/>
                    </w:rPr>
                  </w:pPr>
                  <w:r>
                    <w:rPr>
                      <w:rFonts w:hint="eastAsia" w:cs="Times New Roman"/>
                      <w:lang w:val="en-US" w:eastAsia="zh-CN"/>
                    </w:rPr>
                    <w:t>封闭式厂房+喷洒生物除臭剂</w:t>
                  </w:r>
                </w:p>
              </w:tc>
              <w:tc>
                <w:tcPr>
                  <w:tcW w:w="1094" w:type="pct"/>
                  <w:vAlign w:val="center"/>
                </w:tcPr>
                <w:p w14:paraId="4141962A">
                  <w:pPr>
                    <w:pStyle w:val="12"/>
                    <w:ind w:firstLine="0" w:firstLineChars="0"/>
                    <w:rPr>
                      <w:rFonts w:hint="eastAsia" w:cs="Times New Roman"/>
                      <w:lang w:val="en-US" w:eastAsia="zh-CN"/>
                    </w:rPr>
                  </w:pPr>
                  <w:r>
                    <w:rPr>
                      <w:rFonts w:hint="eastAsia" w:cs="Times New Roman"/>
                      <w:lang w:val="en-US" w:eastAsia="zh-CN"/>
                    </w:rPr>
                    <w:t>厂房内无组织排放</w:t>
                  </w:r>
                </w:p>
              </w:tc>
            </w:tr>
            <w:tr w14:paraId="28F0D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0" w:type="pct"/>
                  <w:shd w:val="clear" w:color="auto" w:fill="auto"/>
                  <w:vAlign w:val="center"/>
                </w:tcPr>
                <w:p w14:paraId="20636587">
                  <w:pPr>
                    <w:pStyle w:val="12"/>
                    <w:ind w:firstLine="0" w:firstLineChars="0"/>
                    <w:rPr>
                      <w:rFonts w:hint="default" w:ascii="Times New Roman" w:hAnsi="Times New Roman" w:eastAsia="宋体" w:cs="Times New Roman"/>
                      <w:b w:val="0"/>
                      <w:bCs/>
                      <w:kern w:val="0"/>
                      <w:sz w:val="21"/>
                      <w:szCs w:val="24"/>
                      <w:lang w:val="en-US" w:eastAsia="zh-CN" w:bidi="ar-SA"/>
                    </w:rPr>
                  </w:pPr>
                  <w:r>
                    <w:rPr>
                      <w:rFonts w:hint="eastAsia" w:cs="Times New Roman"/>
                      <w:lang w:val="en-US" w:eastAsia="zh-CN"/>
                    </w:rPr>
                    <w:t>G5</w:t>
                  </w:r>
                </w:p>
              </w:tc>
              <w:tc>
                <w:tcPr>
                  <w:tcW w:w="611" w:type="pct"/>
                  <w:vAlign w:val="center"/>
                </w:tcPr>
                <w:p w14:paraId="73B77380">
                  <w:pPr>
                    <w:pStyle w:val="12"/>
                    <w:rPr>
                      <w:rFonts w:hint="default" w:cs="Times New Roman"/>
                      <w:lang w:val="en-US" w:eastAsia="zh-CN"/>
                    </w:rPr>
                  </w:pPr>
                  <w:r>
                    <w:rPr>
                      <w:rFonts w:hint="eastAsia" w:cs="Times New Roman"/>
                      <w:lang w:val="en-US" w:eastAsia="zh-CN"/>
                    </w:rPr>
                    <w:t>水泥筒仓粉尘</w:t>
                  </w:r>
                </w:p>
              </w:tc>
              <w:tc>
                <w:tcPr>
                  <w:tcW w:w="712" w:type="pct"/>
                  <w:vAlign w:val="center"/>
                </w:tcPr>
                <w:p w14:paraId="5432A0C9">
                  <w:pPr>
                    <w:pStyle w:val="12"/>
                    <w:rPr>
                      <w:rFonts w:hint="default" w:cs="Times New Roman"/>
                      <w:lang w:val="en-US" w:eastAsia="zh-CN"/>
                    </w:rPr>
                  </w:pPr>
                  <w:r>
                    <w:rPr>
                      <w:rFonts w:hint="eastAsia" w:cs="Times New Roman"/>
                      <w:lang w:val="en-US" w:eastAsia="zh-CN"/>
                    </w:rPr>
                    <w:t>水泥装卸、暂存</w:t>
                  </w:r>
                </w:p>
              </w:tc>
              <w:tc>
                <w:tcPr>
                  <w:tcW w:w="677" w:type="pct"/>
                  <w:vAlign w:val="center"/>
                </w:tcPr>
                <w:p w14:paraId="2D3F2B8D">
                  <w:pPr>
                    <w:pStyle w:val="12"/>
                    <w:rPr>
                      <w:rFonts w:hint="eastAsia" w:eastAsia="宋体" w:cs="Times New Roman"/>
                      <w:lang w:val="en-US" w:eastAsia="zh-CN"/>
                    </w:rPr>
                  </w:pPr>
                  <w:r>
                    <w:rPr>
                      <w:rFonts w:hint="eastAsia" w:cs="Times New Roman"/>
                      <w:lang w:val="en-US" w:eastAsia="zh-CN"/>
                    </w:rPr>
                    <w:t>颗粒物</w:t>
                  </w:r>
                </w:p>
              </w:tc>
              <w:tc>
                <w:tcPr>
                  <w:tcW w:w="400" w:type="pct"/>
                  <w:vAlign w:val="center"/>
                </w:tcPr>
                <w:p w14:paraId="0F8986EE">
                  <w:pPr>
                    <w:pStyle w:val="12"/>
                    <w:rPr>
                      <w:rFonts w:hint="eastAsia" w:eastAsia="宋体" w:cs="Times New Roman"/>
                      <w:kern w:val="21"/>
                      <w:lang w:val="en-US" w:eastAsia="zh-CN"/>
                    </w:rPr>
                  </w:pPr>
                  <w:r>
                    <w:rPr>
                      <w:rFonts w:hint="eastAsia" w:cs="Times New Roman"/>
                      <w:kern w:val="21"/>
                      <w:lang w:val="en-US" w:eastAsia="zh-CN"/>
                    </w:rPr>
                    <w:t>间歇</w:t>
                  </w:r>
                </w:p>
              </w:tc>
              <w:tc>
                <w:tcPr>
                  <w:tcW w:w="1133" w:type="pct"/>
                  <w:vAlign w:val="center"/>
                </w:tcPr>
                <w:p w14:paraId="2218F1DB">
                  <w:pPr>
                    <w:pStyle w:val="12"/>
                    <w:rPr>
                      <w:rFonts w:hint="default" w:eastAsia="宋体" w:cs="Times New Roman"/>
                      <w:lang w:val="en-US" w:eastAsia="zh-CN"/>
                    </w:rPr>
                  </w:pPr>
                  <w:r>
                    <w:rPr>
                      <w:rFonts w:hint="eastAsia" w:cs="Times New Roman"/>
                      <w:lang w:val="en-US" w:eastAsia="zh-CN"/>
                    </w:rPr>
                    <w:t>筒仓自带布袋除尘设施处理+封闭式厂房</w:t>
                  </w:r>
                </w:p>
              </w:tc>
              <w:tc>
                <w:tcPr>
                  <w:tcW w:w="1094" w:type="pct"/>
                  <w:vAlign w:val="center"/>
                </w:tcPr>
                <w:p w14:paraId="285AD659">
                  <w:pPr>
                    <w:pStyle w:val="12"/>
                    <w:rPr>
                      <w:rFonts w:hint="default" w:eastAsia="宋体" w:cs="Times New Roman"/>
                      <w:lang w:val="en-US" w:eastAsia="zh-CN"/>
                    </w:rPr>
                  </w:pPr>
                  <w:r>
                    <w:rPr>
                      <w:rFonts w:hint="eastAsia" w:cs="Times New Roman"/>
                      <w:lang w:val="en-US" w:eastAsia="zh-CN"/>
                    </w:rPr>
                    <w:t>厂房内无组织排放</w:t>
                  </w:r>
                </w:p>
              </w:tc>
            </w:tr>
            <w:tr w14:paraId="1B1D3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0" w:type="pct"/>
                  <w:shd w:val="clear" w:color="auto" w:fill="auto"/>
                  <w:vAlign w:val="center"/>
                </w:tcPr>
                <w:p w14:paraId="5968185D">
                  <w:pPr>
                    <w:pStyle w:val="12"/>
                    <w:ind w:firstLine="0" w:firstLineChars="0"/>
                    <w:rPr>
                      <w:rFonts w:hint="eastAsia" w:ascii="Times New Roman" w:hAnsi="Times New Roman" w:eastAsia="宋体" w:cs="Times New Roman"/>
                      <w:b w:val="0"/>
                      <w:bCs/>
                      <w:kern w:val="0"/>
                      <w:sz w:val="21"/>
                      <w:szCs w:val="24"/>
                      <w:lang w:val="en-US" w:eastAsia="zh-CN" w:bidi="ar-SA"/>
                    </w:rPr>
                  </w:pPr>
                  <w:r>
                    <w:rPr>
                      <w:rFonts w:hint="eastAsia" w:cs="Times New Roman"/>
                      <w:lang w:val="en-US" w:eastAsia="zh-CN"/>
                    </w:rPr>
                    <w:t>G6</w:t>
                  </w:r>
                </w:p>
              </w:tc>
              <w:tc>
                <w:tcPr>
                  <w:tcW w:w="611" w:type="pct"/>
                  <w:vAlign w:val="center"/>
                </w:tcPr>
                <w:p w14:paraId="5F014224">
                  <w:pPr>
                    <w:pStyle w:val="12"/>
                    <w:ind w:firstLine="0" w:firstLineChars="0"/>
                    <w:rPr>
                      <w:rFonts w:hint="eastAsia" w:cs="Times New Roman"/>
                      <w:lang w:val="en-US" w:eastAsia="zh-CN"/>
                    </w:rPr>
                  </w:pPr>
                  <w:r>
                    <w:rPr>
                      <w:rFonts w:hint="eastAsia" w:cs="Times New Roman"/>
                      <w:lang w:val="en-US" w:eastAsia="zh-CN"/>
                    </w:rPr>
                    <w:t>水稳层骨料仓粉尘</w:t>
                  </w:r>
                </w:p>
              </w:tc>
              <w:tc>
                <w:tcPr>
                  <w:tcW w:w="712" w:type="pct"/>
                  <w:vAlign w:val="center"/>
                </w:tcPr>
                <w:p w14:paraId="6068DA17">
                  <w:pPr>
                    <w:pStyle w:val="12"/>
                    <w:ind w:firstLine="0" w:firstLineChars="0"/>
                    <w:rPr>
                      <w:rFonts w:hint="eastAsia" w:cs="Times New Roman"/>
                      <w:lang w:val="en-US" w:eastAsia="zh-CN"/>
                    </w:rPr>
                  </w:pPr>
                  <w:r>
                    <w:rPr>
                      <w:rFonts w:hint="eastAsia" w:cs="Times New Roman"/>
                      <w:lang w:val="en-US" w:eastAsia="zh-CN"/>
                    </w:rPr>
                    <w:t>水稳层骨料装卸、暂存</w:t>
                  </w:r>
                </w:p>
              </w:tc>
              <w:tc>
                <w:tcPr>
                  <w:tcW w:w="677" w:type="pct"/>
                  <w:vAlign w:val="center"/>
                </w:tcPr>
                <w:p w14:paraId="1DF95551">
                  <w:pPr>
                    <w:pStyle w:val="12"/>
                    <w:ind w:firstLine="0" w:firstLineChars="0"/>
                    <w:rPr>
                      <w:rFonts w:hint="eastAsia" w:cs="Times New Roman"/>
                      <w:lang w:val="en-US" w:eastAsia="zh-CN"/>
                    </w:rPr>
                  </w:pPr>
                  <w:r>
                    <w:rPr>
                      <w:rFonts w:hint="eastAsia" w:cs="Times New Roman"/>
                      <w:lang w:val="en-US" w:eastAsia="zh-CN"/>
                    </w:rPr>
                    <w:t>颗粒物</w:t>
                  </w:r>
                </w:p>
              </w:tc>
              <w:tc>
                <w:tcPr>
                  <w:tcW w:w="400" w:type="pct"/>
                  <w:vAlign w:val="center"/>
                </w:tcPr>
                <w:p w14:paraId="27E7B5DE">
                  <w:pPr>
                    <w:pStyle w:val="12"/>
                    <w:ind w:firstLine="0" w:firstLineChars="0"/>
                    <w:rPr>
                      <w:rFonts w:hint="eastAsia" w:cs="Times New Roman"/>
                      <w:kern w:val="21"/>
                      <w:lang w:val="en-US" w:eastAsia="zh-CN"/>
                    </w:rPr>
                  </w:pPr>
                  <w:r>
                    <w:rPr>
                      <w:rFonts w:hint="eastAsia" w:cs="Times New Roman"/>
                      <w:kern w:val="21"/>
                      <w:lang w:val="en-US" w:eastAsia="zh-CN"/>
                    </w:rPr>
                    <w:t>间歇</w:t>
                  </w:r>
                </w:p>
              </w:tc>
              <w:tc>
                <w:tcPr>
                  <w:tcW w:w="1133" w:type="pct"/>
                  <w:vAlign w:val="center"/>
                </w:tcPr>
                <w:p w14:paraId="29ECAF47">
                  <w:pPr>
                    <w:pStyle w:val="12"/>
                    <w:ind w:firstLine="0" w:firstLineChars="0"/>
                    <w:rPr>
                      <w:rFonts w:hint="default" w:cs="Times New Roman"/>
                      <w:lang w:val="en-US" w:eastAsia="zh-CN"/>
                    </w:rPr>
                  </w:pPr>
                  <w:r>
                    <w:rPr>
                      <w:rFonts w:hint="eastAsia" w:cs="Times New Roman"/>
                      <w:lang w:val="en-US" w:eastAsia="zh-CN"/>
                    </w:rPr>
                    <w:t>筒仓自带布袋除尘设施处理+封闭式厂房</w:t>
                  </w:r>
                </w:p>
              </w:tc>
              <w:tc>
                <w:tcPr>
                  <w:tcW w:w="1094" w:type="pct"/>
                  <w:vAlign w:val="center"/>
                </w:tcPr>
                <w:p w14:paraId="76173CB5">
                  <w:pPr>
                    <w:pStyle w:val="12"/>
                    <w:ind w:firstLine="0" w:firstLineChars="0"/>
                    <w:rPr>
                      <w:rFonts w:hint="eastAsia" w:cs="Times New Roman"/>
                      <w:lang w:val="en-US" w:eastAsia="zh-CN"/>
                    </w:rPr>
                  </w:pPr>
                  <w:r>
                    <w:rPr>
                      <w:rFonts w:hint="eastAsia" w:cs="Times New Roman"/>
                      <w:lang w:val="en-US" w:eastAsia="zh-CN"/>
                    </w:rPr>
                    <w:t>厂房内无组织排放</w:t>
                  </w:r>
                </w:p>
              </w:tc>
            </w:tr>
            <w:tr w14:paraId="51969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0" w:type="pct"/>
                  <w:shd w:val="clear" w:color="auto" w:fill="auto"/>
                  <w:vAlign w:val="center"/>
                </w:tcPr>
                <w:p w14:paraId="7120B5F4">
                  <w:pPr>
                    <w:pStyle w:val="12"/>
                    <w:ind w:firstLine="0" w:firstLineChars="0"/>
                    <w:rPr>
                      <w:rFonts w:hint="default" w:ascii="Times New Roman" w:hAnsi="Times New Roman" w:eastAsia="宋体" w:cs="Times New Roman"/>
                      <w:b w:val="0"/>
                      <w:bCs/>
                      <w:kern w:val="0"/>
                      <w:sz w:val="21"/>
                      <w:szCs w:val="24"/>
                      <w:lang w:val="en-US" w:eastAsia="zh-CN" w:bidi="ar-SA"/>
                    </w:rPr>
                  </w:pPr>
                  <w:r>
                    <w:rPr>
                      <w:rFonts w:hint="eastAsia" w:cs="Times New Roman"/>
                      <w:lang w:val="en-US" w:eastAsia="zh-CN"/>
                    </w:rPr>
                    <w:t>G7</w:t>
                  </w:r>
                </w:p>
              </w:tc>
              <w:tc>
                <w:tcPr>
                  <w:tcW w:w="611" w:type="pct"/>
                  <w:vAlign w:val="center"/>
                </w:tcPr>
                <w:p w14:paraId="685BBF9D">
                  <w:pPr>
                    <w:pStyle w:val="12"/>
                    <w:rPr>
                      <w:rFonts w:hint="default" w:cs="Times New Roman"/>
                      <w:kern w:val="21"/>
                      <w:lang w:val="en-US" w:eastAsia="zh-CN"/>
                    </w:rPr>
                  </w:pPr>
                  <w:r>
                    <w:rPr>
                      <w:rFonts w:hint="eastAsia" w:cs="Times New Roman"/>
                      <w:kern w:val="21"/>
                      <w:lang w:val="en-US" w:eastAsia="zh-CN"/>
                    </w:rPr>
                    <w:t>砂石堆存区粉尘</w:t>
                  </w:r>
                </w:p>
              </w:tc>
              <w:tc>
                <w:tcPr>
                  <w:tcW w:w="712" w:type="pct"/>
                  <w:vAlign w:val="center"/>
                </w:tcPr>
                <w:p w14:paraId="4EA8576F">
                  <w:pPr>
                    <w:pStyle w:val="12"/>
                    <w:rPr>
                      <w:rFonts w:hint="default" w:cs="Times New Roman"/>
                      <w:lang w:val="en-US" w:eastAsia="zh-CN"/>
                    </w:rPr>
                  </w:pPr>
                  <w:r>
                    <w:rPr>
                      <w:rFonts w:hint="eastAsia" w:cs="Times New Roman"/>
                      <w:lang w:val="en-US" w:eastAsia="zh-CN"/>
                    </w:rPr>
                    <w:t>砂石装卸</w:t>
                  </w:r>
                </w:p>
              </w:tc>
              <w:tc>
                <w:tcPr>
                  <w:tcW w:w="677" w:type="pct"/>
                  <w:vAlign w:val="center"/>
                </w:tcPr>
                <w:p w14:paraId="3E4BB511">
                  <w:pPr>
                    <w:pStyle w:val="12"/>
                    <w:rPr>
                      <w:rFonts w:hint="eastAsia" w:eastAsia="宋体" w:cs="Times New Roman"/>
                      <w:kern w:val="21"/>
                      <w:lang w:val="en-US" w:eastAsia="zh-CN"/>
                    </w:rPr>
                  </w:pPr>
                  <w:r>
                    <w:rPr>
                      <w:rFonts w:hint="eastAsia" w:cs="Times New Roman"/>
                      <w:kern w:val="21"/>
                      <w:lang w:val="en-US" w:eastAsia="zh-CN"/>
                    </w:rPr>
                    <w:t>颗粒物</w:t>
                  </w:r>
                </w:p>
              </w:tc>
              <w:tc>
                <w:tcPr>
                  <w:tcW w:w="400" w:type="pct"/>
                  <w:vAlign w:val="center"/>
                </w:tcPr>
                <w:p w14:paraId="01BF2C3E">
                  <w:pPr>
                    <w:pStyle w:val="12"/>
                    <w:rPr>
                      <w:rFonts w:hint="default" w:eastAsia="宋体" w:cs="Times New Roman"/>
                      <w:kern w:val="21"/>
                      <w:lang w:val="en-US" w:eastAsia="zh-CN"/>
                    </w:rPr>
                  </w:pPr>
                  <w:r>
                    <w:rPr>
                      <w:rFonts w:hint="eastAsia" w:cs="Times New Roman"/>
                      <w:kern w:val="21"/>
                      <w:lang w:val="en-US" w:eastAsia="zh-CN"/>
                    </w:rPr>
                    <w:t>间歇</w:t>
                  </w:r>
                </w:p>
              </w:tc>
              <w:tc>
                <w:tcPr>
                  <w:tcW w:w="1133" w:type="pct"/>
                  <w:vAlign w:val="center"/>
                </w:tcPr>
                <w:p w14:paraId="18007C0F">
                  <w:pPr>
                    <w:pStyle w:val="12"/>
                    <w:rPr>
                      <w:rFonts w:hint="default" w:cs="Times New Roman"/>
                      <w:lang w:val="en-US" w:eastAsia="zh-CN"/>
                    </w:rPr>
                  </w:pPr>
                  <w:r>
                    <w:rPr>
                      <w:rFonts w:hint="eastAsia" w:cs="Times New Roman"/>
                      <w:lang w:val="en-US" w:eastAsia="zh-CN"/>
                    </w:rPr>
                    <w:t>喷雾降尘+封闭式厂房</w:t>
                  </w:r>
                </w:p>
              </w:tc>
              <w:tc>
                <w:tcPr>
                  <w:tcW w:w="1094" w:type="pct"/>
                  <w:vAlign w:val="center"/>
                </w:tcPr>
                <w:p w14:paraId="5FD583B0">
                  <w:pPr>
                    <w:pStyle w:val="12"/>
                    <w:rPr>
                      <w:rFonts w:hint="eastAsia" w:cs="Times New Roman"/>
                      <w:lang w:val="en-US" w:eastAsia="zh-CN"/>
                    </w:rPr>
                  </w:pPr>
                  <w:r>
                    <w:rPr>
                      <w:rFonts w:hint="eastAsia" w:cs="Times New Roman"/>
                      <w:lang w:val="en-US" w:eastAsia="zh-CN"/>
                    </w:rPr>
                    <w:t>厂房内无组织排放</w:t>
                  </w:r>
                </w:p>
              </w:tc>
            </w:tr>
            <w:tr w14:paraId="04027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0" w:type="pct"/>
                  <w:vAlign w:val="center"/>
                </w:tcPr>
                <w:p w14:paraId="486BFDDD">
                  <w:pPr>
                    <w:pStyle w:val="12"/>
                    <w:rPr>
                      <w:rFonts w:hint="default" w:cs="Times New Roman"/>
                      <w:kern w:val="21"/>
                      <w:lang w:val="en-US" w:eastAsia="zh-CN"/>
                    </w:rPr>
                  </w:pPr>
                  <w:r>
                    <w:rPr>
                      <w:rFonts w:hint="eastAsia" w:cs="Times New Roman"/>
                      <w:kern w:val="21"/>
                      <w:lang w:val="en-US" w:eastAsia="zh-CN"/>
                    </w:rPr>
                    <w:t>/</w:t>
                  </w:r>
                </w:p>
              </w:tc>
              <w:tc>
                <w:tcPr>
                  <w:tcW w:w="611" w:type="pct"/>
                  <w:vAlign w:val="center"/>
                </w:tcPr>
                <w:p w14:paraId="5AC3894A">
                  <w:pPr>
                    <w:pStyle w:val="12"/>
                    <w:rPr>
                      <w:rFonts w:hint="default" w:cs="Times New Roman"/>
                      <w:kern w:val="21"/>
                      <w:lang w:val="en-US" w:eastAsia="zh-CN"/>
                    </w:rPr>
                  </w:pPr>
                  <w:r>
                    <w:rPr>
                      <w:rFonts w:hint="eastAsia" w:cs="Times New Roman"/>
                      <w:kern w:val="21"/>
                      <w:lang w:val="en-US" w:eastAsia="zh-CN"/>
                    </w:rPr>
                    <w:t>食堂油烟</w:t>
                  </w:r>
                </w:p>
              </w:tc>
              <w:tc>
                <w:tcPr>
                  <w:tcW w:w="712" w:type="pct"/>
                  <w:vAlign w:val="center"/>
                </w:tcPr>
                <w:p w14:paraId="5A47F186">
                  <w:pPr>
                    <w:pStyle w:val="12"/>
                    <w:rPr>
                      <w:rFonts w:hint="default" w:cs="Times New Roman"/>
                      <w:lang w:val="en-US" w:eastAsia="zh-CN"/>
                    </w:rPr>
                  </w:pPr>
                  <w:r>
                    <w:rPr>
                      <w:rFonts w:hint="eastAsia" w:cs="Times New Roman"/>
                      <w:lang w:val="en-US" w:eastAsia="zh-CN"/>
                    </w:rPr>
                    <w:t>食堂</w:t>
                  </w:r>
                </w:p>
              </w:tc>
              <w:tc>
                <w:tcPr>
                  <w:tcW w:w="677" w:type="pct"/>
                  <w:vAlign w:val="center"/>
                </w:tcPr>
                <w:p w14:paraId="0CBB0A42">
                  <w:pPr>
                    <w:pStyle w:val="12"/>
                    <w:rPr>
                      <w:rFonts w:hint="default" w:cs="Times New Roman"/>
                      <w:kern w:val="21"/>
                      <w:lang w:val="en-US" w:eastAsia="zh-CN"/>
                    </w:rPr>
                  </w:pPr>
                  <w:r>
                    <w:rPr>
                      <w:rFonts w:hint="eastAsia" w:cs="Times New Roman"/>
                      <w:kern w:val="21"/>
                      <w:lang w:val="en-US" w:eastAsia="zh-CN"/>
                    </w:rPr>
                    <w:t>油烟</w:t>
                  </w:r>
                </w:p>
              </w:tc>
              <w:tc>
                <w:tcPr>
                  <w:tcW w:w="400" w:type="pct"/>
                  <w:vAlign w:val="center"/>
                </w:tcPr>
                <w:p w14:paraId="64E5A0AC">
                  <w:pPr>
                    <w:pStyle w:val="12"/>
                    <w:rPr>
                      <w:rFonts w:hint="default" w:cs="Times New Roman"/>
                      <w:kern w:val="21"/>
                      <w:lang w:val="en-US" w:eastAsia="zh-CN"/>
                    </w:rPr>
                  </w:pPr>
                  <w:r>
                    <w:rPr>
                      <w:rFonts w:hint="eastAsia" w:cs="Times New Roman"/>
                      <w:kern w:val="21"/>
                      <w:lang w:val="en-US" w:eastAsia="zh-CN"/>
                    </w:rPr>
                    <w:t>间歇</w:t>
                  </w:r>
                </w:p>
              </w:tc>
              <w:tc>
                <w:tcPr>
                  <w:tcW w:w="1133" w:type="pct"/>
                  <w:vAlign w:val="center"/>
                </w:tcPr>
                <w:p w14:paraId="483B627D">
                  <w:pPr>
                    <w:pStyle w:val="12"/>
                    <w:rPr>
                      <w:rFonts w:hint="default" w:cs="Times New Roman"/>
                      <w:lang w:val="en-US" w:eastAsia="zh-CN"/>
                    </w:rPr>
                  </w:pPr>
                  <w:r>
                    <w:rPr>
                      <w:rFonts w:hint="eastAsia" w:cs="Times New Roman"/>
                      <w:lang w:val="en-US" w:eastAsia="zh-CN"/>
                    </w:rPr>
                    <w:t>油烟净化器</w:t>
                  </w:r>
                </w:p>
              </w:tc>
              <w:tc>
                <w:tcPr>
                  <w:tcW w:w="1094" w:type="pct"/>
                  <w:vAlign w:val="center"/>
                </w:tcPr>
                <w:p w14:paraId="52B55897">
                  <w:pPr>
                    <w:pStyle w:val="12"/>
                    <w:rPr>
                      <w:rFonts w:hint="default" w:cs="Times New Roman"/>
                      <w:lang w:val="en-US" w:eastAsia="zh-CN"/>
                    </w:rPr>
                  </w:pPr>
                  <w:r>
                    <w:rPr>
                      <w:rFonts w:hint="eastAsia" w:cs="Times New Roman"/>
                      <w:lang w:val="en-US" w:eastAsia="zh-CN"/>
                    </w:rPr>
                    <w:t>风管引至楼顶排放</w:t>
                  </w:r>
                </w:p>
              </w:tc>
            </w:tr>
          </w:tbl>
          <w:p w14:paraId="4204F55E">
            <w:pPr>
              <w:pStyle w:val="11"/>
              <w:keepNext/>
              <w:rPr>
                <w:rFonts w:cs="Times New Roman"/>
              </w:rPr>
            </w:pPr>
          </w:p>
          <w:p w14:paraId="06407910">
            <w:pPr>
              <w:rPr>
                <w:rFonts w:cs="Times New Roman"/>
              </w:rPr>
            </w:pPr>
          </w:p>
          <w:p w14:paraId="7B5C2CBC">
            <w:pPr>
              <w:rPr>
                <w:rFonts w:cs="Times New Roman"/>
              </w:rPr>
            </w:pPr>
          </w:p>
          <w:p w14:paraId="011B3E4F">
            <w:pPr>
              <w:pStyle w:val="16"/>
              <w:rPr>
                <w:rFonts w:cs="Times New Roman"/>
              </w:rPr>
            </w:pPr>
          </w:p>
          <w:p w14:paraId="2FC0A518">
            <w:pPr>
              <w:pStyle w:val="17"/>
              <w:rPr>
                <w:rFonts w:cs="Times New Roman"/>
              </w:rPr>
            </w:pPr>
          </w:p>
          <w:p w14:paraId="05D287C1">
            <w:pPr>
              <w:pStyle w:val="16"/>
              <w:ind w:firstLine="0" w:firstLineChars="0"/>
            </w:pPr>
          </w:p>
          <w:p w14:paraId="0E342281">
            <w:pPr>
              <w:ind w:firstLine="0" w:firstLineChars="0"/>
              <w:rPr>
                <w:rFonts w:cs="Times New Roman"/>
              </w:rPr>
            </w:pPr>
          </w:p>
          <w:bookmarkEnd w:id="59"/>
          <w:bookmarkEnd w:id="60"/>
          <w:p w14:paraId="154F6C5B">
            <w:pPr>
              <w:pStyle w:val="11"/>
            </w:pPr>
            <w:r>
              <w:rPr>
                <w:color w:val="auto"/>
              </w:rPr>
              <w:object>
                <v:shape id="_x0000_i1027" o:spt="75" type="#_x0000_t75" style="height:433.95pt;width:446.45pt;" o:ole="t" filled="f" o:preferrelative="t" stroked="f" coordsize="21600,21600">
                  <v:path/>
                  <v:fill on="f" focussize="0,0"/>
                  <v:stroke on="f"/>
                  <v:imagedata r:id="rId32" o:title=""/>
                  <o:lock v:ext="edit" aspectratio="f"/>
                  <w10:wrap type="none"/>
                  <w10:anchorlock/>
                </v:shape>
                <o:OLEObject Type="Embed" ProgID="Visio.Drawing.15" ShapeID="_x0000_i1027" DrawAspect="Content" ObjectID="_1468075727" r:id="rId31">
                  <o:LockedField>false</o:LockedField>
                </o:OLEObject>
              </w:object>
            </w:r>
            <w:r>
              <w:rPr>
                <w:rFonts w:hint="eastAsia"/>
                <w:color w:val="auto"/>
                <w:lang w:val="en-US" w:eastAsia="zh-CN"/>
              </w:rPr>
              <w:t>图</w:t>
            </w:r>
            <w:r>
              <w:rPr>
                <w:color w:val="auto"/>
              </w:rPr>
              <w:fldChar w:fldCharType="begin"/>
            </w:r>
            <w:r>
              <w:rPr>
                <w:color w:val="auto"/>
              </w:rPr>
              <w:instrText xml:space="preserve"> SEQ seq \c </w:instrText>
            </w:r>
            <w:r>
              <w:rPr>
                <w:color w:val="auto"/>
              </w:rPr>
              <w:fldChar w:fldCharType="separate"/>
            </w:r>
            <w:r>
              <w:rPr>
                <w:color w:val="auto"/>
              </w:rPr>
              <w:t>4</w:t>
            </w:r>
            <w:r>
              <w:rPr>
                <w:color w:val="auto"/>
              </w:rPr>
              <w:fldChar w:fldCharType="end"/>
            </w:r>
            <w:r>
              <w:rPr>
                <w:color w:val="auto"/>
              </w:rPr>
              <w:noBreakHyphen/>
            </w:r>
            <w:r>
              <w:rPr>
                <w:color w:val="auto"/>
              </w:rPr>
              <w:fldChar w:fldCharType="begin"/>
            </w:r>
            <w:r>
              <w:rPr>
                <w:color w:val="auto"/>
              </w:rPr>
              <w:instrText xml:space="preserve"> SEQ 图 \* ARABIC \s 1 </w:instrText>
            </w:r>
            <w:r>
              <w:rPr>
                <w:color w:val="auto"/>
              </w:rPr>
              <w:fldChar w:fldCharType="separate"/>
            </w:r>
            <w:r>
              <w:rPr>
                <w:color w:val="auto"/>
              </w:rPr>
              <w:t>1</w:t>
            </w:r>
            <w:r>
              <w:rPr>
                <w:color w:val="auto"/>
              </w:rPr>
              <w:fldChar w:fldCharType="end"/>
            </w:r>
            <w:r>
              <w:rPr>
                <w:color w:val="auto"/>
              </w:rPr>
              <w:t xml:space="preserve"> </w:t>
            </w:r>
            <w:r>
              <w:rPr>
                <w:rFonts w:hint="eastAsia"/>
                <w:color w:val="auto"/>
              </w:rPr>
              <w:t>废气产生、治理、排放流程图</w:t>
            </w:r>
          </w:p>
          <w:p w14:paraId="1D8252B2">
            <w:pPr>
              <w:ind w:left="0" w:leftChars="0" w:firstLine="0" w:firstLineChars="0"/>
              <w:rPr>
                <w:rFonts w:cs="Times New Roman"/>
              </w:rPr>
            </w:pPr>
          </w:p>
          <w:p w14:paraId="27B090A4">
            <w:pPr>
              <w:ind w:left="0" w:leftChars="0" w:firstLine="0" w:firstLineChars="0"/>
              <w:rPr>
                <w:rFonts w:cs="Times New Roman"/>
              </w:rPr>
            </w:pPr>
          </w:p>
          <w:p w14:paraId="557E6CB2">
            <w:pPr>
              <w:ind w:left="0" w:leftChars="0" w:firstLine="0" w:firstLineChars="0"/>
              <w:rPr>
                <w:rFonts w:cs="Times New Roman"/>
              </w:rPr>
            </w:pPr>
          </w:p>
          <w:p w14:paraId="0F72E510">
            <w:pPr>
              <w:ind w:left="0" w:leftChars="0" w:firstLine="0" w:firstLineChars="0"/>
              <w:rPr>
                <w:rFonts w:cs="Times New Roman"/>
              </w:rPr>
            </w:pPr>
          </w:p>
          <w:p w14:paraId="036F54D6">
            <w:pPr>
              <w:ind w:left="0" w:leftChars="0" w:firstLine="0" w:firstLineChars="0"/>
              <w:rPr>
                <w:rFonts w:cs="Times New Roman"/>
              </w:rPr>
            </w:pPr>
          </w:p>
          <w:p w14:paraId="54720C98">
            <w:pPr>
              <w:ind w:left="0" w:leftChars="0" w:firstLine="0" w:firstLineChars="0"/>
              <w:rPr>
                <w:rFonts w:cs="Times New Roman"/>
              </w:rPr>
            </w:pPr>
          </w:p>
          <w:p w14:paraId="1AB012E3">
            <w:pPr>
              <w:ind w:left="0" w:leftChars="0" w:firstLine="0" w:firstLineChars="0"/>
              <w:rPr>
                <w:rFonts w:cs="Times New Roman"/>
              </w:rPr>
            </w:pPr>
          </w:p>
          <w:p w14:paraId="4CBD78D1">
            <w:pPr>
              <w:ind w:left="0" w:leftChars="0" w:firstLine="0" w:firstLineChars="0"/>
              <w:rPr>
                <w:rFonts w:cs="Times New Roman"/>
              </w:rPr>
            </w:pPr>
          </w:p>
          <w:p w14:paraId="474C68DE">
            <w:pPr>
              <w:ind w:left="0" w:leftChars="0" w:firstLine="0" w:firstLineChars="0"/>
              <w:rPr>
                <w:rFonts w:cs="Times New Roman"/>
              </w:rPr>
            </w:pPr>
          </w:p>
        </w:tc>
      </w:tr>
    </w:tbl>
    <w:p w14:paraId="1A960107">
      <w:pPr>
        <w:ind w:firstLine="480"/>
        <w:rPr>
          <w:rFonts w:cs="Times New Roman"/>
        </w:rPr>
        <w:sectPr>
          <w:pgSz w:w="11906" w:h="16838"/>
          <w:pgMar w:top="1440" w:right="1080" w:bottom="1440" w:left="1080" w:header="851" w:footer="567" w:gutter="0"/>
          <w:cols w:space="425" w:num="1"/>
          <w:docGrid w:type="lines" w:linePitch="326" w:charSpace="0"/>
        </w:sectPr>
      </w:pPr>
    </w:p>
    <w:tbl>
      <w:tblPr>
        <w:tblStyle w:val="27"/>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6"/>
        <w:gridCol w:w="13925"/>
      </w:tblGrid>
      <w:tr w14:paraId="0E9E8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 w:type="pct"/>
            <w:noWrap w:val="0"/>
            <w:vAlign w:val="top"/>
          </w:tcPr>
          <w:p w14:paraId="73D45066">
            <w:pPr>
              <w:pStyle w:val="64"/>
              <w:spacing w:line="240" w:lineRule="auto"/>
              <w:rPr>
                <w:rFonts w:hint="default" w:ascii="Times New Roman" w:hAnsi="Times New Roman" w:cs="Times New Roman"/>
                <w:color w:val="000000" w:themeColor="text1"/>
                <w:highlight w:val="none"/>
                <w:vertAlign w:val="baseline"/>
                <w14:textFill>
                  <w14:solidFill>
                    <w14:schemeClr w14:val="tx1"/>
                  </w14:solidFill>
                </w14:textFill>
              </w:rPr>
            </w:pPr>
          </w:p>
        </w:tc>
        <w:tc>
          <w:tcPr>
            <w:tcW w:w="4912" w:type="pct"/>
            <w:noWrap w:val="0"/>
            <w:vAlign w:val="top"/>
          </w:tcPr>
          <w:p w14:paraId="3F2D31BD">
            <w:pPr>
              <w:ind w:firstLine="480"/>
              <w:rPr>
                <w:rFonts w:hint="eastAsia" w:eastAsia="宋体" w:cs="Times New Roman"/>
                <w:b/>
                <w:bCs w:val="0"/>
                <w:color w:val="000000" w:themeColor="text1"/>
                <w:lang w:val="en-US" w:eastAsia="zh-CN"/>
                <w14:textFill>
                  <w14:solidFill>
                    <w14:schemeClr w14:val="tx1"/>
                  </w14:solidFill>
                </w14:textFill>
              </w:rPr>
            </w:pPr>
            <w:r>
              <w:rPr>
                <w:rFonts w:hint="eastAsia" w:ascii="宋体" w:hAnsi="宋体" w:cs="宋体"/>
                <w:b/>
                <w:bCs w:val="0"/>
                <w:color w:val="000000" w:themeColor="text1"/>
                <w:lang w:val="en-US" w:eastAsia="zh-CN"/>
                <w14:textFill>
                  <w14:solidFill>
                    <w14:schemeClr w14:val="tx1"/>
                  </w14:solidFill>
                </w14:textFill>
              </w:rPr>
              <w:t>①本项目有组织废气</w:t>
            </w:r>
            <w:r>
              <w:rPr>
                <w:rFonts w:cs="Times New Roman"/>
                <w:b/>
                <w:bCs w:val="0"/>
                <w:color w:val="000000" w:themeColor="text1"/>
                <w14:textFill>
                  <w14:solidFill>
                    <w14:schemeClr w14:val="tx1"/>
                  </w14:solidFill>
                </w14:textFill>
              </w:rPr>
              <w:t>排放情况</w:t>
            </w:r>
            <w:r>
              <w:rPr>
                <w:rFonts w:hint="eastAsia" w:cs="Times New Roman"/>
                <w:b/>
                <w:bCs w:val="0"/>
                <w:color w:val="000000" w:themeColor="text1"/>
                <w:lang w:val="en-US" w:eastAsia="zh-CN"/>
                <w14:textFill>
                  <w14:solidFill>
                    <w14:schemeClr w14:val="tx1"/>
                  </w14:solidFill>
                </w14:textFill>
              </w:rPr>
              <w:t>汇总</w:t>
            </w:r>
          </w:p>
          <w:p w14:paraId="6CCC6C6C">
            <w:pPr>
              <w:bidi w:val="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根据源强核算及治理设施情况，煅烧废气排放情况如下。</w:t>
            </w:r>
          </w:p>
          <w:p w14:paraId="6EADC949">
            <w:pPr>
              <w:bidi w:val="0"/>
              <w:spacing w:line="360" w:lineRule="auto"/>
              <w:jc w:val="center"/>
              <w:rPr>
                <w:rFonts w:hint="default" w:ascii="Times New Roman" w:hAnsi="Times New Roman" w:cs="Times New Roman"/>
                <w:b/>
                <w:bCs/>
                <w:color w:val="000000" w:themeColor="text1"/>
                <w:sz w:val="21"/>
                <w:szCs w:val="20"/>
                <w:highlight w:val="none"/>
                <w:vertAlign w:val="baseline"/>
                <w:lang w:val="en-US" w:eastAsia="zh-CN"/>
                <w14:textFill>
                  <w14:solidFill>
                    <w14:schemeClr w14:val="tx1"/>
                  </w14:solidFill>
                </w14:textFill>
              </w:rPr>
            </w:pPr>
            <w:r>
              <w:rPr>
                <w:rFonts w:cs="Times New Roman"/>
                <w:b/>
                <w:bCs/>
                <w:color w:val="000000" w:themeColor="text1"/>
                <w:sz w:val="21"/>
                <w:szCs w:val="20"/>
                <w14:textFill>
                  <w14:solidFill>
                    <w14:schemeClr w14:val="tx1"/>
                  </w14:solidFill>
                </w14:textFill>
              </w:rPr>
              <w:t>表</w:t>
            </w:r>
            <w:r>
              <w:rPr>
                <w:rFonts w:cs="Times New Roman"/>
                <w:b/>
                <w:bCs/>
                <w:color w:val="000000" w:themeColor="text1"/>
                <w:sz w:val="21"/>
                <w:szCs w:val="20"/>
                <w14:textFill>
                  <w14:solidFill>
                    <w14:schemeClr w14:val="tx1"/>
                  </w14:solidFill>
                </w14:textFill>
              </w:rPr>
              <w:fldChar w:fldCharType="begin"/>
            </w:r>
            <w:r>
              <w:rPr>
                <w:rFonts w:cs="Times New Roman"/>
                <w:b/>
                <w:bCs/>
                <w:color w:val="000000" w:themeColor="text1"/>
                <w:sz w:val="21"/>
                <w:szCs w:val="20"/>
                <w14:textFill>
                  <w14:solidFill>
                    <w14:schemeClr w14:val="tx1"/>
                  </w14:solidFill>
                </w14:textFill>
              </w:rPr>
              <w:instrText xml:space="preserve"> SEQ seq \c </w:instrText>
            </w:r>
            <w:r>
              <w:rPr>
                <w:rFonts w:cs="Times New Roman"/>
                <w:b/>
                <w:bCs/>
                <w:color w:val="000000" w:themeColor="text1"/>
                <w:sz w:val="21"/>
                <w:szCs w:val="20"/>
                <w14:textFill>
                  <w14:solidFill>
                    <w14:schemeClr w14:val="tx1"/>
                  </w14:solidFill>
                </w14:textFill>
              </w:rPr>
              <w:fldChar w:fldCharType="separate"/>
            </w:r>
            <w:r>
              <w:rPr>
                <w:rFonts w:cs="Times New Roman"/>
                <w:b/>
                <w:bCs/>
                <w:color w:val="000000" w:themeColor="text1"/>
                <w:sz w:val="21"/>
                <w:szCs w:val="20"/>
                <w14:textFill>
                  <w14:solidFill>
                    <w14:schemeClr w14:val="tx1"/>
                  </w14:solidFill>
                </w14:textFill>
              </w:rPr>
              <w:t>4</w:t>
            </w:r>
            <w:r>
              <w:rPr>
                <w:rFonts w:cs="Times New Roman"/>
                <w:b/>
                <w:bCs/>
                <w:color w:val="000000" w:themeColor="text1"/>
                <w:sz w:val="21"/>
                <w:szCs w:val="20"/>
                <w14:textFill>
                  <w14:solidFill>
                    <w14:schemeClr w14:val="tx1"/>
                  </w14:solidFill>
                </w14:textFill>
              </w:rPr>
              <w:fldChar w:fldCharType="end"/>
            </w:r>
            <w:r>
              <w:rPr>
                <w:rFonts w:cs="Times New Roman"/>
                <w:b/>
                <w:bCs/>
                <w:color w:val="000000" w:themeColor="text1"/>
                <w:sz w:val="21"/>
                <w:szCs w:val="20"/>
                <w14:textFill>
                  <w14:solidFill>
                    <w14:schemeClr w14:val="tx1"/>
                  </w14:solidFill>
                </w14:textFill>
              </w:rPr>
              <w:noBreakHyphen/>
            </w:r>
            <w:r>
              <w:rPr>
                <w:rFonts w:cs="Times New Roman"/>
                <w:b/>
                <w:bCs/>
                <w:color w:val="000000" w:themeColor="text1"/>
                <w:sz w:val="21"/>
                <w:szCs w:val="20"/>
                <w14:textFill>
                  <w14:solidFill>
                    <w14:schemeClr w14:val="tx1"/>
                  </w14:solidFill>
                </w14:textFill>
              </w:rPr>
              <w:fldChar w:fldCharType="begin"/>
            </w:r>
            <w:r>
              <w:rPr>
                <w:rFonts w:cs="Times New Roman"/>
                <w:b/>
                <w:bCs/>
                <w:color w:val="000000" w:themeColor="text1"/>
                <w:sz w:val="21"/>
                <w:szCs w:val="20"/>
                <w14:textFill>
                  <w14:solidFill>
                    <w14:schemeClr w14:val="tx1"/>
                  </w14:solidFill>
                </w14:textFill>
              </w:rPr>
              <w:instrText xml:space="preserve"> SEQ 表 \* ARABIC \s 1 </w:instrText>
            </w:r>
            <w:r>
              <w:rPr>
                <w:rFonts w:cs="Times New Roman"/>
                <w:b/>
                <w:bCs/>
                <w:color w:val="000000" w:themeColor="text1"/>
                <w:sz w:val="21"/>
                <w:szCs w:val="20"/>
                <w14:textFill>
                  <w14:solidFill>
                    <w14:schemeClr w14:val="tx1"/>
                  </w14:solidFill>
                </w14:textFill>
              </w:rPr>
              <w:fldChar w:fldCharType="separate"/>
            </w:r>
            <w:r>
              <w:rPr>
                <w:rFonts w:cs="Times New Roman"/>
                <w:b/>
                <w:bCs/>
                <w:color w:val="000000" w:themeColor="text1"/>
                <w:sz w:val="21"/>
                <w:szCs w:val="20"/>
                <w14:textFill>
                  <w14:solidFill>
                    <w14:schemeClr w14:val="tx1"/>
                  </w14:solidFill>
                </w14:textFill>
              </w:rPr>
              <w:t>2</w:t>
            </w:r>
            <w:r>
              <w:rPr>
                <w:rFonts w:cs="Times New Roman"/>
                <w:b/>
                <w:bCs/>
                <w:color w:val="000000" w:themeColor="text1"/>
                <w:sz w:val="21"/>
                <w:szCs w:val="20"/>
                <w14:textFill>
                  <w14:solidFill>
                    <w14:schemeClr w14:val="tx1"/>
                  </w14:solidFill>
                </w14:textFill>
              </w:rPr>
              <w:fldChar w:fldCharType="end"/>
            </w:r>
            <w:r>
              <w:rPr>
                <w:rFonts w:cs="Times New Roman"/>
                <w:b/>
                <w:bCs/>
                <w:color w:val="000000" w:themeColor="text1"/>
                <w:sz w:val="21"/>
                <w:szCs w:val="20"/>
                <w14:textFill>
                  <w14:solidFill>
                    <w14:schemeClr w14:val="tx1"/>
                  </w14:solidFill>
                </w14:textFill>
              </w:rPr>
              <w:t xml:space="preserve"> </w:t>
            </w:r>
            <w:r>
              <w:rPr>
                <w:rFonts w:hint="eastAsia" w:cs="Times New Roman"/>
                <w:b/>
                <w:bCs/>
                <w:color w:val="000000" w:themeColor="text1"/>
                <w:sz w:val="21"/>
                <w:szCs w:val="20"/>
                <w:lang w:val="en-US" w:eastAsia="zh-CN"/>
                <w14:textFill>
                  <w14:solidFill>
                    <w14:schemeClr w14:val="tx1"/>
                  </w14:solidFill>
                </w14:textFill>
              </w:rPr>
              <w:t>煅烧废气污染物排放</w:t>
            </w:r>
            <w:r>
              <w:rPr>
                <w:rFonts w:cs="Times New Roman"/>
                <w:b/>
                <w:bCs/>
                <w:color w:val="000000" w:themeColor="text1"/>
                <w:sz w:val="21"/>
                <w:szCs w:val="20"/>
                <w14:textFill>
                  <w14:solidFill>
                    <w14:schemeClr w14:val="tx1"/>
                  </w14:solidFill>
                </w14:textFill>
              </w:rPr>
              <w:t>情况</w:t>
            </w:r>
            <w:r>
              <w:rPr>
                <w:rFonts w:hint="eastAsia" w:cs="Times New Roman"/>
                <w:b/>
                <w:bCs/>
                <w:color w:val="000000" w:themeColor="text1"/>
                <w:sz w:val="21"/>
                <w:szCs w:val="20"/>
                <w:lang w:val="en-US" w:eastAsia="zh-CN"/>
                <w14:textFill>
                  <w14:solidFill>
                    <w14:schemeClr w14:val="tx1"/>
                  </w14:solidFill>
                </w14:textFill>
              </w:rPr>
              <w:t>汇总表</w:t>
            </w:r>
          </w:p>
          <w:tbl>
            <w:tblPr>
              <w:tblStyle w:val="27"/>
              <w:tblW w:w="499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2"/>
              <w:gridCol w:w="881"/>
              <w:gridCol w:w="1280"/>
              <w:gridCol w:w="993"/>
              <w:gridCol w:w="993"/>
              <w:gridCol w:w="822"/>
              <w:gridCol w:w="741"/>
              <w:gridCol w:w="637"/>
              <w:gridCol w:w="1350"/>
              <w:gridCol w:w="764"/>
              <w:gridCol w:w="1014"/>
              <w:gridCol w:w="992"/>
              <w:gridCol w:w="1003"/>
              <w:gridCol w:w="835"/>
              <w:gridCol w:w="888"/>
            </w:tblGrid>
            <w:tr w14:paraId="7EC40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80" w:type="pct"/>
                  <w:vMerge w:val="restart"/>
                  <w:noWrap w:val="0"/>
                  <w:vAlign w:val="center"/>
                </w:tcPr>
                <w:p w14:paraId="67A5186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cs="Times New Roman"/>
                      <w:b/>
                      <w:bCs/>
                      <w:color w:val="000000" w:themeColor="text1"/>
                      <w:sz w:val="21"/>
                      <w:szCs w:val="21"/>
                      <w:highlight w:val="none"/>
                      <w:vertAlign w:val="baseline"/>
                      <w:lang w:val="en-US" w:eastAsia="zh-CN"/>
                      <w14:textFill>
                        <w14:solidFill>
                          <w14:schemeClr w14:val="tx1"/>
                        </w14:solidFill>
                      </w14:textFill>
                    </w:rPr>
                    <w:t>产排污环节</w:t>
                  </w:r>
                </w:p>
              </w:tc>
              <w:tc>
                <w:tcPr>
                  <w:tcW w:w="322" w:type="pct"/>
                  <w:vMerge w:val="restart"/>
                  <w:noWrap w:val="0"/>
                  <w:vAlign w:val="center"/>
                </w:tcPr>
                <w:p w14:paraId="757899D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cs="Times New Roman"/>
                      <w:b/>
                      <w:bCs/>
                      <w:color w:val="000000" w:themeColor="text1"/>
                      <w:sz w:val="21"/>
                      <w:szCs w:val="21"/>
                      <w:highlight w:val="none"/>
                      <w:vertAlign w:val="baseline"/>
                      <w:lang w:val="en-US" w:eastAsia="zh-CN"/>
                      <w14:textFill>
                        <w14:solidFill>
                          <w14:schemeClr w14:val="tx1"/>
                        </w14:solidFill>
                      </w14:textFill>
                    </w:rPr>
                    <w:t>污染物种类</w:t>
                  </w:r>
                </w:p>
              </w:tc>
              <w:tc>
                <w:tcPr>
                  <w:tcW w:w="830" w:type="pct"/>
                  <w:gridSpan w:val="2"/>
                  <w:noWrap w:val="0"/>
                  <w:vAlign w:val="center"/>
                </w:tcPr>
                <w:p w14:paraId="60E3BD5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cs="Times New Roman"/>
                      <w:b/>
                      <w:bCs/>
                      <w:color w:val="000000" w:themeColor="text1"/>
                      <w:sz w:val="21"/>
                      <w:szCs w:val="21"/>
                      <w:highlight w:val="none"/>
                      <w:vertAlign w:val="baseline"/>
                      <w:lang w:val="en-US" w:eastAsia="zh-CN"/>
                      <w14:textFill>
                        <w14:solidFill>
                          <w14:schemeClr w14:val="tx1"/>
                        </w14:solidFill>
                      </w14:textFill>
                    </w:rPr>
                    <w:t>污染物产生情况</w:t>
                  </w:r>
                </w:p>
              </w:tc>
              <w:tc>
                <w:tcPr>
                  <w:tcW w:w="363" w:type="pct"/>
                  <w:vMerge w:val="restart"/>
                  <w:noWrap w:val="0"/>
                  <w:vAlign w:val="center"/>
                </w:tcPr>
                <w:p w14:paraId="58C6940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cs="Times New Roman"/>
                      <w:b/>
                      <w:bCs/>
                      <w:color w:val="000000" w:themeColor="text1"/>
                      <w:sz w:val="21"/>
                      <w:szCs w:val="21"/>
                      <w:highlight w:val="none"/>
                      <w:vertAlign w:val="baseline"/>
                      <w:lang w:val="en-US" w:eastAsia="zh-CN"/>
                      <w14:textFill>
                        <w14:solidFill>
                          <w14:schemeClr w14:val="tx1"/>
                        </w14:solidFill>
                      </w14:textFill>
                    </w:rPr>
                    <w:t>排放形式</w:t>
                  </w:r>
                </w:p>
              </w:tc>
              <w:tc>
                <w:tcPr>
                  <w:tcW w:w="1574" w:type="pct"/>
                  <w:gridSpan w:val="5"/>
                  <w:noWrap w:val="0"/>
                  <w:vAlign w:val="center"/>
                </w:tcPr>
                <w:p w14:paraId="6A32A29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cs="Times New Roman"/>
                      <w:b/>
                      <w:bCs/>
                      <w:color w:val="000000" w:themeColor="text1"/>
                      <w:sz w:val="21"/>
                      <w:szCs w:val="21"/>
                      <w:highlight w:val="none"/>
                      <w:vertAlign w:val="baseline"/>
                      <w:lang w:val="en-US" w:eastAsia="zh-CN"/>
                      <w14:textFill>
                        <w14:solidFill>
                          <w14:schemeClr w14:val="tx1"/>
                        </w14:solidFill>
                      </w14:textFill>
                    </w:rPr>
                    <w:t>主要污染治理措施</w:t>
                  </w:r>
                </w:p>
              </w:tc>
              <w:tc>
                <w:tcPr>
                  <w:tcW w:w="1098" w:type="pct"/>
                  <w:gridSpan w:val="3"/>
                  <w:noWrap w:val="0"/>
                  <w:vAlign w:val="center"/>
                </w:tcPr>
                <w:p w14:paraId="3827A7E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cs="Times New Roman"/>
                      <w:b/>
                      <w:bCs/>
                      <w:color w:val="000000" w:themeColor="text1"/>
                      <w:sz w:val="21"/>
                      <w:szCs w:val="21"/>
                      <w:highlight w:val="none"/>
                      <w:vertAlign w:val="baseline"/>
                      <w:lang w:val="en-US" w:eastAsia="zh-CN"/>
                      <w14:textFill>
                        <w14:solidFill>
                          <w14:schemeClr w14:val="tx1"/>
                        </w14:solidFill>
                      </w14:textFill>
                    </w:rPr>
                    <w:t>污染物排放情况</w:t>
                  </w:r>
                </w:p>
              </w:tc>
              <w:tc>
                <w:tcPr>
                  <w:tcW w:w="305" w:type="pct"/>
                  <w:vMerge w:val="restart"/>
                  <w:noWrap w:val="0"/>
                  <w:vAlign w:val="center"/>
                </w:tcPr>
                <w:p w14:paraId="69AE331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cs="Times New Roman"/>
                      <w:b/>
                      <w:bCs/>
                      <w:color w:val="000000" w:themeColor="text1"/>
                      <w:sz w:val="21"/>
                      <w:szCs w:val="21"/>
                      <w:highlight w:val="none"/>
                      <w:vertAlign w:val="baseline"/>
                      <w:lang w:val="en-US" w:eastAsia="zh-CN"/>
                      <w14:textFill>
                        <w14:solidFill>
                          <w14:schemeClr w14:val="tx1"/>
                        </w14:solidFill>
                      </w14:textFill>
                    </w:rPr>
                    <w:t>排放口编号</w:t>
                  </w:r>
                </w:p>
              </w:tc>
              <w:tc>
                <w:tcPr>
                  <w:tcW w:w="324" w:type="pct"/>
                  <w:vMerge w:val="restart"/>
                  <w:noWrap w:val="0"/>
                  <w:vAlign w:val="center"/>
                </w:tcPr>
                <w:p w14:paraId="228387C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cs="Times New Roman"/>
                      <w:b/>
                      <w:bCs/>
                      <w:color w:val="000000" w:themeColor="text1"/>
                      <w:sz w:val="21"/>
                      <w:szCs w:val="21"/>
                      <w:highlight w:val="none"/>
                      <w:vertAlign w:val="baseline"/>
                      <w:lang w:val="en-US" w:eastAsia="zh-CN"/>
                      <w14:textFill>
                        <w14:solidFill>
                          <w14:schemeClr w14:val="tx1"/>
                        </w14:solidFill>
                      </w14:textFill>
                    </w:rPr>
                    <w:t>排放浓度限值mg/m</w:t>
                  </w:r>
                  <w:r>
                    <w:rPr>
                      <w:rFonts w:hint="default" w:ascii="Times New Roman" w:hAnsi="Times New Roman" w:cs="Times New Roman"/>
                      <w:b/>
                      <w:bCs/>
                      <w:color w:val="000000" w:themeColor="text1"/>
                      <w:sz w:val="21"/>
                      <w:szCs w:val="21"/>
                      <w:highlight w:val="none"/>
                      <w:vertAlign w:val="superscript"/>
                      <w:lang w:val="en-US" w:eastAsia="zh-CN"/>
                      <w14:textFill>
                        <w14:solidFill>
                          <w14:schemeClr w14:val="tx1"/>
                        </w14:solidFill>
                      </w14:textFill>
                    </w:rPr>
                    <w:t>3</w:t>
                  </w:r>
                </w:p>
              </w:tc>
            </w:tr>
            <w:tr w14:paraId="61CE7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80" w:type="pct"/>
                  <w:vMerge w:val="continue"/>
                  <w:noWrap w:val="0"/>
                  <w:vAlign w:val="center"/>
                </w:tcPr>
                <w:p w14:paraId="557D988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p>
              </w:tc>
              <w:tc>
                <w:tcPr>
                  <w:tcW w:w="322" w:type="pct"/>
                  <w:vMerge w:val="continue"/>
                  <w:noWrap w:val="0"/>
                  <w:vAlign w:val="center"/>
                </w:tcPr>
                <w:p w14:paraId="2659E8C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bCs/>
                      <w:color w:val="000000" w:themeColor="text1"/>
                      <w:sz w:val="21"/>
                      <w:szCs w:val="21"/>
                      <w:highlight w:val="none"/>
                      <w14:textFill>
                        <w14:solidFill>
                          <w14:schemeClr w14:val="tx1"/>
                        </w14:solidFill>
                      </w14:textFill>
                    </w:rPr>
                  </w:pPr>
                </w:p>
              </w:tc>
              <w:tc>
                <w:tcPr>
                  <w:tcW w:w="467" w:type="pct"/>
                  <w:noWrap w:val="0"/>
                  <w:vAlign w:val="center"/>
                </w:tcPr>
                <w:p w14:paraId="273C8E6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t>产生量t/a</w:t>
                  </w:r>
                </w:p>
              </w:tc>
              <w:tc>
                <w:tcPr>
                  <w:tcW w:w="363" w:type="pct"/>
                  <w:noWrap w:val="0"/>
                  <w:vAlign w:val="center"/>
                </w:tcPr>
                <w:p w14:paraId="4D0FDE6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t>产生速率kg/h</w:t>
                  </w:r>
                </w:p>
              </w:tc>
              <w:tc>
                <w:tcPr>
                  <w:tcW w:w="363" w:type="pct"/>
                  <w:vMerge w:val="continue"/>
                  <w:noWrap w:val="0"/>
                  <w:vAlign w:val="center"/>
                </w:tcPr>
                <w:p w14:paraId="217C378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bCs/>
                      <w:color w:val="000000" w:themeColor="text1"/>
                      <w:sz w:val="21"/>
                      <w:szCs w:val="21"/>
                      <w:highlight w:val="none"/>
                      <w14:textFill>
                        <w14:solidFill>
                          <w14:schemeClr w14:val="tx1"/>
                        </w14:solidFill>
                      </w14:textFill>
                    </w:rPr>
                  </w:pPr>
                </w:p>
              </w:tc>
              <w:tc>
                <w:tcPr>
                  <w:tcW w:w="300" w:type="pct"/>
                  <w:noWrap w:val="0"/>
                  <w:vAlign w:val="center"/>
                </w:tcPr>
                <w:p w14:paraId="55DE6A5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cs="Times New Roman"/>
                      <w:b/>
                      <w:bCs/>
                      <w:color w:val="000000" w:themeColor="text1"/>
                      <w:sz w:val="21"/>
                      <w:szCs w:val="21"/>
                      <w:highlight w:val="none"/>
                      <w:vertAlign w:val="baseline"/>
                      <w:lang w:val="en-US" w:eastAsia="zh-CN"/>
                      <w14:textFill>
                        <w14:solidFill>
                          <w14:schemeClr w14:val="tx1"/>
                        </w14:solidFill>
                      </w14:textFill>
                    </w:rPr>
                    <w:t>治理措施</w:t>
                  </w:r>
                </w:p>
              </w:tc>
              <w:tc>
                <w:tcPr>
                  <w:tcW w:w="270" w:type="pct"/>
                  <w:noWrap w:val="0"/>
                  <w:vAlign w:val="center"/>
                </w:tcPr>
                <w:p w14:paraId="0316535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cs="Times New Roman"/>
                      <w:b/>
                      <w:bCs/>
                      <w:color w:val="000000" w:themeColor="text1"/>
                      <w:sz w:val="21"/>
                      <w:szCs w:val="21"/>
                      <w:highlight w:val="none"/>
                      <w:vertAlign w:val="baseline"/>
                      <w:lang w:val="en-US" w:eastAsia="zh-CN"/>
                      <w14:textFill>
                        <w14:solidFill>
                          <w14:schemeClr w14:val="tx1"/>
                        </w14:solidFill>
                      </w14:textFill>
                    </w:rPr>
                    <w:t>处理能力m</w:t>
                  </w:r>
                  <w:r>
                    <w:rPr>
                      <w:rFonts w:hint="default" w:ascii="Times New Roman" w:hAnsi="Times New Roman" w:cs="Times New Roman"/>
                      <w:b/>
                      <w:bCs/>
                      <w:color w:val="000000" w:themeColor="text1"/>
                      <w:sz w:val="21"/>
                      <w:szCs w:val="21"/>
                      <w:highlight w:val="none"/>
                      <w:vertAlign w:val="superscript"/>
                      <w:lang w:val="en-US" w:eastAsia="zh-CN"/>
                      <w14:textFill>
                        <w14:solidFill>
                          <w14:schemeClr w14:val="tx1"/>
                        </w14:solidFill>
                      </w14:textFill>
                    </w:rPr>
                    <w:t>3</w:t>
                  </w:r>
                  <w:r>
                    <w:rPr>
                      <w:rFonts w:hint="default" w:ascii="Times New Roman" w:hAnsi="Times New Roman" w:cs="Times New Roman"/>
                      <w:b/>
                      <w:bCs/>
                      <w:color w:val="000000" w:themeColor="text1"/>
                      <w:sz w:val="21"/>
                      <w:szCs w:val="21"/>
                      <w:highlight w:val="none"/>
                      <w:vertAlign w:val="baseline"/>
                      <w:lang w:val="en-US" w:eastAsia="zh-CN"/>
                      <w14:textFill>
                        <w14:solidFill>
                          <w14:schemeClr w14:val="tx1"/>
                        </w14:solidFill>
                      </w14:textFill>
                    </w:rPr>
                    <w:t>/h</w:t>
                  </w:r>
                </w:p>
              </w:tc>
              <w:tc>
                <w:tcPr>
                  <w:tcW w:w="232" w:type="pct"/>
                  <w:noWrap w:val="0"/>
                  <w:vAlign w:val="center"/>
                </w:tcPr>
                <w:p w14:paraId="4C959A6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cs="Times New Roman"/>
                      <w:b/>
                      <w:bCs/>
                      <w:color w:val="000000" w:themeColor="text1"/>
                      <w:sz w:val="21"/>
                      <w:szCs w:val="21"/>
                      <w:highlight w:val="none"/>
                      <w:vertAlign w:val="baseline"/>
                      <w:lang w:val="en-US" w:eastAsia="zh-CN"/>
                      <w14:textFill>
                        <w14:solidFill>
                          <w14:schemeClr w14:val="tx1"/>
                        </w14:solidFill>
                      </w14:textFill>
                    </w:rPr>
                    <w:t>收集效率%</w:t>
                  </w:r>
                </w:p>
              </w:tc>
              <w:tc>
                <w:tcPr>
                  <w:tcW w:w="493" w:type="pct"/>
                  <w:noWrap w:val="0"/>
                  <w:vAlign w:val="center"/>
                </w:tcPr>
                <w:p w14:paraId="48A61AB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cs="Times New Roman"/>
                      <w:b/>
                      <w:bCs/>
                      <w:color w:val="000000" w:themeColor="text1"/>
                      <w:sz w:val="21"/>
                      <w:szCs w:val="21"/>
                      <w:highlight w:val="none"/>
                      <w:vertAlign w:val="baseline"/>
                      <w:lang w:val="en-US" w:eastAsia="zh-CN"/>
                      <w14:textFill>
                        <w14:solidFill>
                          <w14:schemeClr w14:val="tx1"/>
                        </w14:solidFill>
                      </w14:textFill>
                    </w:rPr>
                    <w:t>去除效率%</w:t>
                  </w:r>
                </w:p>
              </w:tc>
              <w:tc>
                <w:tcPr>
                  <w:tcW w:w="275" w:type="pct"/>
                  <w:noWrap w:val="0"/>
                  <w:vAlign w:val="center"/>
                </w:tcPr>
                <w:p w14:paraId="549C5A0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cs="Times New Roman"/>
                      <w:b/>
                      <w:bCs/>
                      <w:color w:val="000000" w:themeColor="text1"/>
                      <w:sz w:val="21"/>
                      <w:szCs w:val="21"/>
                      <w:highlight w:val="none"/>
                      <w:vertAlign w:val="baseline"/>
                      <w:lang w:val="en-US" w:eastAsia="zh-CN"/>
                      <w14:textFill>
                        <w14:solidFill>
                          <w14:schemeClr w14:val="tx1"/>
                        </w14:solidFill>
                      </w14:textFill>
                    </w:rPr>
                    <w:t>是否为可行技术</w:t>
                  </w:r>
                </w:p>
              </w:tc>
              <w:tc>
                <w:tcPr>
                  <w:tcW w:w="370" w:type="pct"/>
                  <w:noWrap w:val="0"/>
                  <w:vAlign w:val="center"/>
                </w:tcPr>
                <w:p w14:paraId="7D73808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bCs/>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cs="Times New Roman"/>
                      <w:b/>
                      <w:bCs/>
                      <w:color w:val="000000" w:themeColor="text1"/>
                      <w:sz w:val="21"/>
                      <w:szCs w:val="21"/>
                      <w:highlight w:val="none"/>
                      <w:vertAlign w:val="baseline"/>
                      <w:lang w:val="en-US" w:eastAsia="zh-CN"/>
                      <w14:textFill>
                        <w14:solidFill>
                          <w14:schemeClr w14:val="tx1"/>
                        </w14:solidFill>
                      </w14:textFill>
                    </w:rPr>
                    <w:t>污染物排放浓度mg/m</w:t>
                  </w:r>
                  <w:r>
                    <w:rPr>
                      <w:rFonts w:hint="default" w:ascii="Times New Roman" w:hAnsi="Times New Roman" w:cs="Times New Roman"/>
                      <w:b/>
                      <w:bCs/>
                      <w:color w:val="000000" w:themeColor="text1"/>
                      <w:sz w:val="21"/>
                      <w:szCs w:val="21"/>
                      <w:highlight w:val="none"/>
                      <w:vertAlign w:val="superscript"/>
                      <w:lang w:val="en-US" w:eastAsia="zh-CN"/>
                      <w14:textFill>
                        <w14:solidFill>
                          <w14:schemeClr w14:val="tx1"/>
                        </w14:solidFill>
                      </w14:textFill>
                    </w:rPr>
                    <w:t>3</w:t>
                  </w:r>
                </w:p>
              </w:tc>
              <w:tc>
                <w:tcPr>
                  <w:tcW w:w="362" w:type="pct"/>
                  <w:noWrap w:val="0"/>
                  <w:vAlign w:val="center"/>
                </w:tcPr>
                <w:p w14:paraId="009A89E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bCs/>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cs="Times New Roman"/>
                      <w:b/>
                      <w:bCs/>
                      <w:color w:val="000000" w:themeColor="text1"/>
                      <w:sz w:val="21"/>
                      <w:szCs w:val="21"/>
                      <w:highlight w:val="none"/>
                      <w:vertAlign w:val="baseline"/>
                      <w:lang w:val="en-US" w:eastAsia="zh-CN"/>
                      <w14:textFill>
                        <w14:solidFill>
                          <w14:schemeClr w14:val="tx1"/>
                        </w14:solidFill>
                      </w14:textFill>
                    </w:rPr>
                    <w:t>污染物排放速率kg/h</w:t>
                  </w:r>
                </w:p>
              </w:tc>
              <w:tc>
                <w:tcPr>
                  <w:tcW w:w="365" w:type="pct"/>
                  <w:noWrap w:val="0"/>
                  <w:vAlign w:val="center"/>
                </w:tcPr>
                <w:p w14:paraId="61D3229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bCs/>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cs="Times New Roman"/>
                      <w:b/>
                      <w:bCs/>
                      <w:color w:val="000000" w:themeColor="text1"/>
                      <w:sz w:val="21"/>
                      <w:szCs w:val="21"/>
                      <w:highlight w:val="none"/>
                      <w:vertAlign w:val="baseline"/>
                      <w:lang w:val="en-US" w:eastAsia="zh-CN"/>
                      <w14:textFill>
                        <w14:solidFill>
                          <w14:schemeClr w14:val="tx1"/>
                        </w14:solidFill>
                      </w14:textFill>
                    </w:rPr>
                    <w:t>污染物排放量t/a</w:t>
                  </w:r>
                </w:p>
              </w:tc>
              <w:tc>
                <w:tcPr>
                  <w:tcW w:w="305" w:type="pct"/>
                  <w:vMerge w:val="continue"/>
                  <w:noWrap w:val="0"/>
                  <w:vAlign w:val="center"/>
                </w:tcPr>
                <w:p w14:paraId="640600F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bCs/>
                      <w:color w:val="000000" w:themeColor="text1"/>
                      <w:sz w:val="21"/>
                      <w:szCs w:val="21"/>
                      <w:highlight w:val="none"/>
                      <w:vertAlign w:val="baseline"/>
                      <w:lang w:val="en-US" w:eastAsia="zh-CN"/>
                      <w14:textFill>
                        <w14:solidFill>
                          <w14:schemeClr w14:val="tx1"/>
                        </w14:solidFill>
                      </w14:textFill>
                    </w:rPr>
                  </w:pPr>
                </w:p>
              </w:tc>
              <w:tc>
                <w:tcPr>
                  <w:tcW w:w="324" w:type="pct"/>
                  <w:vMerge w:val="continue"/>
                  <w:noWrap w:val="0"/>
                  <w:vAlign w:val="center"/>
                </w:tcPr>
                <w:p w14:paraId="57722CE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bCs/>
                      <w:color w:val="000000" w:themeColor="text1"/>
                      <w:sz w:val="21"/>
                      <w:szCs w:val="21"/>
                      <w:highlight w:val="none"/>
                      <w:vertAlign w:val="baseline"/>
                      <w:lang w:val="en-US" w:eastAsia="zh-CN"/>
                      <w14:textFill>
                        <w14:solidFill>
                          <w14:schemeClr w14:val="tx1"/>
                        </w14:solidFill>
                      </w14:textFill>
                    </w:rPr>
                  </w:pPr>
                </w:p>
              </w:tc>
            </w:tr>
            <w:tr w14:paraId="56D21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80" w:type="pct"/>
                  <w:vMerge w:val="restart"/>
                  <w:noWrap w:val="0"/>
                  <w:vAlign w:val="center"/>
                </w:tcPr>
                <w:p w14:paraId="295524B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t>煅烧</w:t>
                  </w:r>
                </w:p>
              </w:tc>
              <w:tc>
                <w:tcPr>
                  <w:tcW w:w="322" w:type="pct"/>
                  <w:noWrap w:val="0"/>
                  <w:vAlign w:val="center"/>
                </w:tcPr>
                <w:p w14:paraId="7C8358C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t>第一阶段：颗粒物</w:t>
                  </w:r>
                </w:p>
              </w:tc>
              <w:tc>
                <w:tcPr>
                  <w:tcW w:w="467" w:type="pct"/>
                  <w:noWrap w:val="0"/>
                  <w:vAlign w:val="center"/>
                </w:tcPr>
                <w:p w14:paraId="6B3BC89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48.6298</w:t>
                  </w:r>
                </w:p>
              </w:tc>
              <w:tc>
                <w:tcPr>
                  <w:tcW w:w="363" w:type="pct"/>
                  <w:noWrap w:val="0"/>
                  <w:vAlign w:val="center"/>
                </w:tcPr>
                <w:p w14:paraId="26D00C9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6.1401 </w:t>
                  </w:r>
                </w:p>
              </w:tc>
              <w:tc>
                <w:tcPr>
                  <w:tcW w:w="363" w:type="pct"/>
                  <w:noWrap w:val="0"/>
                  <w:vAlign w:val="center"/>
                </w:tcPr>
                <w:p w14:paraId="2B370C0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t>有组织</w:t>
                  </w:r>
                </w:p>
              </w:tc>
              <w:tc>
                <w:tcPr>
                  <w:tcW w:w="300" w:type="pct"/>
                  <w:vMerge w:val="restart"/>
                  <w:noWrap w:val="0"/>
                  <w:vAlign w:val="center"/>
                </w:tcPr>
                <w:p w14:paraId="7D39744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旋风除尘器+布袋除尘器1#+活性炭喷射装置+布袋除尘器2#+3套脱酸塔</w:t>
                  </w:r>
                </w:p>
              </w:tc>
              <w:tc>
                <w:tcPr>
                  <w:tcW w:w="270" w:type="pct"/>
                  <w:vMerge w:val="restart"/>
                  <w:noWrap w:val="0"/>
                  <w:vAlign w:val="center"/>
                </w:tcPr>
                <w:p w14:paraId="5A963E4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t>22500</w:t>
                  </w:r>
                </w:p>
              </w:tc>
              <w:tc>
                <w:tcPr>
                  <w:tcW w:w="232" w:type="pct"/>
                  <w:noWrap w:val="0"/>
                  <w:vAlign w:val="center"/>
                </w:tcPr>
                <w:p w14:paraId="0C52A25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t>100</w:t>
                  </w:r>
                </w:p>
              </w:tc>
              <w:tc>
                <w:tcPr>
                  <w:tcW w:w="493" w:type="pct"/>
                  <w:noWrap w:val="0"/>
                  <w:vAlign w:val="center"/>
                </w:tcPr>
                <w:p w14:paraId="2B81928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t>1-（1-60%）*（1-99%）</w:t>
                  </w:r>
                  <w:r>
                    <w:rPr>
                      <w:rFonts w:hint="eastAsia"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t>=99.6%</w:t>
                  </w:r>
                </w:p>
              </w:tc>
              <w:tc>
                <w:tcPr>
                  <w:tcW w:w="275" w:type="pct"/>
                  <w:noWrap w:val="0"/>
                  <w:vAlign w:val="center"/>
                </w:tcPr>
                <w:p w14:paraId="487F512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t>是</w:t>
                  </w:r>
                </w:p>
              </w:tc>
              <w:tc>
                <w:tcPr>
                  <w:tcW w:w="370" w:type="pct"/>
                  <w:noWrap w:val="0"/>
                  <w:vAlign w:val="center"/>
                </w:tcPr>
                <w:p w14:paraId="4C2FF9F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1.0916 </w:t>
                  </w:r>
                </w:p>
              </w:tc>
              <w:tc>
                <w:tcPr>
                  <w:tcW w:w="362" w:type="pct"/>
                  <w:noWrap w:val="0"/>
                  <w:vAlign w:val="center"/>
                </w:tcPr>
                <w:p w14:paraId="2D746EF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0.0246 </w:t>
                  </w:r>
                </w:p>
              </w:tc>
              <w:tc>
                <w:tcPr>
                  <w:tcW w:w="365" w:type="pct"/>
                  <w:noWrap w:val="0"/>
                  <w:vAlign w:val="center"/>
                </w:tcPr>
                <w:p w14:paraId="37A2D3D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0.1945 </w:t>
                  </w:r>
                </w:p>
              </w:tc>
              <w:tc>
                <w:tcPr>
                  <w:tcW w:w="305" w:type="pct"/>
                  <w:vMerge w:val="restart"/>
                  <w:noWrap w:val="0"/>
                  <w:vAlign w:val="center"/>
                </w:tcPr>
                <w:p w14:paraId="1F97431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t>DA001</w:t>
                  </w:r>
                </w:p>
              </w:tc>
              <w:tc>
                <w:tcPr>
                  <w:tcW w:w="324" w:type="pct"/>
                  <w:noWrap w:val="0"/>
                  <w:vAlign w:val="center"/>
                </w:tcPr>
                <w:p w14:paraId="6790982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220</w:t>
                  </w:r>
                </w:p>
              </w:tc>
            </w:tr>
            <w:tr w14:paraId="318FC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80" w:type="pct"/>
                  <w:vMerge w:val="continue"/>
                  <w:noWrap w:val="0"/>
                  <w:vAlign w:val="center"/>
                </w:tcPr>
                <w:p w14:paraId="78F379E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pPr>
                </w:p>
              </w:tc>
              <w:tc>
                <w:tcPr>
                  <w:tcW w:w="322" w:type="pct"/>
                  <w:noWrap w:val="0"/>
                  <w:vAlign w:val="center"/>
                </w:tcPr>
                <w:p w14:paraId="7B2E69F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t>第二阶段：颗粒物</w:t>
                  </w:r>
                </w:p>
              </w:tc>
              <w:tc>
                <w:tcPr>
                  <w:tcW w:w="467" w:type="pct"/>
                  <w:noWrap w:val="0"/>
                  <w:vAlign w:val="center"/>
                </w:tcPr>
                <w:p w14:paraId="446983C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t>0.</w:t>
                  </w:r>
                  <w:r>
                    <w:rPr>
                      <w:rFonts w:hint="eastAsia"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t>1945</w:t>
                  </w:r>
                  <w:r>
                    <w:rPr>
                      <w:rFonts w:hint="default"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t>+39.6</w:t>
                  </w:r>
                </w:p>
                <w:p w14:paraId="53FD90B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t>=</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39.</w:t>
                  </w:r>
                  <w:r>
                    <w:rPr>
                      <w:rFonts w:hint="eastAsia"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t>7945</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w:t>
                  </w:r>
                </w:p>
              </w:tc>
              <w:tc>
                <w:tcPr>
                  <w:tcW w:w="363" w:type="pct"/>
                  <w:noWrap w:val="0"/>
                  <w:vAlign w:val="center"/>
                </w:tcPr>
                <w:p w14:paraId="5341C99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t>5.0246</w:t>
                  </w:r>
                </w:p>
              </w:tc>
              <w:tc>
                <w:tcPr>
                  <w:tcW w:w="363" w:type="pct"/>
                  <w:noWrap w:val="0"/>
                  <w:vAlign w:val="center"/>
                </w:tcPr>
                <w:p w14:paraId="6A67700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t>有组织</w:t>
                  </w:r>
                </w:p>
              </w:tc>
              <w:tc>
                <w:tcPr>
                  <w:tcW w:w="300" w:type="pct"/>
                  <w:vMerge w:val="continue"/>
                  <w:noWrap w:val="0"/>
                  <w:vAlign w:val="center"/>
                </w:tcPr>
                <w:p w14:paraId="6876BDC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pPr>
                </w:p>
              </w:tc>
              <w:tc>
                <w:tcPr>
                  <w:tcW w:w="270" w:type="pct"/>
                  <w:vMerge w:val="continue"/>
                  <w:noWrap w:val="0"/>
                  <w:vAlign w:val="center"/>
                </w:tcPr>
                <w:p w14:paraId="235BADA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pPr>
                </w:p>
              </w:tc>
              <w:tc>
                <w:tcPr>
                  <w:tcW w:w="232" w:type="pct"/>
                  <w:noWrap w:val="0"/>
                  <w:vAlign w:val="center"/>
                </w:tcPr>
                <w:p w14:paraId="5A92697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t>100</w:t>
                  </w:r>
                </w:p>
              </w:tc>
              <w:tc>
                <w:tcPr>
                  <w:tcW w:w="493" w:type="pct"/>
                  <w:noWrap w:val="0"/>
                  <w:vAlign w:val="center"/>
                </w:tcPr>
                <w:p w14:paraId="4707C69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t>1-（1-99%）*（1-85%）</w:t>
                  </w:r>
                  <w:r>
                    <w:rPr>
                      <w:rFonts w:hint="eastAsia"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t>=99.85%</w:t>
                  </w:r>
                </w:p>
              </w:tc>
              <w:tc>
                <w:tcPr>
                  <w:tcW w:w="275" w:type="pct"/>
                  <w:noWrap w:val="0"/>
                  <w:vAlign w:val="center"/>
                </w:tcPr>
                <w:p w14:paraId="09FA06A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t>是</w:t>
                  </w:r>
                </w:p>
              </w:tc>
              <w:tc>
                <w:tcPr>
                  <w:tcW w:w="370" w:type="pct"/>
                  <w:noWrap w:val="0"/>
                  <w:vAlign w:val="center"/>
                </w:tcPr>
                <w:p w14:paraId="177AE2C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t>0.3350</w:t>
                  </w:r>
                </w:p>
              </w:tc>
              <w:tc>
                <w:tcPr>
                  <w:tcW w:w="362" w:type="pct"/>
                  <w:noWrap w:val="0"/>
                  <w:vAlign w:val="center"/>
                </w:tcPr>
                <w:p w14:paraId="2A93A75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t>0.0075</w:t>
                  </w:r>
                </w:p>
              </w:tc>
              <w:tc>
                <w:tcPr>
                  <w:tcW w:w="365" w:type="pct"/>
                  <w:noWrap w:val="0"/>
                  <w:vAlign w:val="center"/>
                </w:tcPr>
                <w:p w14:paraId="6742720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t>0.0597</w:t>
                  </w:r>
                </w:p>
              </w:tc>
              <w:tc>
                <w:tcPr>
                  <w:tcW w:w="305" w:type="pct"/>
                  <w:vMerge w:val="continue"/>
                  <w:noWrap w:val="0"/>
                  <w:vAlign w:val="center"/>
                </w:tcPr>
                <w:p w14:paraId="0C467C1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pPr>
                </w:p>
              </w:tc>
              <w:tc>
                <w:tcPr>
                  <w:tcW w:w="324" w:type="pct"/>
                  <w:noWrap w:val="0"/>
                  <w:vAlign w:val="center"/>
                </w:tcPr>
                <w:p w14:paraId="6823702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220</w:t>
                  </w:r>
                </w:p>
              </w:tc>
            </w:tr>
            <w:tr w14:paraId="45234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80" w:type="pct"/>
                  <w:vMerge w:val="continue"/>
                  <w:noWrap w:val="0"/>
                  <w:vAlign w:val="center"/>
                </w:tcPr>
                <w:p w14:paraId="378AE99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pPr>
                </w:p>
              </w:tc>
              <w:tc>
                <w:tcPr>
                  <w:tcW w:w="322" w:type="pct"/>
                  <w:noWrap w:val="0"/>
                  <w:vAlign w:val="center"/>
                </w:tcPr>
                <w:p w14:paraId="7FA22D2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t>二氧化硫</w:t>
                  </w:r>
                </w:p>
              </w:tc>
              <w:tc>
                <w:tcPr>
                  <w:tcW w:w="467" w:type="pct"/>
                  <w:noWrap w:val="0"/>
                  <w:vAlign w:val="center"/>
                </w:tcPr>
                <w:p w14:paraId="1E15E45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304.1226</w:t>
                  </w:r>
                </w:p>
              </w:tc>
              <w:tc>
                <w:tcPr>
                  <w:tcW w:w="363" w:type="pct"/>
                  <w:noWrap w:val="0"/>
                  <w:vAlign w:val="center"/>
                </w:tcPr>
                <w:p w14:paraId="5D33D78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38.3993 </w:t>
                  </w:r>
                </w:p>
              </w:tc>
              <w:tc>
                <w:tcPr>
                  <w:tcW w:w="363" w:type="pct"/>
                  <w:noWrap w:val="0"/>
                  <w:vAlign w:val="center"/>
                </w:tcPr>
                <w:p w14:paraId="76E2CA8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t>有组织</w:t>
                  </w:r>
                </w:p>
              </w:tc>
              <w:tc>
                <w:tcPr>
                  <w:tcW w:w="300" w:type="pct"/>
                  <w:vMerge w:val="continue"/>
                  <w:noWrap w:val="0"/>
                  <w:vAlign w:val="center"/>
                </w:tcPr>
                <w:p w14:paraId="187CF52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pPr>
                </w:p>
              </w:tc>
              <w:tc>
                <w:tcPr>
                  <w:tcW w:w="270" w:type="pct"/>
                  <w:vMerge w:val="continue"/>
                  <w:noWrap w:val="0"/>
                  <w:vAlign w:val="center"/>
                </w:tcPr>
                <w:p w14:paraId="29C5262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pPr>
                </w:p>
              </w:tc>
              <w:tc>
                <w:tcPr>
                  <w:tcW w:w="232" w:type="pct"/>
                  <w:noWrap w:val="0"/>
                  <w:vAlign w:val="center"/>
                </w:tcPr>
                <w:p w14:paraId="0CC1E96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t>100</w:t>
                  </w:r>
                </w:p>
              </w:tc>
              <w:tc>
                <w:tcPr>
                  <w:tcW w:w="493" w:type="pct"/>
                  <w:noWrap w:val="0"/>
                  <w:vAlign w:val="center"/>
                </w:tcPr>
                <w:p w14:paraId="3B72D92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t>1-（1-85%）*（1-85%）*（1-85%）=99.66%</w:t>
                  </w:r>
                </w:p>
              </w:tc>
              <w:tc>
                <w:tcPr>
                  <w:tcW w:w="275" w:type="pct"/>
                  <w:noWrap w:val="0"/>
                  <w:vAlign w:val="center"/>
                </w:tcPr>
                <w:p w14:paraId="13FE688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t>是</w:t>
                  </w:r>
                </w:p>
              </w:tc>
              <w:tc>
                <w:tcPr>
                  <w:tcW w:w="370" w:type="pct"/>
                  <w:noWrap w:val="0"/>
                  <w:vAlign w:val="center"/>
                </w:tcPr>
                <w:p w14:paraId="740CD9A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5.8026 </w:t>
                  </w:r>
                </w:p>
              </w:tc>
              <w:tc>
                <w:tcPr>
                  <w:tcW w:w="362" w:type="pct"/>
                  <w:noWrap w:val="0"/>
                  <w:vAlign w:val="center"/>
                </w:tcPr>
                <w:p w14:paraId="6C79BD0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0.1306 </w:t>
                  </w:r>
                </w:p>
              </w:tc>
              <w:tc>
                <w:tcPr>
                  <w:tcW w:w="365" w:type="pct"/>
                  <w:noWrap w:val="0"/>
                  <w:vAlign w:val="center"/>
                </w:tcPr>
                <w:p w14:paraId="11CFA22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1.0340 </w:t>
                  </w:r>
                </w:p>
              </w:tc>
              <w:tc>
                <w:tcPr>
                  <w:tcW w:w="305" w:type="pct"/>
                  <w:vMerge w:val="continue"/>
                  <w:noWrap w:val="0"/>
                  <w:vAlign w:val="center"/>
                </w:tcPr>
                <w:p w14:paraId="63BB670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pPr>
                </w:p>
              </w:tc>
              <w:tc>
                <w:tcPr>
                  <w:tcW w:w="324" w:type="pct"/>
                  <w:noWrap w:val="0"/>
                  <w:vAlign w:val="center"/>
                </w:tcPr>
                <w:p w14:paraId="6A65D22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550</w:t>
                  </w:r>
                </w:p>
              </w:tc>
            </w:tr>
            <w:tr w14:paraId="34B70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80" w:type="pct"/>
                  <w:vMerge w:val="continue"/>
                  <w:noWrap w:val="0"/>
                  <w:vAlign w:val="center"/>
                </w:tcPr>
                <w:p w14:paraId="33D333B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322" w:type="pct"/>
                  <w:noWrap w:val="0"/>
                  <w:vAlign w:val="center"/>
                </w:tcPr>
                <w:p w14:paraId="2FAF2CA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氮氧化物</w:t>
                  </w:r>
                </w:p>
              </w:tc>
              <w:tc>
                <w:tcPr>
                  <w:tcW w:w="467" w:type="pct"/>
                  <w:noWrap w:val="0"/>
                  <w:vAlign w:val="center"/>
                </w:tcPr>
                <w:p w14:paraId="493AF31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28.2169</w:t>
                  </w:r>
                </w:p>
              </w:tc>
              <w:tc>
                <w:tcPr>
                  <w:tcW w:w="363" w:type="pct"/>
                  <w:noWrap w:val="0"/>
                  <w:vAlign w:val="center"/>
                </w:tcPr>
                <w:p w14:paraId="61C764E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3.5627 </w:t>
                  </w:r>
                </w:p>
              </w:tc>
              <w:tc>
                <w:tcPr>
                  <w:tcW w:w="363" w:type="pct"/>
                  <w:noWrap w:val="0"/>
                  <w:vAlign w:val="center"/>
                </w:tcPr>
                <w:p w14:paraId="21093BB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t>有组织</w:t>
                  </w:r>
                </w:p>
              </w:tc>
              <w:tc>
                <w:tcPr>
                  <w:tcW w:w="300" w:type="pct"/>
                  <w:vMerge w:val="continue"/>
                  <w:noWrap w:val="0"/>
                  <w:vAlign w:val="center"/>
                </w:tcPr>
                <w:p w14:paraId="7EED36E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pPr>
                </w:p>
              </w:tc>
              <w:tc>
                <w:tcPr>
                  <w:tcW w:w="270" w:type="pct"/>
                  <w:vMerge w:val="continue"/>
                  <w:noWrap w:val="0"/>
                  <w:vAlign w:val="center"/>
                </w:tcPr>
                <w:p w14:paraId="3A56C3E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pPr>
                </w:p>
              </w:tc>
              <w:tc>
                <w:tcPr>
                  <w:tcW w:w="232" w:type="pct"/>
                  <w:noWrap w:val="0"/>
                  <w:vAlign w:val="center"/>
                </w:tcPr>
                <w:p w14:paraId="28AC03B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t>100</w:t>
                  </w:r>
                </w:p>
              </w:tc>
              <w:tc>
                <w:tcPr>
                  <w:tcW w:w="493" w:type="pct"/>
                  <w:noWrap w:val="0"/>
                  <w:vAlign w:val="center"/>
                </w:tcPr>
                <w:p w14:paraId="758C469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lang w:val="en-US" w:eastAsia="zh-CN"/>
                      <w14:textFill>
                        <w14:solidFill>
                          <w14:schemeClr w14:val="tx1"/>
                        </w14:solidFill>
                      </w14:textFill>
                    </w:rPr>
                    <w:t>1-（1-80%）*（1-80%）*（1-80%）=99.2%</w:t>
                  </w:r>
                </w:p>
              </w:tc>
              <w:tc>
                <w:tcPr>
                  <w:tcW w:w="275" w:type="pct"/>
                  <w:noWrap w:val="0"/>
                  <w:vAlign w:val="center"/>
                </w:tcPr>
                <w:p w14:paraId="1EDB1D9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t>是</w:t>
                  </w:r>
                </w:p>
              </w:tc>
              <w:tc>
                <w:tcPr>
                  <w:tcW w:w="370" w:type="pct"/>
                  <w:noWrap w:val="0"/>
                  <w:vAlign w:val="center"/>
                </w:tcPr>
                <w:p w14:paraId="6F7E1C3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1.2668 </w:t>
                  </w:r>
                </w:p>
              </w:tc>
              <w:tc>
                <w:tcPr>
                  <w:tcW w:w="362" w:type="pct"/>
                  <w:noWrap w:val="0"/>
                  <w:vAlign w:val="center"/>
                </w:tcPr>
                <w:p w14:paraId="5C83297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0.0285 </w:t>
                  </w:r>
                </w:p>
              </w:tc>
              <w:tc>
                <w:tcPr>
                  <w:tcW w:w="365" w:type="pct"/>
                  <w:noWrap w:val="0"/>
                  <w:vAlign w:val="center"/>
                </w:tcPr>
                <w:p w14:paraId="1F913DC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0.2257 </w:t>
                  </w:r>
                </w:p>
              </w:tc>
              <w:tc>
                <w:tcPr>
                  <w:tcW w:w="305" w:type="pct"/>
                  <w:vMerge w:val="continue"/>
                  <w:noWrap w:val="0"/>
                  <w:vAlign w:val="center"/>
                </w:tcPr>
                <w:p w14:paraId="1574429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pPr>
                </w:p>
              </w:tc>
              <w:tc>
                <w:tcPr>
                  <w:tcW w:w="324" w:type="pct"/>
                  <w:noWrap w:val="0"/>
                  <w:vAlign w:val="center"/>
                </w:tcPr>
                <w:p w14:paraId="3FA4FF4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t>240</w:t>
                  </w:r>
                </w:p>
              </w:tc>
            </w:tr>
            <w:tr w14:paraId="42688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80" w:type="pct"/>
                  <w:vMerge w:val="continue"/>
                  <w:noWrap w:val="0"/>
                  <w:vAlign w:val="center"/>
                </w:tcPr>
                <w:p w14:paraId="48D1951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322" w:type="pct"/>
                  <w:noWrap w:val="0"/>
                  <w:vAlign w:val="center"/>
                </w:tcPr>
                <w:p w14:paraId="442E5BF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氟化物</w:t>
                  </w:r>
                </w:p>
              </w:tc>
              <w:tc>
                <w:tcPr>
                  <w:tcW w:w="467" w:type="pct"/>
                  <w:noWrap w:val="0"/>
                  <w:vAlign w:val="center"/>
                </w:tcPr>
                <w:p w14:paraId="64B0BAE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228.4275</w:t>
                  </w:r>
                </w:p>
              </w:tc>
              <w:tc>
                <w:tcPr>
                  <w:tcW w:w="363" w:type="pct"/>
                  <w:noWrap w:val="0"/>
                  <w:vAlign w:val="center"/>
                </w:tcPr>
                <w:p w14:paraId="09D49FF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28.8419 </w:t>
                  </w:r>
                </w:p>
              </w:tc>
              <w:tc>
                <w:tcPr>
                  <w:tcW w:w="363" w:type="pct"/>
                  <w:noWrap w:val="0"/>
                  <w:vAlign w:val="center"/>
                </w:tcPr>
                <w:p w14:paraId="6D3DB15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t>有组织</w:t>
                  </w:r>
                </w:p>
              </w:tc>
              <w:tc>
                <w:tcPr>
                  <w:tcW w:w="300" w:type="pct"/>
                  <w:vMerge w:val="continue"/>
                  <w:noWrap w:val="0"/>
                  <w:vAlign w:val="center"/>
                </w:tcPr>
                <w:p w14:paraId="39CF2B0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pPr>
                </w:p>
              </w:tc>
              <w:tc>
                <w:tcPr>
                  <w:tcW w:w="270" w:type="pct"/>
                  <w:vMerge w:val="continue"/>
                  <w:noWrap w:val="0"/>
                  <w:vAlign w:val="center"/>
                </w:tcPr>
                <w:p w14:paraId="5141DB9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pPr>
                </w:p>
              </w:tc>
              <w:tc>
                <w:tcPr>
                  <w:tcW w:w="232" w:type="pct"/>
                  <w:noWrap w:val="0"/>
                  <w:vAlign w:val="center"/>
                </w:tcPr>
                <w:p w14:paraId="0B21065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t>100</w:t>
                  </w:r>
                </w:p>
              </w:tc>
              <w:tc>
                <w:tcPr>
                  <w:tcW w:w="493" w:type="pct"/>
                  <w:noWrap w:val="0"/>
                  <w:vAlign w:val="center"/>
                </w:tcPr>
                <w:p w14:paraId="79BA7D8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t>99.7</w:t>
                  </w:r>
                </w:p>
              </w:tc>
              <w:tc>
                <w:tcPr>
                  <w:tcW w:w="275" w:type="pct"/>
                  <w:noWrap w:val="0"/>
                  <w:vAlign w:val="center"/>
                </w:tcPr>
                <w:p w14:paraId="6EEC020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t>是</w:t>
                  </w:r>
                </w:p>
              </w:tc>
              <w:tc>
                <w:tcPr>
                  <w:tcW w:w="370" w:type="pct"/>
                  <w:noWrap w:val="0"/>
                  <w:vAlign w:val="center"/>
                </w:tcPr>
                <w:p w14:paraId="1F3C565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3.8456 </w:t>
                  </w:r>
                </w:p>
              </w:tc>
              <w:tc>
                <w:tcPr>
                  <w:tcW w:w="362" w:type="pct"/>
                  <w:noWrap w:val="0"/>
                  <w:vAlign w:val="center"/>
                </w:tcPr>
                <w:p w14:paraId="7DFAE1F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0.0865 </w:t>
                  </w:r>
                </w:p>
              </w:tc>
              <w:tc>
                <w:tcPr>
                  <w:tcW w:w="365" w:type="pct"/>
                  <w:noWrap w:val="0"/>
                  <w:vAlign w:val="center"/>
                </w:tcPr>
                <w:p w14:paraId="7626269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0.6853 </w:t>
                  </w:r>
                </w:p>
              </w:tc>
              <w:tc>
                <w:tcPr>
                  <w:tcW w:w="305" w:type="pct"/>
                  <w:vMerge w:val="continue"/>
                  <w:noWrap w:val="0"/>
                  <w:vAlign w:val="center"/>
                </w:tcPr>
                <w:p w14:paraId="19415A6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pPr>
                </w:p>
              </w:tc>
              <w:tc>
                <w:tcPr>
                  <w:tcW w:w="324" w:type="pct"/>
                  <w:noWrap w:val="0"/>
                  <w:vAlign w:val="center"/>
                </w:tcPr>
                <w:p w14:paraId="1726674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t>6</w:t>
                  </w:r>
                </w:p>
              </w:tc>
            </w:tr>
            <w:tr w14:paraId="1CC2D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80" w:type="pct"/>
                  <w:vMerge w:val="continue"/>
                  <w:noWrap w:val="0"/>
                  <w:vAlign w:val="center"/>
                </w:tcPr>
                <w:p w14:paraId="270D92B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322" w:type="pct"/>
                  <w:noWrap w:val="0"/>
                  <w:vAlign w:val="center"/>
                </w:tcPr>
                <w:p w14:paraId="5C9940B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二噁英</w:t>
                  </w:r>
                </w:p>
              </w:tc>
              <w:tc>
                <w:tcPr>
                  <w:tcW w:w="467" w:type="pct"/>
                  <w:noWrap w:val="0"/>
                  <w:vAlign w:val="center"/>
                </w:tcPr>
                <w:p w14:paraId="22AE368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t>2.51</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E-08</w:t>
                  </w:r>
                </w:p>
              </w:tc>
              <w:tc>
                <w:tcPr>
                  <w:tcW w:w="363" w:type="pct"/>
                  <w:noWrap w:val="0"/>
                  <w:vAlign w:val="center"/>
                </w:tcPr>
                <w:p w14:paraId="75547E1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t>3.17</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E-09</w:t>
                  </w:r>
                </w:p>
              </w:tc>
              <w:tc>
                <w:tcPr>
                  <w:tcW w:w="363" w:type="pct"/>
                  <w:noWrap w:val="0"/>
                  <w:vAlign w:val="center"/>
                </w:tcPr>
                <w:p w14:paraId="38C009B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t>有组织</w:t>
                  </w:r>
                </w:p>
              </w:tc>
              <w:tc>
                <w:tcPr>
                  <w:tcW w:w="300" w:type="pct"/>
                  <w:vMerge w:val="continue"/>
                  <w:noWrap w:val="0"/>
                  <w:vAlign w:val="center"/>
                </w:tcPr>
                <w:p w14:paraId="3DBC388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pPr>
                </w:p>
              </w:tc>
              <w:tc>
                <w:tcPr>
                  <w:tcW w:w="270" w:type="pct"/>
                  <w:vMerge w:val="continue"/>
                  <w:noWrap w:val="0"/>
                  <w:vAlign w:val="center"/>
                </w:tcPr>
                <w:p w14:paraId="656666F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pPr>
                </w:p>
              </w:tc>
              <w:tc>
                <w:tcPr>
                  <w:tcW w:w="232" w:type="pct"/>
                  <w:noWrap w:val="0"/>
                  <w:vAlign w:val="center"/>
                </w:tcPr>
                <w:p w14:paraId="4E39755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t>100</w:t>
                  </w:r>
                </w:p>
              </w:tc>
              <w:tc>
                <w:tcPr>
                  <w:tcW w:w="493" w:type="pct"/>
                  <w:noWrap w:val="0"/>
                  <w:vAlign w:val="center"/>
                </w:tcPr>
                <w:p w14:paraId="002BBC8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t>90%</w:t>
                  </w:r>
                </w:p>
              </w:tc>
              <w:tc>
                <w:tcPr>
                  <w:tcW w:w="275" w:type="pct"/>
                  <w:noWrap w:val="0"/>
                  <w:vAlign w:val="center"/>
                </w:tcPr>
                <w:p w14:paraId="6C0B4FC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t>是</w:t>
                  </w:r>
                </w:p>
              </w:tc>
              <w:tc>
                <w:tcPr>
                  <w:tcW w:w="370" w:type="pct"/>
                  <w:noWrap w:val="0"/>
                  <w:vAlign w:val="center"/>
                </w:tcPr>
                <w:p w14:paraId="2643997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r>
                    <w:rPr>
                      <w:rFonts w:hint="default"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t>41</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E-08</w:t>
                  </w:r>
                </w:p>
              </w:tc>
              <w:tc>
                <w:tcPr>
                  <w:tcW w:w="362" w:type="pct"/>
                  <w:noWrap w:val="0"/>
                  <w:vAlign w:val="center"/>
                </w:tcPr>
                <w:p w14:paraId="34CC8B1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t>3.17</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E-10</w:t>
                  </w:r>
                </w:p>
              </w:tc>
              <w:tc>
                <w:tcPr>
                  <w:tcW w:w="365" w:type="pct"/>
                  <w:noWrap w:val="0"/>
                  <w:vAlign w:val="center"/>
                </w:tcPr>
                <w:p w14:paraId="68E8240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t>2.51</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E-09</w:t>
                  </w:r>
                </w:p>
              </w:tc>
              <w:tc>
                <w:tcPr>
                  <w:tcW w:w="305" w:type="pct"/>
                  <w:vMerge w:val="continue"/>
                  <w:noWrap w:val="0"/>
                  <w:vAlign w:val="center"/>
                </w:tcPr>
                <w:p w14:paraId="3474BEF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pPr>
                </w:p>
              </w:tc>
              <w:tc>
                <w:tcPr>
                  <w:tcW w:w="324" w:type="pct"/>
                  <w:noWrap w:val="0"/>
                  <w:vAlign w:val="center"/>
                </w:tcPr>
                <w:p w14:paraId="19129E4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t>5E-07</w:t>
                  </w:r>
                </w:p>
              </w:tc>
            </w:tr>
            <w:tr w14:paraId="33E48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80" w:type="pct"/>
                  <w:vMerge w:val="continue"/>
                  <w:noWrap w:val="0"/>
                  <w:vAlign w:val="center"/>
                </w:tcPr>
                <w:p w14:paraId="4142BC7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322" w:type="pct"/>
                  <w:noWrap w:val="0"/>
                  <w:vAlign w:val="center"/>
                </w:tcPr>
                <w:p w14:paraId="5369FB7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VOCs</w:t>
                  </w:r>
                </w:p>
              </w:tc>
              <w:tc>
                <w:tcPr>
                  <w:tcW w:w="467" w:type="pct"/>
                  <w:noWrap w:val="0"/>
                  <w:vAlign w:val="center"/>
                </w:tcPr>
                <w:p w14:paraId="0B0291B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t>26.9391</w:t>
                  </w:r>
                </w:p>
              </w:tc>
              <w:tc>
                <w:tcPr>
                  <w:tcW w:w="363" w:type="pct"/>
                  <w:noWrap w:val="0"/>
                  <w:vAlign w:val="center"/>
                </w:tcPr>
                <w:p w14:paraId="03CB1AF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t>3.4014</w:t>
                  </w:r>
                </w:p>
              </w:tc>
              <w:tc>
                <w:tcPr>
                  <w:tcW w:w="363" w:type="pct"/>
                  <w:noWrap w:val="0"/>
                  <w:vAlign w:val="center"/>
                </w:tcPr>
                <w:p w14:paraId="0F7083E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t>有组织</w:t>
                  </w:r>
                </w:p>
              </w:tc>
              <w:tc>
                <w:tcPr>
                  <w:tcW w:w="300" w:type="pct"/>
                  <w:vMerge w:val="continue"/>
                  <w:noWrap w:val="0"/>
                  <w:vAlign w:val="center"/>
                </w:tcPr>
                <w:p w14:paraId="1AC6D43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pPr>
                </w:p>
              </w:tc>
              <w:tc>
                <w:tcPr>
                  <w:tcW w:w="270" w:type="pct"/>
                  <w:vMerge w:val="continue"/>
                  <w:noWrap w:val="0"/>
                  <w:vAlign w:val="center"/>
                </w:tcPr>
                <w:p w14:paraId="77BED13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pPr>
                </w:p>
              </w:tc>
              <w:tc>
                <w:tcPr>
                  <w:tcW w:w="232" w:type="pct"/>
                  <w:noWrap w:val="0"/>
                  <w:vAlign w:val="center"/>
                </w:tcPr>
                <w:p w14:paraId="6130535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t>100</w:t>
                  </w:r>
                </w:p>
              </w:tc>
              <w:tc>
                <w:tcPr>
                  <w:tcW w:w="493" w:type="pct"/>
                  <w:noWrap w:val="0"/>
                  <w:vAlign w:val="center"/>
                </w:tcPr>
                <w:p w14:paraId="38352A7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t>99%</w:t>
                  </w:r>
                </w:p>
              </w:tc>
              <w:tc>
                <w:tcPr>
                  <w:tcW w:w="275" w:type="pct"/>
                  <w:noWrap w:val="0"/>
                  <w:vAlign w:val="center"/>
                </w:tcPr>
                <w:p w14:paraId="5C66082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t>是</w:t>
                  </w:r>
                </w:p>
              </w:tc>
              <w:tc>
                <w:tcPr>
                  <w:tcW w:w="370" w:type="pct"/>
                  <w:noWrap w:val="0"/>
                  <w:vAlign w:val="center"/>
                </w:tcPr>
                <w:p w14:paraId="3EB422D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t>1.5117</w:t>
                  </w:r>
                </w:p>
              </w:tc>
              <w:tc>
                <w:tcPr>
                  <w:tcW w:w="362" w:type="pct"/>
                  <w:noWrap w:val="0"/>
                  <w:vAlign w:val="center"/>
                </w:tcPr>
                <w:p w14:paraId="4386453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t>0.034</w:t>
                  </w:r>
                </w:p>
              </w:tc>
              <w:tc>
                <w:tcPr>
                  <w:tcW w:w="365" w:type="pct"/>
                  <w:noWrap w:val="0"/>
                  <w:vAlign w:val="center"/>
                </w:tcPr>
                <w:p w14:paraId="4074E5F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t>0.2694</w:t>
                  </w:r>
                </w:p>
              </w:tc>
              <w:tc>
                <w:tcPr>
                  <w:tcW w:w="305" w:type="pct"/>
                  <w:vMerge w:val="continue"/>
                  <w:noWrap w:val="0"/>
                  <w:vAlign w:val="center"/>
                </w:tcPr>
                <w:p w14:paraId="08AA134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pPr>
                </w:p>
              </w:tc>
              <w:tc>
                <w:tcPr>
                  <w:tcW w:w="324" w:type="pct"/>
                  <w:noWrap w:val="0"/>
                  <w:vAlign w:val="center"/>
                </w:tcPr>
                <w:p w14:paraId="0266A9D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t>35kg/h</w:t>
                  </w:r>
                </w:p>
              </w:tc>
            </w:tr>
          </w:tbl>
          <w:p w14:paraId="2DC3F696">
            <w:pPr>
              <w:ind w:firstLine="0" w:firstLineChars="0"/>
              <w:rPr>
                <w:rFonts w:hint="default"/>
                <w:color w:val="000000" w:themeColor="text1"/>
                <w:lang w:val="en-US" w:eastAsia="zh-CN"/>
                <w14:textFill>
                  <w14:solidFill>
                    <w14:schemeClr w14:val="tx1"/>
                  </w14:solidFill>
                </w14:textFill>
              </w:rPr>
            </w:pPr>
          </w:p>
        </w:tc>
      </w:tr>
    </w:tbl>
    <w:p w14:paraId="0C112896">
      <w:pPr>
        <w:pStyle w:val="16"/>
        <w:rPr>
          <w:color w:val="000000" w:themeColor="text1"/>
          <w14:textFill>
            <w14:solidFill>
              <w14:schemeClr w14:val="tx1"/>
            </w14:solidFill>
          </w14:textFill>
        </w:rPr>
        <w:sectPr>
          <w:pgSz w:w="16838" w:h="11906" w:orient="landscape"/>
          <w:pgMar w:top="1080" w:right="1440" w:bottom="1080" w:left="1440" w:header="851" w:footer="567" w:gutter="0"/>
          <w:cols w:space="425" w:num="1"/>
          <w:docGrid w:type="lines" w:linePitch="326" w:charSpace="0"/>
        </w:sectPr>
      </w:pP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2"/>
        <w:gridCol w:w="9740"/>
      </w:tblGrid>
      <w:tr w14:paraId="03F1C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4" w:type="dxa"/>
          </w:tcPr>
          <w:p w14:paraId="4C2B55F8">
            <w:pPr>
              <w:pStyle w:val="17"/>
              <w:rPr>
                <w:color w:val="000000" w:themeColor="text1"/>
                <w:vertAlign w:val="baseline"/>
                <w14:textFill>
                  <w14:solidFill>
                    <w14:schemeClr w14:val="tx1"/>
                  </w14:solidFill>
                </w14:textFill>
              </w:rPr>
            </w:pPr>
          </w:p>
        </w:tc>
        <w:tc>
          <w:tcPr>
            <w:tcW w:w="9688" w:type="dxa"/>
          </w:tcPr>
          <w:p w14:paraId="66D21148">
            <w:pPr>
              <w:ind w:firstLine="482"/>
              <w:rPr>
                <w:rFonts w:hint="default" w:ascii="Times New Roman" w:hAnsi="Times New Roman" w:eastAsia="宋体" w:cs="Times New Roman"/>
                <w:bCs/>
                <w:color w:val="000000" w:themeColor="text1"/>
                <w:kern w:val="2"/>
                <w:sz w:val="24"/>
                <w:szCs w:val="22"/>
                <w:lang w:val="en-US" w:eastAsia="zh-CN" w:bidi="ar-SA"/>
                <w14:textFill>
                  <w14:solidFill>
                    <w14:schemeClr w14:val="tx1"/>
                  </w14:solidFill>
                </w14:textFill>
              </w:rPr>
            </w:pPr>
            <w:r>
              <w:rPr>
                <w:rFonts w:hint="eastAsia" w:ascii="Times New Roman" w:hAnsi="Times New Roman" w:eastAsia="宋体" w:cs="Times New Roman"/>
                <w:bCs/>
                <w:color w:val="000000" w:themeColor="text1"/>
                <w:kern w:val="2"/>
                <w:sz w:val="24"/>
                <w:szCs w:val="22"/>
                <w:lang w:val="en-US" w:eastAsia="zh-CN" w:bidi="ar-SA"/>
                <w14:textFill>
                  <w14:solidFill>
                    <w14:schemeClr w14:val="tx1"/>
                  </w14:solidFill>
                </w14:textFill>
              </w:rPr>
              <w:t>煅烧废气经</w:t>
            </w:r>
            <w:r>
              <w:rPr>
                <w:rFonts w:hint="eastAsia" w:cs="Times New Roman"/>
                <w:bCs/>
                <w:color w:val="000000" w:themeColor="text1"/>
                <w:kern w:val="2"/>
                <w:sz w:val="24"/>
                <w:szCs w:val="22"/>
                <w:lang w:val="en-US" w:eastAsia="zh-CN" w:bidi="ar-SA"/>
                <w14:textFill>
                  <w14:solidFill>
                    <w14:schemeClr w14:val="tx1"/>
                  </w14:solidFill>
                </w14:textFill>
              </w:rPr>
              <w:t>废气治理设施</w:t>
            </w:r>
            <w:r>
              <w:rPr>
                <w:rFonts w:hint="eastAsia" w:ascii="Times New Roman" w:hAnsi="Times New Roman" w:eastAsia="宋体" w:cs="Times New Roman"/>
                <w:bCs/>
                <w:color w:val="000000" w:themeColor="text1"/>
                <w:kern w:val="2"/>
                <w:sz w:val="24"/>
                <w:szCs w:val="22"/>
                <w:lang w:val="en-US" w:eastAsia="zh-CN" w:bidi="ar-SA"/>
                <w14:textFill>
                  <w14:solidFill>
                    <w14:schemeClr w14:val="tx1"/>
                  </w14:solidFill>
                </w14:textFill>
              </w:rPr>
              <w:t>处理后，经1根</w:t>
            </w:r>
            <w:r>
              <w:rPr>
                <w:rFonts w:hint="eastAsia" w:cs="Times New Roman"/>
                <w:bCs/>
                <w:color w:val="000000" w:themeColor="text1"/>
                <w:kern w:val="2"/>
                <w:sz w:val="24"/>
                <w:szCs w:val="22"/>
                <w:lang w:val="en-US" w:eastAsia="zh-CN" w:bidi="ar-SA"/>
                <w14:textFill>
                  <w14:solidFill>
                    <w14:schemeClr w14:val="tx1"/>
                  </w14:solidFill>
                </w14:textFill>
              </w:rPr>
              <w:t>25</w:t>
            </w:r>
            <w:r>
              <w:rPr>
                <w:rFonts w:hint="eastAsia" w:ascii="Times New Roman" w:hAnsi="Times New Roman" w:eastAsia="宋体" w:cs="Times New Roman"/>
                <w:bCs/>
                <w:color w:val="000000" w:themeColor="text1"/>
                <w:kern w:val="2"/>
                <w:sz w:val="24"/>
                <w:szCs w:val="22"/>
                <w:lang w:val="en-US" w:eastAsia="zh-CN" w:bidi="ar-SA"/>
                <w14:textFill>
                  <w14:solidFill>
                    <w14:schemeClr w14:val="tx1"/>
                  </w14:solidFill>
                </w14:textFill>
              </w:rPr>
              <w:t>m高排气筒（DA001）排放。</w:t>
            </w:r>
            <w:r>
              <w:rPr>
                <w:rFonts w:hint="default" w:ascii="Times New Roman" w:hAnsi="Times New Roman" w:eastAsia="宋体" w:cs="Times New Roman"/>
                <w:bCs/>
                <w:color w:val="000000" w:themeColor="text1"/>
                <w:kern w:val="2"/>
                <w:sz w:val="24"/>
                <w:szCs w:val="22"/>
                <w:lang w:val="en-US" w:eastAsia="zh-CN" w:bidi="ar-SA"/>
                <w14:textFill>
                  <w14:solidFill>
                    <w14:schemeClr w14:val="tx1"/>
                  </w14:solidFill>
                </w14:textFill>
              </w:rPr>
              <w:t>颗粒物、</w:t>
            </w:r>
            <w:r>
              <w:rPr>
                <w:rFonts w:hint="eastAsia" w:cs="Times New Roman"/>
                <w:bCs/>
                <w:color w:val="000000" w:themeColor="text1"/>
                <w:kern w:val="2"/>
                <w:sz w:val="24"/>
                <w:szCs w:val="22"/>
                <w:lang w:val="en-US" w:eastAsia="zh-CN" w:bidi="ar-SA"/>
                <w14:textFill>
                  <w14:solidFill>
                    <w14:schemeClr w14:val="tx1"/>
                  </w14:solidFill>
                </w14:textFill>
              </w:rPr>
              <w:t>氟化物均能够达到</w:t>
            </w:r>
            <w:r>
              <w:rPr>
                <w:rFonts w:hint="eastAsia" w:ascii="Times New Roman" w:hAnsi="Times New Roman" w:eastAsia="宋体" w:cs="Times New Roman"/>
                <w:color w:val="000000" w:themeColor="text1"/>
                <w:lang w:val="en-US" w:eastAsia="zh-CN"/>
                <w14:textFill>
                  <w14:solidFill>
                    <w14:schemeClr w14:val="tx1"/>
                  </w14:solidFill>
                </w14:textFill>
              </w:rPr>
              <w:t>《工业炉窑大气污染物排放标准》（G9078-1996）</w:t>
            </w:r>
            <w:r>
              <w:rPr>
                <w:rFonts w:hint="eastAsia" w:ascii="Times New Roman" w:hAnsi="Times New Roman" w:cs="Times New Roman"/>
                <w:color w:val="000000" w:themeColor="text1"/>
                <w:lang w:val="en-US" w:eastAsia="zh-CN"/>
                <w14:textFill>
                  <w14:solidFill>
                    <w14:schemeClr w14:val="tx1"/>
                  </w14:solidFill>
                </w14:textFill>
              </w:rPr>
              <w:t>标准限值要求，</w:t>
            </w:r>
            <w:r>
              <w:rPr>
                <w:rFonts w:hint="default" w:ascii="Times New Roman" w:hAnsi="Times New Roman" w:eastAsia="宋体" w:cs="Times New Roman"/>
                <w:bCs/>
                <w:color w:val="000000" w:themeColor="text1"/>
                <w:kern w:val="2"/>
                <w:sz w:val="24"/>
                <w:szCs w:val="22"/>
                <w:lang w:val="en-US" w:eastAsia="zh-CN" w:bidi="ar-SA"/>
                <w14:textFill>
                  <w14:solidFill>
                    <w14:schemeClr w14:val="tx1"/>
                  </w14:solidFill>
                </w14:textFill>
              </w:rPr>
              <w:t>二氧化硫、氮氧化物</w:t>
            </w:r>
            <w:r>
              <w:rPr>
                <w:rFonts w:hint="eastAsia" w:ascii="Times New Roman" w:hAnsi="Times New Roman" w:eastAsia="宋体" w:cs="Times New Roman"/>
                <w:bCs/>
                <w:color w:val="000000" w:themeColor="text1"/>
                <w:kern w:val="2"/>
                <w:sz w:val="24"/>
                <w:szCs w:val="22"/>
                <w:lang w:val="en-US" w:eastAsia="zh-CN" w:bidi="ar-SA"/>
                <w14:textFill>
                  <w14:solidFill>
                    <w14:schemeClr w14:val="tx1"/>
                  </w14:solidFill>
                </w14:textFill>
              </w:rPr>
              <w:t>能够达到</w:t>
            </w:r>
            <w:r>
              <w:rPr>
                <w:rFonts w:hint="eastAsia" w:cs="Times New Roman"/>
                <w:color w:val="000000" w:themeColor="text1"/>
                <w:lang w:eastAsia="zh-CN"/>
                <w14:textFill>
                  <w14:solidFill>
                    <w14:schemeClr w14:val="tx1"/>
                  </w14:solidFill>
                </w14:textFill>
              </w:rPr>
              <w:t>《关于印发&lt;工业炉窑大气污染综合治理方案&gt;的通知》（环大气〔2019〕56号）</w:t>
            </w:r>
            <w:r>
              <w:rPr>
                <w:rFonts w:hint="eastAsia" w:ascii="Times New Roman" w:hAnsi="Times New Roman" w:cs="Times New Roman"/>
                <w:color w:val="000000" w:themeColor="text1"/>
                <w:lang w:val="en-US" w:eastAsia="zh-CN"/>
                <w14:textFill>
                  <w14:solidFill>
                    <w14:schemeClr w14:val="tx1"/>
                  </w14:solidFill>
                </w14:textFill>
              </w:rPr>
              <w:t>要求</w:t>
            </w:r>
            <w:r>
              <w:rPr>
                <w:rFonts w:hint="eastAsia" w:ascii="Times New Roman" w:hAnsi="Times New Roman" w:eastAsia="宋体" w:cs="Times New Roman"/>
                <w:bCs/>
                <w:color w:val="000000" w:themeColor="text1"/>
                <w:kern w:val="2"/>
                <w:sz w:val="24"/>
                <w:szCs w:val="22"/>
                <w:lang w:val="en-US" w:eastAsia="zh-CN" w:bidi="ar-SA"/>
                <w14:textFill>
                  <w14:solidFill>
                    <w14:schemeClr w14:val="tx1"/>
                  </w14:solidFill>
                </w14:textFill>
              </w:rPr>
              <w:t>。二噁英能够达到</w:t>
            </w:r>
            <w:r>
              <w:rPr>
                <w:rFonts w:hint="eastAsia" w:cs="Times New Roman"/>
                <w:bCs/>
                <w:color w:val="000000" w:themeColor="text1"/>
                <w:kern w:val="2"/>
                <w:sz w:val="24"/>
                <w:szCs w:val="22"/>
                <w:lang w:val="en-US" w:eastAsia="zh-CN" w:bidi="ar-SA"/>
                <w14:textFill>
                  <w14:solidFill>
                    <w14:schemeClr w14:val="tx1"/>
                  </w14:solidFill>
                </w14:textFill>
              </w:rPr>
              <w:t>参考的</w:t>
            </w:r>
            <w:r>
              <w:rPr>
                <w:rFonts w:hint="eastAsia"/>
                <w:color w:val="000000" w:themeColor="text1"/>
                <w:lang w:eastAsia="zh-CN"/>
                <w14:textFill>
                  <w14:solidFill>
                    <w14:schemeClr w14:val="tx1"/>
                  </w14:solidFill>
                </w14:textFill>
              </w:rPr>
              <w:t>《危险废物焚烧污染控制标准》（GB18484-2020）</w:t>
            </w:r>
            <w:r>
              <w:rPr>
                <w:rFonts w:hint="eastAsia"/>
                <w:color w:val="000000" w:themeColor="text1"/>
                <w:lang w:val="en-US" w:eastAsia="zh-CN"/>
                <w14:textFill>
                  <w14:solidFill>
                    <w14:schemeClr w14:val="tx1"/>
                  </w14:solidFill>
                </w14:textFill>
              </w:rPr>
              <w:t>标准要求。VOCs能够达到《大气污染物综合排放标准》（GB3095-1996）二级标准限值要求。综上，煅烧废气经处理后达标排放。</w:t>
            </w:r>
          </w:p>
          <w:p w14:paraId="50D9664E">
            <w:pPr>
              <w:ind w:firstLine="482" w:firstLineChars="200"/>
              <w:rPr>
                <w:rFonts w:hint="eastAsia" w:eastAsia="宋体" w:cs="Times New Roman"/>
                <w:b/>
                <w:color w:val="000000" w:themeColor="text1"/>
                <w:lang w:val="en-US" w:eastAsia="zh-CN"/>
                <w14:textFill>
                  <w14:solidFill>
                    <w14:schemeClr w14:val="tx1"/>
                  </w14:solidFill>
                </w14:textFill>
              </w:rPr>
            </w:pPr>
            <w:r>
              <w:rPr>
                <w:rFonts w:hint="eastAsia" w:cs="Times New Roman"/>
                <w:b/>
                <w:color w:val="000000" w:themeColor="text1"/>
                <w:lang w:val="en-US" w:eastAsia="zh-CN"/>
                <w14:textFill>
                  <w14:solidFill>
                    <w14:schemeClr w14:val="tx1"/>
                  </w14:solidFill>
                </w14:textFill>
              </w:rPr>
              <w:t>②本项目</w:t>
            </w:r>
            <w:r>
              <w:rPr>
                <w:rFonts w:cs="Times New Roman"/>
                <w:b/>
                <w:color w:val="000000" w:themeColor="text1"/>
                <w14:textFill>
                  <w14:solidFill>
                    <w14:schemeClr w14:val="tx1"/>
                  </w14:solidFill>
                </w14:textFill>
              </w:rPr>
              <w:t>无组织废气排放情况</w:t>
            </w:r>
            <w:r>
              <w:rPr>
                <w:rFonts w:hint="eastAsia" w:cs="Times New Roman"/>
                <w:b/>
                <w:color w:val="000000" w:themeColor="text1"/>
                <w:lang w:val="en-US" w:eastAsia="zh-CN"/>
                <w14:textFill>
                  <w14:solidFill>
                    <w14:schemeClr w14:val="tx1"/>
                  </w14:solidFill>
                </w14:textFill>
              </w:rPr>
              <w:t>汇总</w:t>
            </w:r>
          </w:p>
          <w:p w14:paraId="09F41481">
            <w:pPr>
              <w:pStyle w:val="11"/>
              <w:keepNext/>
              <w:keepLines w:val="0"/>
              <w:pageBreakBefore w:val="0"/>
              <w:widowControl/>
              <w:kinsoku/>
              <w:wordWrap/>
              <w:overflowPunct/>
              <w:topLinePunct w:val="0"/>
              <w:autoSpaceDE/>
              <w:autoSpaceDN/>
              <w:bidi w:val="0"/>
              <w:adjustRightInd w:val="0"/>
              <w:snapToGrid w:val="0"/>
              <w:spacing w:after="0" w:line="240" w:lineRule="auto"/>
              <w:textAlignment w:val="auto"/>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表</w:t>
            </w:r>
            <w:r>
              <w:rPr>
                <w:rFonts w:cs="Times New Roman"/>
                <w:color w:val="000000" w:themeColor="text1"/>
                <w14:textFill>
                  <w14:solidFill>
                    <w14:schemeClr w14:val="tx1"/>
                  </w14:solidFill>
                </w14:textFill>
              </w:rPr>
              <w:fldChar w:fldCharType="begin"/>
            </w:r>
            <w:r>
              <w:rPr>
                <w:rFonts w:cs="Times New Roman"/>
                <w:color w:val="000000" w:themeColor="text1"/>
                <w14:textFill>
                  <w14:solidFill>
                    <w14:schemeClr w14:val="tx1"/>
                  </w14:solidFill>
                </w14:textFill>
              </w:rPr>
              <w:instrText xml:space="preserve"> SEQ seq \c </w:instrText>
            </w:r>
            <w:r>
              <w:rPr>
                <w:rFonts w:cs="Times New Roman"/>
                <w:color w:val="000000" w:themeColor="text1"/>
                <w14:textFill>
                  <w14:solidFill>
                    <w14:schemeClr w14:val="tx1"/>
                  </w14:solidFill>
                </w14:textFill>
              </w:rPr>
              <w:fldChar w:fldCharType="separate"/>
            </w:r>
            <w:r>
              <w:rPr>
                <w:rFonts w:cs="Times New Roman"/>
                <w:color w:val="000000" w:themeColor="text1"/>
                <w14:textFill>
                  <w14:solidFill>
                    <w14:schemeClr w14:val="tx1"/>
                  </w14:solidFill>
                </w14:textFill>
              </w:rPr>
              <w:t>4</w:t>
            </w:r>
            <w:r>
              <w:rPr>
                <w:rFonts w:cs="Times New Roman"/>
                <w:color w:val="000000" w:themeColor="text1"/>
                <w14:textFill>
                  <w14:solidFill>
                    <w14:schemeClr w14:val="tx1"/>
                  </w14:solidFill>
                </w14:textFill>
              </w:rPr>
              <w:fldChar w:fldCharType="end"/>
            </w:r>
            <w:r>
              <w:rPr>
                <w:rFonts w:cs="Times New Roman"/>
                <w:color w:val="000000" w:themeColor="text1"/>
                <w14:textFill>
                  <w14:solidFill>
                    <w14:schemeClr w14:val="tx1"/>
                  </w14:solidFill>
                </w14:textFill>
              </w:rPr>
              <w:noBreakHyphen/>
            </w:r>
            <w:r>
              <w:rPr>
                <w:rFonts w:cs="Times New Roman"/>
                <w:color w:val="000000" w:themeColor="text1"/>
                <w14:textFill>
                  <w14:solidFill>
                    <w14:schemeClr w14:val="tx1"/>
                  </w14:solidFill>
                </w14:textFill>
              </w:rPr>
              <w:fldChar w:fldCharType="begin"/>
            </w:r>
            <w:r>
              <w:rPr>
                <w:rFonts w:cs="Times New Roman"/>
                <w:color w:val="000000" w:themeColor="text1"/>
                <w14:textFill>
                  <w14:solidFill>
                    <w14:schemeClr w14:val="tx1"/>
                  </w14:solidFill>
                </w14:textFill>
              </w:rPr>
              <w:instrText xml:space="preserve"> SEQ 表 \* ARABIC \s 1 </w:instrText>
            </w:r>
            <w:r>
              <w:rPr>
                <w:rFonts w:cs="Times New Roman"/>
                <w:color w:val="000000" w:themeColor="text1"/>
                <w14:textFill>
                  <w14:solidFill>
                    <w14:schemeClr w14:val="tx1"/>
                  </w14:solidFill>
                </w14:textFill>
              </w:rPr>
              <w:fldChar w:fldCharType="separate"/>
            </w:r>
            <w:r>
              <w:rPr>
                <w:rFonts w:cs="Times New Roman"/>
                <w:color w:val="000000" w:themeColor="text1"/>
                <w14:textFill>
                  <w14:solidFill>
                    <w14:schemeClr w14:val="tx1"/>
                  </w14:solidFill>
                </w14:textFill>
              </w:rPr>
              <w:t>3</w:t>
            </w:r>
            <w:r>
              <w:rPr>
                <w:rFonts w:cs="Times New Roman"/>
                <w:color w:val="000000" w:themeColor="text1"/>
                <w14:textFill>
                  <w14:solidFill>
                    <w14:schemeClr w14:val="tx1"/>
                  </w14:solidFill>
                </w14:textFill>
              </w:rPr>
              <w:fldChar w:fldCharType="end"/>
            </w:r>
            <w:r>
              <w:rPr>
                <w:rFonts w:cs="Times New Roman"/>
                <w:color w:val="000000" w:themeColor="text1"/>
                <w14:textFill>
                  <w14:solidFill>
                    <w14:schemeClr w14:val="tx1"/>
                  </w14:solidFill>
                </w14:textFill>
              </w:rPr>
              <w:t xml:space="preserve"> 本项目运营期无组织废气污染物产排情况一览表</w:t>
            </w:r>
          </w:p>
          <w:tbl>
            <w:tblPr>
              <w:tblStyle w:val="27"/>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48"/>
              <w:gridCol w:w="1219"/>
              <w:gridCol w:w="1046"/>
              <w:gridCol w:w="2291"/>
              <w:gridCol w:w="1259"/>
              <w:gridCol w:w="1443"/>
            </w:tblGrid>
            <w:tr w14:paraId="09164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2" w:type="pct"/>
                  <w:vAlign w:val="center"/>
                </w:tcPr>
                <w:p w14:paraId="297E66E3">
                  <w:pPr>
                    <w:pStyle w:val="45"/>
                    <w:spacing w:line="240" w:lineRule="auto"/>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污染源</w:t>
                  </w:r>
                </w:p>
              </w:tc>
              <w:tc>
                <w:tcPr>
                  <w:tcW w:w="641" w:type="pct"/>
                  <w:vAlign w:val="center"/>
                </w:tcPr>
                <w:p w14:paraId="6F9D6304">
                  <w:pPr>
                    <w:pStyle w:val="45"/>
                    <w:spacing w:line="240" w:lineRule="auto"/>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污染因子</w:t>
                  </w:r>
                </w:p>
              </w:tc>
              <w:tc>
                <w:tcPr>
                  <w:tcW w:w="550" w:type="pct"/>
                  <w:vAlign w:val="center"/>
                </w:tcPr>
                <w:p w14:paraId="6BFB5276">
                  <w:pPr>
                    <w:pStyle w:val="45"/>
                    <w:spacing w:line="240" w:lineRule="auto"/>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产生量t/a</w:t>
                  </w:r>
                </w:p>
              </w:tc>
              <w:tc>
                <w:tcPr>
                  <w:tcW w:w="1203" w:type="pct"/>
                  <w:vAlign w:val="center"/>
                </w:tcPr>
                <w:p w14:paraId="66459904">
                  <w:pPr>
                    <w:pStyle w:val="45"/>
                    <w:spacing w:line="240" w:lineRule="auto"/>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无组织排放控制措施</w:t>
                  </w:r>
                </w:p>
              </w:tc>
              <w:tc>
                <w:tcPr>
                  <w:tcW w:w="662" w:type="pct"/>
                  <w:vAlign w:val="center"/>
                </w:tcPr>
                <w:p w14:paraId="3AD7C947">
                  <w:pPr>
                    <w:pStyle w:val="45"/>
                    <w:spacing w:line="240" w:lineRule="auto"/>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无组织排放量t/a</w:t>
                  </w:r>
                </w:p>
              </w:tc>
              <w:tc>
                <w:tcPr>
                  <w:tcW w:w="759" w:type="pct"/>
                  <w:vAlign w:val="center"/>
                </w:tcPr>
                <w:p w14:paraId="40081CBC">
                  <w:pPr>
                    <w:pStyle w:val="45"/>
                    <w:spacing w:line="240" w:lineRule="auto"/>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无组织排放速率kg/h</w:t>
                  </w:r>
                </w:p>
              </w:tc>
            </w:tr>
            <w:tr w14:paraId="75C9F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2" w:type="pct"/>
                  <w:vAlign w:val="center"/>
                </w:tcPr>
                <w:p w14:paraId="626F42CB">
                  <w:pPr>
                    <w:pStyle w:val="12"/>
                    <w:spacing w:line="240" w:lineRule="auto"/>
                    <w:rPr>
                      <w:rFonts w:hint="eastAsia"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G4预处理药剂投加粉尘</w:t>
                  </w:r>
                </w:p>
              </w:tc>
              <w:tc>
                <w:tcPr>
                  <w:tcW w:w="641" w:type="pct"/>
                  <w:vAlign w:val="center"/>
                </w:tcPr>
                <w:p w14:paraId="641A8B5B">
                  <w:pPr>
                    <w:pStyle w:val="12"/>
                    <w:spacing w:line="240" w:lineRule="auto"/>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颗粒物</w:t>
                  </w:r>
                </w:p>
              </w:tc>
              <w:tc>
                <w:tcPr>
                  <w:tcW w:w="550" w:type="pct"/>
                  <w:vAlign w:val="center"/>
                </w:tcPr>
                <w:p w14:paraId="0F7F1EA3">
                  <w:pPr>
                    <w:pStyle w:val="12"/>
                    <w:spacing w:line="240" w:lineRule="auto"/>
                    <w:ind w:firstLine="0" w:firstLineChars="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0.0316</w:t>
                  </w:r>
                </w:p>
              </w:tc>
              <w:tc>
                <w:tcPr>
                  <w:tcW w:w="1203" w:type="pct"/>
                  <w:vAlign w:val="center"/>
                </w:tcPr>
                <w:p w14:paraId="6657D7C9">
                  <w:pPr>
                    <w:pStyle w:val="12"/>
                    <w:spacing w:line="240" w:lineRule="auto"/>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投料口围挡+喷淋+车间密闭</w:t>
                  </w:r>
                </w:p>
              </w:tc>
              <w:tc>
                <w:tcPr>
                  <w:tcW w:w="662" w:type="pct"/>
                  <w:vAlign w:val="center"/>
                </w:tcPr>
                <w:p w14:paraId="24523E8F">
                  <w:pPr>
                    <w:pStyle w:val="12"/>
                    <w:spacing w:line="240" w:lineRule="auto"/>
                    <w:rPr>
                      <w:rFonts w:hint="default" w:eastAsia="等线" w:cs="Times New Roman"/>
                      <w:color w:val="000000" w:themeColor="text1"/>
                      <w:szCs w:val="21"/>
                      <w:lang w:val="en-US" w:eastAsia="zh-CN"/>
                      <w14:textFill>
                        <w14:solidFill>
                          <w14:schemeClr w14:val="tx1"/>
                        </w14:solidFill>
                      </w14:textFill>
                    </w:rPr>
                  </w:pPr>
                  <w:r>
                    <w:rPr>
                      <w:rFonts w:hint="eastAsia" w:eastAsia="等线" w:cs="Times New Roman"/>
                      <w:color w:val="000000" w:themeColor="text1"/>
                      <w:szCs w:val="21"/>
                      <w:lang w:val="en-US" w:eastAsia="zh-CN"/>
                      <w14:textFill>
                        <w14:solidFill>
                          <w14:schemeClr w14:val="tx1"/>
                        </w14:solidFill>
                      </w14:textFill>
                    </w:rPr>
                    <w:t>0.0222</w:t>
                  </w:r>
                </w:p>
              </w:tc>
              <w:tc>
                <w:tcPr>
                  <w:tcW w:w="759" w:type="pct"/>
                  <w:vAlign w:val="center"/>
                </w:tcPr>
                <w:p w14:paraId="7C9DCFC4">
                  <w:pPr>
                    <w:pStyle w:val="12"/>
                    <w:spacing w:line="240" w:lineRule="auto"/>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0.0028</w:t>
                  </w:r>
                </w:p>
              </w:tc>
            </w:tr>
            <w:tr w14:paraId="25965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2" w:type="pct"/>
                  <w:vAlign w:val="center"/>
                </w:tcPr>
                <w:p w14:paraId="5EBBEA7C">
                  <w:pPr>
                    <w:pStyle w:val="12"/>
                    <w:spacing w:line="240" w:lineRule="auto"/>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G2 2号厂房异味</w:t>
                  </w:r>
                </w:p>
              </w:tc>
              <w:tc>
                <w:tcPr>
                  <w:tcW w:w="641" w:type="pct"/>
                  <w:vAlign w:val="center"/>
                </w:tcPr>
                <w:p w14:paraId="647999BD">
                  <w:pPr>
                    <w:pStyle w:val="12"/>
                    <w:spacing w:line="240" w:lineRule="auto"/>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臭气浓度</w:t>
                  </w:r>
                </w:p>
              </w:tc>
              <w:tc>
                <w:tcPr>
                  <w:tcW w:w="550" w:type="pct"/>
                  <w:vAlign w:val="center"/>
                </w:tcPr>
                <w:p w14:paraId="5FE23C34">
                  <w:pPr>
                    <w:pStyle w:val="12"/>
                    <w:spacing w:line="240" w:lineRule="auto"/>
                    <w:ind w:firstLine="0" w:firstLineChars="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w:t>
                  </w:r>
                </w:p>
              </w:tc>
              <w:tc>
                <w:tcPr>
                  <w:tcW w:w="1203" w:type="pct"/>
                  <w:vAlign w:val="center"/>
                </w:tcPr>
                <w:p w14:paraId="43C9BA00">
                  <w:pPr>
                    <w:pStyle w:val="12"/>
                    <w:spacing w:line="240" w:lineRule="auto"/>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喷洒除臭剂+车间密闭</w:t>
                  </w:r>
                </w:p>
              </w:tc>
              <w:tc>
                <w:tcPr>
                  <w:tcW w:w="662" w:type="pct"/>
                  <w:vAlign w:val="center"/>
                </w:tcPr>
                <w:p w14:paraId="0800826E">
                  <w:pPr>
                    <w:pStyle w:val="12"/>
                    <w:spacing w:line="240" w:lineRule="auto"/>
                    <w:ind w:firstLine="0" w:firstLineChars="0"/>
                    <w:rPr>
                      <w:rFonts w:hint="eastAsia" w:eastAsia="等线" w:cs="Times New Roman"/>
                      <w:color w:val="000000" w:themeColor="text1"/>
                      <w:szCs w:val="2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w:t>
                  </w:r>
                </w:p>
              </w:tc>
              <w:tc>
                <w:tcPr>
                  <w:tcW w:w="759" w:type="pct"/>
                  <w:vAlign w:val="center"/>
                </w:tcPr>
                <w:p w14:paraId="4B31CB2D">
                  <w:pPr>
                    <w:pStyle w:val="12"/>
                    <w:spacing w:line="240" w:lineRule="auto"/>
                    <w:ind w:firstLine="0" w:firstLineChars="0"/>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w:t>
                  </w:r>
                </w:p>
              </w:tc>
            </w:tr>
            <w:tr w14:paraId="21218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2" w:type="pct"/>
                  <w:vAlign w:val="center"/>
                </w:tcPr>
                <w:p w14:paraId="18A9F043">
                  <w:pPr>
                    <w:pStyle w:val="12"/>
                    <w:spacing w:line="240" w:lineRule="auto"/>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G3 1号厂房异味</w:t>
                  </w:r>
                </w:p>
              </w:tc>
              <w:tc>
                <w:tcPr>
                  <w:tcW w:w="641" w:type="pct"/>
                  <w:vAlign w:val="center"/>
                </w:tcPr>
                <w:p w14:paraId="1E976656">
                  <w:pPr>
                    <w:pStyle w:val="12"/>
                    <w:spacing w:line="240" w:lineRule="auto"/>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臭气浓度</w:t>
                  </w:r>
                </w:p>
              </w:tc>
              <w:tc>
                <w:tcPr>
                  <w:tcW w:w="550" w:type="pct"/>
                  <w:vAlign w:val="center"/>
                </w:tcPr>
                <w:p w14:paraId="72399BF3">
                  <w:pPr>
                    <w:pStyle w:val="12"/>
                    <w:spacing w:line="240" w:lineRule="auto"/>
                    <w:ind w:firstLine="0" w:firstLineChars="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w:t>
                  </w:r>
                </w:p>
              </w:tc>
              <w:tc>
                <w:tcPr>
                  <w:tcW w:w="1203" w:type="pct"/>
                  <w:vAlign w:val="center"/>
                </w:tcPr>
                <w:p w14:paraId="5F0986D4">
                  <w:pPr>
                    <w:pStyle w:val="12"/>
                    <w:spacing w:line="240" w:lineRule="auto"/>
                    <w:rPr>
                      <w:rFonts w:hint="eastAsia"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喷洒除臭剂+车间密闭</w:t>
                  </w:r>
                </w:p>
              </w:tc>
              <w:tc>
                <w:tcPr>
                  <w:tcW w:w="662" w:type="pct"/>
                  <w:vAlign w:val="center"/>
                </w:tcPr>
                <w:p w14:paraId="5DD2B7D2">
                  <w:pPr>
                    <w:pStyle w:val="12"/>
                    <w:spacing w:line="240" w:lineRule="auto"/>
                    <w:ind w:firstLine="0" w:firstLineChars="0"/>
                    <w:rPr>
                      <w:rFonts w:hint="eastAsia" w:eastAsia="等线" w:cs="Times New Roman"/>
                      <w:color w:val="000000" w:themeColor="text1"/>
                      <w:szCs w:val="2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w:t>
                  </w:r>
                </w:p>
              </w:tc>
              <w:tc>
                <w:tcPr>
                  <w:tcW w:w="759" w:type="pct"/>
                  <w:vAlign w:val="center"/>
                </w:tcPr>
                <w:p w14:paraId="7890F7BC">
                  <w:pPr>
                    <w:pStyle w:val="12"/>
                    <w:spacing w:line="240" w:lineRule="auto"/>
                    <w:ind w:firstLine="0" w:firstLineChars="0"/>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w:t>
                  </w:r>
                </w:p>
              </w:tc>
            </w:tr>
            <w:tr w14:paraId="37C40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2" w:type="pct"/>
                  <w:vAlign w:val="center"/>
                </w:tcPr>
                <w:p w14:paraId="6E60AFB0">
                  <w:pPr>
                    <w:pStyle w:val="12"/>
                    <w:spacing w:line="240" w:lineRule="auto"/>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G5水泥筒仓粉尘</w:t>
                  </w:r>
                </w:p>
              </w:tc>
              <w:tc>
                <w:tcPr>
                  <w:tcW w:w="641" w:type="pct"/>
                  <w:vAlign w:val="center"/>
                </w:tcPr>
                <w:p w14:paraId="20961B46">
                  <w:pPr>
                    <w:pStyle w:val="12"/>
                    <w:spacing w:line="240" w:lineRule="auto"/>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颗粒物</w:t>
                  </w:r>
                </w:p>
              </w:tc>
              <w:tc>
                <w:tcPr>
                  <w:tcW w:w="550" w:type="pct"/>
                  <w:vAlign w:val="center"/>
                </w:tcPr>
                <w:p w14:paraId="641378D9">
                  <w:pPr>
                    <w:pStyle w:val="12"/>
                    <w:spacing w:line="240" w:lineRule="auto"/>
                    <w:ind w:firstLine="0" w:firstLineChars="0"/>
                    <w:rPr>
                      <w:rFonts w:hint="default" w:eastAsia="等线" w:cs="Times New Roman"/>
                      <w:color w:val="000000" w:themeColor="text1"/>
                      <w:szCs w:val="21"/>
                      <w:lang w:val="en-US"/>
                      <w14:textFill>
                        <w14:solidFill>
                          <w14:schemeClr w14:val="tx1"/>
                        </w14:solidFill>
                      </w14:textFill>
                    </w:rPr>
                  </w:pPr>
                  <w:r>
                    <w:rPr>
                      <w:rFonts w:hint="eastAsia" w:cs="Times New Roman"/>
                      <w:color w:val="000000" w:themeColor="text1"/>
                      <w:lang w:val="en-US" w:eastAsia="zh-CN"/>
                      <w14:textFill>
                        <w14:solidFill>
                          <w14:schemeClr w14:val="tx1"/>
                        </w14:solidFill>
                      </w14:textFill>
                    </w:rPr>
                    <w:t>26.4</w:t>
                  </w:r>
                </w:p>
              </w:tc>
              <w:tc>
                <w:tcPr>
                  <w:tcW w:w="1203" w:type="pct"/>
                  <w:vAlign w:val="center"/>
                </w:tcPr>
                <w:p w14:paraId="15F9A4D5">
                  <w:pPr>
                    <w:pStyle w:val="12"/>
                    <w:spacing w:line="240" w:lineRule="auto"/>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筒仓自带布袋除尘+车间密闭</w:t>
                  </w:r>
                </w:p>
              </w:tc>
              <w:tc>
                <w:tcPr>
                  <w:tcW w:w="662" w:type="pct"/>
                  <w:vAlign w:val="center"/>
                </w:tcPr>
                <w:p w14:paraId="35C7B1B3">
                  <w:pPr>
                    <w:pStyle w:val="12"/>
                    <w:spacing w:line="240" w:lineRule="auto"/>
                    <w:rPr>
                      <w:rFonts w:hint="default" w:eastAsia="等线" w:cs="Times New Roman"/>
                      <w:color w:val="000000" w:themeColor="text1"/>
                      <w:szCs w:val="21"/>
                      <w:lang w:val="en-US" w:eastAsia="zh-CN"/>
                      <w14:textFill>
                        <w14:solidFill>
                          <w14:schemeClr w14:val="tx1"/>
                        </w14:solidFill>
                      </w14:textFill>
                    </w:rPr>
                  </w:pPr>
                  <w:r>
                    <w:rPr>
                      <w:rFonts w:hint="eastAsia" w:eastAsia="等线" w:cs="Times New Roman"/>
                      <w:color w:val="000000" w:themeColor="text1"/>
                      <w:szCs w:val="21"/>
                      <w:lang w:val="en-US" w:eastAsia="zh-CN"/>
                      <w14:textFill>
                        <w14:solidFill>
                          <w14:schemeClr w14:val="tx1"/>
                        </w14:solidFill>
                      </w14:textFill>
                    </w:rPr>
                    <w:t>0.1056</w:t>
                  </w:r>
                </w:p>
              </w:tc>
              <w:tc>
                <w:tcPr>
                  <w:tcW w:w="759" w:type="pct"/>
                  <w:vAlign w:val="center"/>
                </w:tcPr>
                <w:p w14:paraId="1BEE8456">
                  <w:pPr>
                    <w:pStyle w:val="12"/>
                    <w:spacing w:line="240" w:lineRule="auto"/>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0.0133</w:t>
                  </w:r>
                </w:p>
              </w:tc>
            </w:tr>
            <w:tr w14:paraId="01531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2" w:type="pct"/>
                  <w:vAlign w:val="center"/>
                </w:tcPr>
                <w:p w14:paraId="50FD2B3D">
                  <w:pPr>
                    <w:pStyle w:val="12"/>
                    <w:spacing w:line="240" w:lineRule="auto"/>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G6水稳层骨料仓粉尘</w:t>
                  </w:r>
                </w:p>
              </w:tc>
              <w:tc>
                <w:tcPr>
                  <w:tcW w:w="641" w:type="pct"/>
                  <w:vAlign w:val="center"/>
                </w:tcPr>
                <w:p w14:paraId="34605E8A">
                  <w:pPr>
                    <w:pStyle w:val="12"/>
                    <w:spacing w:line="240" w:lineRule="auto"/>
                    <w:ind w:firstLine="0" w:firstLineChars="0"/>
                    <w:rPr>
                      <w:rFonts w:cs="Times New Roman"/>
                      <w:color w:val="000000" w:themeColor="text1"/>
                      <w14:textFill>
                        <w14:solidFill>
                          <w14:schemeClr w14:val="tx1"/>
                        </w14:solidFill>
                      </w14:textFill>
                    </w:rPr>
                  </w:pPr>
                  <w:r>
                    <w:rPr>
                      <w:rFonts w:hint="eastAsia" w:cs="Times New Roman"/>
                      <w:color w:val="000000" w:themeColor="text1"/>
                      <w:lang w:val="en-US" w:eastAsia="zh-CN"/>
                      <w14:textFill>
                        <w14:solidFill>
                          <w14:schemeClr w14:val="tx1"/>
                        </w14:solidFill>
                      </w14:textFill>
                    </w:rPr>
                    <w:t>颗粒物</w:t>
                  </w:r>
                </w:p>
              </w:tc>
              <w:tc>
                <w:tcPr>
                  <w:tcW w:w="550" w:type="pct"/>
                  <w:vAlign w:val="center"/>
                </w:tcPr>
                <w:p w14:paraId="3EAF4EF4">
                  <w:pPr>
                    <w:pStyle w:val="12"/>
                    <w:spacing w:line="240" w:lineRule="auto"/>
                    <w:rPr>
                      <w:rFonts w:hint="default" w:eastAsia="等线" w:cs="Times New Roman"/>
                      <w:color w:val="000000" w:themeColor="text1"/>
                      <w:szCs w:val="21"/>
                      <w:lang w:val="en-US" w:eastAsia="zh-CN"/>
                      <w14:textFill>
                        <w14:solidFill>
                          <w14:schemeClr w14:val="tx1"/>
                        </w14:solidFill>
                      </w14:textFill>
                    </w:rPr>
                  </w:pPr>
                  <w:r>
                    <w:rPr>
                      <w:rFonts w:hint="eastAsia" w:eastAsia="等线" w:cs="Times New Roman"/>
                      <w:color w:val="000000" w:themeColor="text1"/>
                      <w:szCs w:val="21"/>
                      <w:lang w:val="en-US" w:eastAsia="zh-CN"/>
                      <w14:textFill>
                        <w14:solidFill>
                          <w14:schemeClr w14:val="tx1"/>
                        </w14:solidFill>
                      </w14:textFill>
                    </w:rPr>
                    <w:t>0.4431</w:t>
                  </w:r>
                </w:p>
              </w:tc>
              <w:tc>
                <w:tcPr>
                  <w:tcW w:w="1203" w:type="pct"/>
                  <w:vAlign w:val="center"/>
                </w:tcPr>
                <w:p w14:paraId="34224ACB">
                  <w:pPr>
                    <w:pStyle w:val="12"/>
                    <w:spacing w:line="240" w:lineRule="auto"/>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筒仓自带布袋除尘+车间密闭</w:t>
                  </w:r>
                </w:p>
              </w:tc>
              <w:tc>
                <w:tcPr>
                  <w:tcW w:w="662" w:type="pct"/>
                  <w:vAlign w:val="center"/>
                </w:tcPr>
                <w:p w14:paraId="023DC331">
                  <w:pPr>
                    <w:pStyle w:val="12"/>
                    <w:spacing w:line="240" w:lineRule="auto"/>
                    <w:rPr>
                      <w:rFonts w:hint="default" w:eastAsia="等线" w:cs="Times New Roman"/>
                      <w:color w:val="000000" w:themeColor="text1"/>
                      <w:szCs w:val="21"/>
                      <w:lang w:val="en-US" w:eastAsia="zh-CN"/>
                      <w14:textFill>
                        <w14:solidFill>
                          <w14:schemeClr w14:val="tx1"/>
                        </w14:solidFill>
                      </w14:textFill>
                    </w:rPr>
                  </w:pPr>
                  <w:r>
                    <w:rPr>
                      <w:rFonts w:hint="eastAsia" w:eastAsia="等线" w:cs="Times New Roman"/>
                      <w:color w:val="000000" w:themeColor="text1"/>
                      <w:szCs w:val="21"/>
                      <w:lang w:val="en-US" w:eastAsia="zh-CN"/>
                      <w14:textFill>
                        <w14:solidFill>
                          <w14:schemeClr w14:val="tx1"/>
                        </w14:solidFill>
                      </w14:textFill>
                    </w:rPr>
                    <w:t>0.0018</w:t>
                  </w:r>
                </w:p>
              </w:tc>
              <w:tc>
                <w:tcPr>
                  <w:tcW w:w="759" w:type="pct"/>
                  <w:vAlign w:val="center"/>
                </w:tcPr>
                <w:p w14:paraId="5D56A09B">
                  <w:pPr>
                    <w:pStyle w:val="12"/>
                    <w:spacing w:line="240" w:lineRule="auto"/>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0.0002</w:t>
                  </w:r>
                </w:p>
              </w:tc>
            </w:tr>
            <w:tr w14:paraId="6D0BB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2" w:type="pct"/>
                  <w:vAlign w:val="center"/>
                </w:tcPr>
                <w:p w14:paraId="0F4258E4">
                  <w:pPr>
                    <w:pStyle w:val="12"/>
                    <w:spacing w:line="240" w:lineRule="auto"/>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G7砂石堆存区粉尘</w:t>
                  </w:r>
                </w:p>
              </w:tc>
              <w:tc>
                <w:tcPr>
                  <w:tcW w:w="641" w:type="pct"/>
                  <w:vAlign w:val="center"/>
                </w:tcPr>
                <w:p w14:paraId="74D774C8">
                  <w:pPr>
                    <w:pStyle w:val="12"/>
                    <w:spacing w:line="240" w:lineRule="auto"/>
                    <w:ind w:firstLine="0" w:firstLineChars="0"/>
                    <w:rPr>
                      <w:rFonts w:cs="Times New Roman"/>
                      <w:color w:val="000000" w:themeColor="text1"/>
                      <w14:textFill>
                        <w14:solidFill>
                          <w14:schemeClr w14:val="tx1"/>
                        </w14:solidFill>
                      </w14:textFill>
                    </w:rPr>
                  </w:pPr>
                  <w:r>
                    <w:rPr>
                      <w:rFonts w:hint="eastAsia" w:cs="Times New Roman"/>
                      <w:color w:val="000000" w:themeColor="text1"/>
                      <w:lang w:val="en-US" w:eastAsia="zh-CN"/>
                      <w14:textFill>
                        <w14:solidFill>
                          <w14:schemeClr w14:val="tx1"/>
                        </w14:solidFill>
                      </w14:textFill>
                    </w:rPr>
                    <w:t>颗粒物</w:t>
                  </w:r>
                </w:p>
              </w:tc>
              <w:tc>
                <w:tcPr>
                  <w:tcW w:w="550" w:type="pct"/>
                  <w:vAlign w:val="center"/>
                </w:tcPr>
                <w:p w14:paraId="5187A7F7">
                  <w:pPr>
                    <w:pStyle w:val="12"/>
                    <w:spacing w:line="240" w:lineRule="auto"/>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6.6429</w:t>
                  </w:r>
                </w:p>
              </w:tc>
              <w:tc>
                <w:tcPr>
                  <w:tcW w:w="1203" w:type="pct"/>
                  <w:vAlign w:val="center"/>
                </w:tcPr>
                <w:p w14:paraId="7206D0B1">
                  <w:pPr>
                    <w:pStyle w:val="12"/>
                    <w:spacing w:line="240" w:lineRule="auto"/>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喷淋+车间沉降</w:t>
                  </w:r>
                </w:p>
              </w:tc>
              <w:tc>
                <w:tcPr>
                  <w:tcW w:w="662" w:type="pct"/>
                  <w:vAlign w:val="center"/>
                </w:tcPr>
                <w:p w14:paraId="719CC579">
                  <w:pPr>
                    <w:pStyle w:val="12"/>
                    <w:spacing w:line="240" w:lineRule="auto"/>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0.6909</w:t>
                  </w:r>
                </w:p>
              </w:tc>
              <w:tc>
                <w:tcPr>
                  <w:tcW w:w="759" w:type="pct"/>
                  <w:vAlign w:val="center"/>
                </w:tcPr>
                <w:p w14:paraId="4C25E7A3">
                  <w:pPr>
                    <w:pStyle w:val="12"/>
                    <w:spacing w:line="240" w:lineRule="auto"/>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0.0872</w:t>
                  </w:r>
                </w:p>
              </w:tc>
            </w:tr>
            <w:tr w14:paraId="0D3CB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78" w:type="pct"/>
                  <w:gridSpan w:val="4"/>
                  <w:vAlign w:val="center"/>
                </w:tcPr>
                <w:p w14:paraId="4E6F7595">
                  <w:pPr>
                    <w:pStyle w:val="12"/>
                    <w:spacing w:line="240" w:lineRule="auto"/>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颗粒物合计</w:t>
                  </w:r>
                </w:p>
              </w:tc>
              <w:tc>
                <w:tcPr>
                  <w:tcW w:w="1252" w:type="dxa"/>
                  <w:vAlign w:val="center"/>
                </w:tcPr>
                <w:p w14:paraId="05A3A5B3">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0.8205</w:t>
                  </w:r>
                </w:p>
              </w:tc>
              <w:tc>
                <w:tcPr>
                  <w:tcW w:w="1436" w:type="dxa"/>
                  <w:vAlign w:val="center"/>
                </w:tcPr>
                <w:p w14:paraId="605EFA8E">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0.1035</w:t>
                  </w:r>
                </w:p>
              </w:tc>
            </w:tr>
          </w:tbl>
          <w:p w14:paraId="7A48D8B8">
            <w:pPr>
              <w:ind w:firstLine="480"/>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根据大气专项评价预测分析，厂界能够达到</w:t>
            </w:r>
            <w:r>
              <w:rPr>
                <w:rFonts w:hint="default" w:ascii="Times New Roman" w:hAnsi="Times New Roman" w:eastAsia="宋体" w:cs="Times New Roman"/>
                <w:bCs/>
                <w:color w:val="000000" w:themeColor="text1"/>
                <w:kern w:val="2"/>
                <w:sz w:val="24"/>
                <w:szCs w:val="22"/>
                <w:lang w:val="en-US" w:eastAsia="zh-CN" w:bidi="ar-SA"/>
                <w14:textFill>
                  <w14:solidFill>
                    <w14:schemeClr w14:val="tx1"/>
                  </w14:solidFill>
                </w14:textFill>
              </w:rPr>
              <w:t>《砖瓦工业大气污染物排放标准》</w:t>
            </w:r>
            <w:r>
              <w:rPr>
                <w:rFonts w:hint="eastAsia" w:ascii="Times New Roman" w:hAnsi="Times New Roman" w:eastAsia="宋体" w:cs="Times New Roman"/>
                <w:bCs/>
                <w:color w:val="000000" w:themeColor="text1"/>
                <w:kern w:val="2"/>
                <w:sz w:val="24"/>
                <w:szCs w:val="22"/>
                <w:lang w:val="en-US" w:eastAsia="zh-CN" w:bidi="ar-SA"/>
                <w14:textFill>
                  <w14:solidFill>
                    <w14:schemeClr w14:val="tx1"/>
                  </w14:solidFill>
                </w14:textFill>
              </w:rPr>
              <w:t>（</w:t>
            </w:r>
            <w:r>
              <w:rPr>
                <w:rFonts w:hint="default" w:ascii="Times New Roman" w:hAnsi="Times New Roman" w:eastAsia="宋体" w:cs="Times New Roman"/>
                <w:bCs/>
                <w:color w:val="000000" w:themeColor="text1"/>
                <w:kern w:val="2"/>
                <w:sz w:val="24"/>
                <w:szCs w:val="22"/>
                <w:lang w:val="en-US" w:eastAsia="zh-CN" w:bidi="ar-SA"/>
                <w14:textFill>
                  <w14:solidFill>
                    <w14:schemeClr w14:val="tx1"/>
                  </w14:solidFill>
                </w14:textFill>
              </w:rPr>
              <w:t>GB29620-2013）</w:t>
            </w:r>
            <w:r>
              <w:rPr>
                <w:rFonts w:hint="eastAsia" w:ascii="Times New Roman" w:hAnsi="Times New Roman" w:eastAsia="宋体" w:cs="Times New Roman"/>
                <w:bCs/>
                <w:color w:val="000000" w:themeColor="text1"/>
                <w:kern w:val="2"/>
                <w:sz w:val="24"/>
                <w:szCs w:val="22"/>
                <w:lang w:val="en-US" w:eastAsia="zh-CN" w:bidi="ar-SA"/>
                <w14:textFill>
                  <w14:solidFill>
                    <w14:schemeClr w14:val="tx1"/>
                  </w14:solidFill>
                </w14:textFill>
              </w:rPr>
              <w:t>表3限值要求（1.0mg/m</w:t>
            </w:r>
            <w:r>
              <w:rPr>
                <w:rFonts w:hint="eastAsia" w:ascii="Times New Roman" w:hAnsi="Times New Roman" w:eastAsia="宋体" w:cs="Times New Roman"/>
                <w:bCs/>
                <w:color w:val="000000" w:themeColor="text1"/>
                <w:kern w:val="2"/>
                <w:sz w:val="24"/>
                <w:szCs w:val="22"/>
                <w:vertAlign w:val="superscript"/>
                <w:lang w:val="en-US" w:eastAsia="zh-CN" w:bidi="ar-SA"/>
                <w14:textFill>
                  <w14:solidFill>
                    <w14:schemeClr w14:val="tx1"/>
                  </w14:solidFill>
                </w14:textFill>
              </w:rPr>
              <w:t>3</w:t>
            </w:r>
            <w:r>
              <w:rPr>
                <w:rFonts w:hint="eastAsia" w:ascii="Times New Roman" w:hAnsi="Times New Roman" w:eastAsia="宋体" w:cs="Times New Roman"/>
                <w:bCs/>
                <w:color w:val="000000" w:themeColor="text1"/>
                <w:kern w:val="2"/>
                <w:sz w:val="24"/>
                <w:szCs w:val="22"/>
                <w:lang w:val="en-US" w:eastAsia="zh-CN" w:bidi="ar-SA"/>
                <w14:textFill>
                  <w14:solidFill>
                    <w14:schemeClr w14:val="tx1"/>
                  </w14:solidFill>
                </w14:textFill>
              </w:rPr>
              <w:t>），无组织排放不会对周边环境造成明显影响。</w:t>
            </w:r>
          </w:p>
          <w:p w14:paraId="64DDC07F">
            <w:pPr>
              <w:ind w:firstLine="482" w:firstLineChars="200"/>
              <w:rPr>
                <w:rFonts w:hint="eastAsia" w:cs="Times New Roman"/>
                <w:b/>
                <w:color w:val="000000" w:themeColor="text1"/>
                <w:lang w:val="en-US" w:eastAsia="zh-CN"/>
                <w14:textFill>
                  <w14:solidFill>
                    <w14:schemeClr w14:val="tx1"/>
                  </w14:solidFill>
                </w14:textFill>
              </w:rPr>
            </w:pPr>
            <w:r>
              <w:rPr>
                <w:rFonts w:cs="Times New Roman"/>
                <w:b/>
                <w:color w:val="000000" w:themeColor="text1"/>
                <w14:textFill>
                  <w14:solidFill>
                    <w14:schemeClr w14:val="tx1"/>
                  </w14:solidFill>
                </w14:textFill>
              </w:rPr>
              <w:t>（</w:t>
            </w:r>
            <w:r>
              <w:rPr>
                <w:rFonts w:hint="eastAsia" w:cs="Times New Roman"/>
                <w:b/>
                <w:color w:val="000000" w:themeColor="text1"/>
                <w:lang w:val="en-US" w:eastAsia="zh-CN"/>
                <w14:textFill>
                  <w14:solidFill>
                    <w14:schemeClr w14:val="tx1"/>
                  </w14:solidFill>
                </w14:textFill>
              </w:rPr>
              <w:t>2</w:t>
            </w:r>
            <w:r>
              <w:rPr>
                <w:rFonts w:cs="Times New Roman"/>
                <w:b/>
                <w:color w:val="000000" w:themeColor="text1"/>
                <w14:textFill>
                  <w14:solidFill>
                    <w14:schemeClr w14:val="tx1"/>
                  </w14:solidFill>
                </w14:textFill>
              </w:rPr>
              <w:t>）</w:t>
            </w:r>
            <w:r>
              <w:rPr>
                <w:rFonts w:hint="eastAsia" w:cs="Times New Roman"/>
                <w:b/>
                <w:color w:val="000000" w:themeColor="text1"/>
                <w:lang w:val="en-US" w:eastAsia="zh-CN"/>
                <w14:textFill>
                  <w14:solidFill>
                    <w14:schemeClr w14:val="tx1"/>
                  </w14:solidFill>
                </w14:textFill>
              </w:rPr>
              <w:t>大气预测情况</w:t>
            </w:r>
          </w:p>
          <w:p w14:paraId="0A90A4E5">
            <w:pPr>
              <w:adjustRightInd w:val="0"/>
              <w:snapToGrid w:val="0"/>
              <w:ind w:firstLine="480" w:firstLineChars="20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采用AERSCREEN估算模式计算结果如下：</w:t>
            </w:r>
          </w:p>
          <w:p w14:paraId="5B537A43">
            <w:pPr>
              <w:pStyle w:val="11"/>
              <w:keepNext w:val="0"/>
              <w:keepLines w:val="0"/>
              <w:pageBreakBefore w:val="0"/>
              <w:widowControl/>
              <w:kinsoku/>
              <w:wordWrap/>
              <w:overflowPunct/>
              <w:topLinePunct w:val="0"/>
              <w:autoSpaceDE/>
              <w:autoSpaceDN/>
              <w:bidi w:val="0"/>
              <w:adjustRightInd w:val="0"/>
              <w:snapToGrid w:val="0"/>
              <w:spacing w:after="0"/>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表</w:t>
            </w:r>
            <w:r>
              <w:rPr>
                <w:rFonts w:hint="eastAsia" w:cs="Times New Roman"/>
                <w:b/>
                <w:bCs/>
                <w:color w:val="000000" w:themeColor="text1"/>
                <w:lang w:val="en-US" w:eastAsia="zh-CN"/>
                <w14:textFill>
                  <w14:solidFill>
                    <w14:schemeClr w14:val="tx1"/>
                  </w14:solidFill>
                </w14:textFill>
              </w:rPr>
              <w:t>4-4</w:t>
            </w:r>
            <w:r>
              <w:rPr>
                <w:rFonts w:hint="default" w:ascii="Times New Roman" w:hAnsi="Times New Roman" w:cs="Times New Roman"/>
                <w:b/>
                <w:bCs/>
                <w:color w:val="000000" w:themeColor="text1"/>
                <w:lang w:val="en-US" w:eastAsia="zh-CN"/>
                <w14:textFill>
                  <w14:solidFill>
                    <w14:schemeClr w14:val="tx1"/>
                  </w14:solidFill>
                </w14:textFill>
              </w:rPr>
              <w:t xml:space="preserve"> </w:t>
            </w:r>
            <w:r>
              <w:rPr>
                <w:rFonts w:hint="default" w:ascii="Times New Roman" w:hAnsi="Times New Roman" w:cs="Times New Roman"/>
                <w:b/>
                <w:bCs/>
                <w:color w:val="000000" w:themeColor="text1"/>
                <w14:textFill>
                  <w14:solidFill>
                    <w14:schemeClr w14:val="tx1"/>
                  </w14:solidFill>
                </w14:textFill>
              </w:rPr>
              <w:t>预测结果</w:t>
            </w:r>
          </w:p>
          <w:tbl>
            <w:tblPr>
              <w:tblStyle w:val="26"/>
              <w:tblW w:w="945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88"/>
              <w:gridCol w:w="1097"/>
              <w:gridCol w:w="1727"/>
              <w:gridCol w:w="1426"/>
              <w:gridCol w:w="1125"/>
              <w:gridCol w:w="1350"/>
              <w:gridCol w:w="1445"/>
            </w:tblGrid>
            <w:tr w14:paraId="66731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80" w:type="pct"/>
                  <w:tcBorders>
                    <w:tl2br w:val="nil"/>
                    <w:tr2bl w:val="nil"/>
                  </w:tcBorders>
                  <w:vAlign w:val="center"/>
                </w:tcPr>
                <w:p w14:paraId="40A42CBE">
                  <w:pPr>
                    <w:spacing w:line="240" w:lineRule="auto"/>
                    <w:ind w:firstLine="0" w:firstLineChars="0"/>
                    <w:jc w:val="center"/>
                    <w:rPr>
                      <w:rFonts w:hint="default" w:ascii="Times New Roman" w:hAnsi="Times New Roman"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污染源名称</w:t>
                  </w:r>
                </w:p>
              </w:tc>
              <w:tc>
                <w:tcPr>
                  <w:tcW w:w="579" w:type="pct"/>
                  <w:tcBorders>
                    <w:tl2br w:val="nil"/>
                    <w:tr2bl w:val="nil"/>
                  </w:tcBorders>
                  <w:vAlign w:val="center"/>
                </w:tcPr>
                <w:p w14:paraId="6F9FF169">
                  <w:pPr>
                    <w:spacing w:line="240" w:lineRule="auto"/>
                    <w:ind w:firstLine="0" w:firstLineChars="0"/>
                    <w:jc w:val="center"/>
                    <w:rPr>
                      <w:rFonts w:hint="default" w:ascii="Times New Roman" w:hAnsi="Times New Roman"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评价因子</w:t>
                  </w:r>
                </w:p>
              </w:tc>
              <w:tc>
                <w:tcPr>
                  <w:tcW w:w="912" w:type="pct"/>
                  <w:tcBorders>
                    <w:tl2br w:val="nil"/>
                    <w:tr2bl w:val="nil"/>
                  </w:tcBorders>
                  <w:vAlign w:val="center"/>
                </w:tcPr>
                <w:p w14:paraId="43F14118">
                  <w:pPr>
                    <w:spacing w:line="240" w:lineRule="auto"/>
                    <w:ind w:firstLine="0" w:firstLineChars="0"/>
                    <w:jc w:val="center"/>
                    <w:rPr>
                      <w:rFonts w:hint="default" w:ascii="Times New Roman" w:hAnsi="Times New Roman"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评价标准(μg/m³)</w:t>
                  </w:r>
                </w:p>
              </w:tc>
              <w:tc>
                <w:tcPr>
                  <w:tcW w:w="753" w:type="pct"/>
                  <w:tcBorders>
                    <w:tl2br w:val="nil"/>
                    <w:tr2bl w:val="nil"/>
                  </w:tcBorders>
                  <w:vAlign w:val="center"/>
                </w:tcPr>
                <w:p w14:paraId="58843185">
                  <w:pPr>
                    <w:spacing w:line="240" w:lineRule="auto"/>
                    <w:ind w:firstLine="0" w:firstLineChars="0"/>
                    <w:jc w:val="center"/>
                    <w:rPr>
                      <w:rFonts w:hint="default" w:ascii="Times New Roman" w:hAnsi="Times New Roman"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Cmax(μg/m³)</w:t>
                  </w:r>
                </w:p>
              </w:tc>
              <w:tc>
                <w:tcPr>
                  <w:tcW w:w="594" w:type="pct"/>
                  <w:tcBorders>
                    <w:tl2br w:val="nil"/>
                    <w:tr2bl w:val="nil"/>
                  </w:tcBorders>
                  <w:vAlign w:val="center"/>
                </w:tcPr>
                <w:p w14:paraId="6977CB14">
                  <w:pPr>
                    <w:spacing w:line="240" w:lineRule="auto"/>
                    <w:ind w:firstLine="0" w:firstLineChars="0"/>
                    <w:jc w:val="center"/>
                    <w:rPr>
                      <w:rFonts w:hint="default" w:ascii="Times New Roman" w:hAnsi="Times New Roman"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Pmax(%)</w:t>
                  </w:r>
                </w:p>
              </w:tc>
              <w:tc>
                <w:tcPr>
                  <w:tcW w:w="713" w:type="pct"/>
                  <w:tcBorders>
                    <w:tl2br w:val="nil"/>
                    <w:tr2bl w:val="nil"/>
                  </w:tcBorders>
                  <w:vAlign w:val="center"/>
                </w:tcPr>
                <w:p w14:paraId="67267842">
                  <w:pPr>
                    <w:spacing w:line="240" w:lineRule="auto"/>
                    <w:ind w:firstLine="0" w:firstLineChars="0"/>
                    <w:jc w:val="center"/>
                    <w:rPr>
                      <w:rFonts w:hint="default" w:ascii="Times New Roman" w:hAnsi="Times New Roman"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D10%(m)</w:t>
                  </w:r>
                </w:p>
              </w:tc>
              <w:tc>
                <w:tcPr>
                  <w:tcW w:w="763" w:type="pct"/>
                  <w:tcBorders>
                    <w:tl2br w:val="nil"/>
                    <w:tr2bl w:val="nil"/>
                  </w:tcBorders>
                  <w:vAlign w:val="center"/>
                </w:tcPr>
                <w:p w14:paraId="7F1228E0">
                  <w:pPr>
                    <w:spacing w:line="240" w:lineRule="auto"/>
                    <w:ind w:firstLine="0" w:firstLineChars="0"/>
                    <w:jc w:val="center"/>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t>评价等级</w:t>
                  </w:r>
                </w:p>
              </w:tc>
            </w:tr>
            <w:tr w14:paraId="5CAC6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80" w:type="pct"/>
                  <w:vMerge w:val="restart"/>
                  <w:tcBorders>
                    <w:tl2br w:val="nil"/>
                    <w:tr2bl w:val="nil"/>
                  </w:tcBorders>
                  <w:vAlign w:val="center"/>
                </w:tcPr>
                <w:p w14:paraId="743F3671">
                  <w:pPr>
                    <w:spacing w:line="240" w:lineRule="auto"/>
                    <w:ind w:firstLine="0" w:firstLineChars="0"/>
                    <w:jc w:val="center"/>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DA00</w:t>
                  </w:r>
                  <w:r>
                    <w:rPr>
                      <w:rFonts w:hint="default" w:ascii="Times New Roman" w:hAnsi="Times New Roman" w:cs="Times New Roman"/>
                      <w:b w:val="0"/>
                      <w:color w:val="000000" w:themeColor="text1"/>
                      <w:sz w:val="21"/>
                      <w:szCs w:val="21"/>
                      <w:lang w:val="en-US" w:eastAsia="zh-CN"/>
                      <w14:textFill>
                        <w14:solidFill>
                          <w14:schemeClr w14:val="tx1"/>
                        </w14:solidFill>
                      </w14:textFill>
                    </w:rPr>
                    <w:t>1</w:t>
                  </w:r>
                </w:p>
              </w:tc>
              <w:tc>
                <w:tcPr>
                  <w:tcW w:w="1097" w:type="dxa"/>
                  <w:tcBorders>
                    <w:tl2br w:val="nil"/>
                    <w:tr2bl w:val="nil"/>
                  </w:tcBorders>
                  <w:shd w:val="clear" w:color="auto" w:fill="auto"/>
                  <w:vAlign w:val="center"/>
                </w:tcPr>
                <w:p w14:paraId="613E5F5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PM</w:t>
                  </w:r>
                  <w:r>
                    <w:rPr>
                      <w:rFonts w:hint="default" w:ascii="Times New Roman" w:hAnsi="Times New Roman" w:eastAsia="宋体" w:cs="Times New Roman"/>
                      <w:b w:val="0"/>
                      <w:color w:val="000000" w:themeColor="text1"/>
                      <w:sz w:val="21"/>
                      <w:szCs w:val="21"/>
                      <w:vertAlign w:val="subscript"/>
                      <w14:textFill>
                        <w14:solidFill>
                          <w14:schemeClr w14:val="tx1"/>
                        </w14:solidFill>
                      </w14:textFill>
                    </w:rPr>
                    <w:t>10</w:t>
                  </w:r>
                </w:p>
              </w:tc>
              <w:tc>
                <w:tcPr>
                  <w:tcW w:w="1727" w:type="dxa"/>
                  <w:tcBorders>
                    <w:tl2br w:val="nil"/>
                    <w:tr2bl w:val="nil"/>
                  </w:tcBorders>
                  <w:shd w:val="clear" w:color="auto" w:fill="auto"/>
                  <w:vAlign w:val="center"/>
                </w:tcPr>
                <w:p w14:paraId="3A12398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360.0</w:t>
                  </w:r>
                </w:p>
              </w:tc>
              <w:tc>
                <w:tcPr>
                  <w:tcW w:w="1426" w:type="dxa"/>
                  <w:tcBorders>
                    <w:tl2br w:val="nil"/>
                    <w:tr2bl w:val="nil"/>
                  </w:tcBorders>
                  <w:shd w:val="clear" w:color="auto" w:fill="auto"/>
                  <w:vAlign w:val="center"/>
                </w:tcPr>
                <w:p w14:paraId="5BB37D6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1.4167</w:t>
                  </w:r>
                </w:p>
              </w:tc>
              <w:tc>
                <w:tcPr>
                  <w:tcW w:w="1125" w:type="dxa"/>
                  <w:tcBorders>
                    <w:tl2br w:val="nil"/>
                    <w:tr2bl w:val="nil"/>
                  </w:tcBorders>
                  <w:shd w:val="clear" w:color="auto" w:fill="auto"/>
                  <w:vAlign w:val="center"/>
                </w:tcPr>
                <w:p w14:paraId="43D8827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0.3935</w:t>
                  </w:r>
                </w:p>
              </w:tc>
              <w:tc>
                <w:tcPr>
                  <w:tcW w:w="1350" w:type="dxa"/>
                  <w:tcBorders>
                    <w:tl2br w:val="nil"/>
                    <w:tr2bl w:val="nil"/>
                  </w:tcBorders>
                  <w:shd w:val="clear" w:color="auto" w:fill="auto"/>
                  <w:vAlign w:val="center"/>
                </w:tcPr>
                <w:p w14:paraId="27F0379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2"/>
                      <w:sz w:val="21"/>
                      <w:szCs w:val="21"/>
                      <w:lang w:val="en-US" w:eastAsia="zh-CN" w:bidi="ar-SA"/>
                      <w14:textFill>
                        <w14:solidFill>
                          <w14:schemeClr w14:val="tx1"/>
                        </w14:solidFill>
                      </w14:textFill>
                    </w:rPr>
                    <w:t>/</w:t>
                  </w:r>
                </w:p>
              </w:tc>
              <w:tc>
                <w:tcPr>
                  <w:tcW w:w="1445" w:type="dxa"/>
                  <w:tcBorders>
                    <w:tl2br w:val="nil"/>
                    <w:tr2bl w:val="nil"/>
                  </w:tcBorders>
                  <w:vAlign w:val="center"/>
                </w:tcPr>
                <w:p w14:paraId="26BCAF9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Ⅲ</w:t>
                  </w:r>
                </w:p>
              </w:tc>
            </w:tr>
            <w:tr w14:paraId="05F7A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80" w:type="pct"/>
                  <w:vMerge w:val="continue"/>
                  <w:tcBorders>
                    <w:tl2br w:val="nil"/>
                    <w:tr2bl w:val="nil"/>
                  </w:tcBorders>
                  <w:vAlign w:val="center"/>
                </w:tcPr>
                <w:p w14:paraId="7B7981E4">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p>
              </w:tc>
              <w:tc>
                <w:tcPr>
                  <w:tcW w:w="1097" w:type="dxa"/>
                  <w:tcBorders>
                    <w:tl2br w:val="nil"/>
                    <w:tr2bl w:val="nil"/>
                  </w:tcBorders>
                  <w:shd w:val="clear" w:color="auto" w:fill="auto"/>
                  <w:vAlign w:val="center"/>
                </w:tcPr>
                <w:p w14:paraId="14EFCB7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SO</w:t>
                  </w:r>
                  <w:r>
                    <w:rPr>
                      <w:rFonts w:hint="default" w:ascii="Times New Roman" w:hAnsi="Times New Roman" w:eastAsia="宋体" w:cs="Times New Roman"/>
                      <w:b w:val="0"/>
                      <w:color w:val="000000" w:themeColor="text1"/>
                      <w:sz w:val="21"/>
                      <w:szCs w:val="21"/>
                      <w:vertAlign w:val="subscript"/>
                      <w14:textFill>
                        <w14:solidFill>
                          <w14:schemeClr w14:val="tx1"/>
                        </w14:solidFill>
                      </w14:textFill>
                    </w:rPr>
                    <w:t>2</w:t>
                  </w:r>
                </w:p>
              </w:tc>
              <w:tc>
                <w:tcPr>
                  <w:tcW w:w="1727" w:type="dxa"/>
                  <w:tcBorders>
                    <w:tl2br w:val="nil"/>
                    <w:tr2bl w:val="nil"/>
                  </w:tcBorders>
                  <w:shd w:val="clear" w:color="auto" w:fill="auto"/>
                  <w:vAlign w:val="center"/>
                </w:tcPr>
                <w:p w14:paraId="36F97EF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500.0</w:t>
                  </w:r>
                </w:p>
              </w:tc>
              <w:tc>
                <w:tcPr>
                  <w:tcW w:w="1426" w:type="dxa"/>
                  <w:tcBorders>
                    <w:tl2br w:val="nil"/>
                    <w:tr2bl w:val="nil"/>
                  </w:tcBorders>
                  <w:shd w:val="clear" w:color="auto" w:fill="auto"/>
                  <w:vAlign w:val="center"/>
                </w:tcPr>
                <w:p w14:paraId="58E07ED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24.6695</w:t>
                  </w:r>
                </w:p>
              </w:tc>
              <w:tc>
                <w:tcPr>
                  <w:tcW w:w="1125" w:type="dxa"/>
                  <w:tcBorders>
                    <w:tl2br w:val="nil"/>
                    <w:tr2bl w:val="nil"/>
                  </w:tcBorders>
                  <w:shd w:val="clear" w:color="auto" w:fill="auto"/>
                  <w:vAlign w:val="center"/>
                </w:tcPr>
                <w:p w14:paraId="0E89ADF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4.9339</w:t>
                  </w:r>
                </w:p>
              </w:tc>
              <w:tc>
                <w:tcPr>
                  <w:tcW w:w="1350" w:type="dxa"/>
                  <w:tcBorders>
                    <w:tl2br w:val="nil"/>
                    <w:tr2bl w:val="nil"/>
                  </w:tcBorders>
                  <w:shd w:val="clear" w:color="auto" w:fill="auto"/>
                  <w:vAlign w:val="center"/>
                </w:tcPr>
                <w:p w14:paraId="4E7E41A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2"/>
                      <w:sz w:val="21"/>
                      <w:szCs w:val="21"/>
                      <w:lang w:val="en-US" w:eastAsia="zh-CN" w:bidi="ar-SA"/>
                      <w14:textFill>
                        <w14:solidFill>
                          <w14:schemeClr w14:val="tx1"/>
                        </w14:solidFill>
                      </w14:textFill>
                    </w:rPr>
                    <w:t>/</w:t>
                  </w:r>
                </w:p>
              </w:tc>
              <w:tc>
                <w:tcPr>
                  <w:tcW w:w="1445" w:type="dxa"/>
                  <w:tcBorders>
                    <w:tl2br w:val="nil"/>
                    <w:tr2bl w:val="nil"/>
                  </w:tcBorders>
                  <w:vAlign w:val="center"/>
                </w:tcPr>
                <w:p w14:paraId="29B3A87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Ⅱ</w:t>
                  </w:r>
                </w:p>
              </w:tc>
            </w:tr>
            <w:tr w14:paraId="35441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80" w:type="pct"/>
                  <w:vMerge w:val="continue"/>
                  <w:tcBorders>
                    <w:tl2br w:val="nil"/>
                    <w:tr2bl w:val="nil"/>
                  </w:tcBorders>
                  <w:vAlign w:val="center"/>
                </w:tcPr>
                <w:p w14:paraId="5F363A3F">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p>
              </w:tc>
              <w:tc>
                <w:tcPr>
                  <w:tcW w:w="1097" w:type="dxa"/>
                  <w:tcBorders>
                    <w:tl2br w:val="nil"/>
                    <w:tr2bl w:val="nil"/>
                  </w:tcBorders>
                  <w:shd w:val="clear" w:color="auto" w:fill="auto"/>
                  <w:vAlign w:val="center"/>
                </w:tcPr>
                <w:p w14:paraId="357F3B5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NOx</w:t>
                  </w:r>
                </w:p>
              </w:tc>
              <w:tc>
                <w:tcPr>
                  <w:tcW w:w="1727" w:type="dxa"/>
                  <w:tcBorders>
                    <w:tl2br w:val="nil"/>
                    <w:tr2bl w:val="nil"/>
                  </w:tcBorders>
                  <w:shd w:val="clear" w:color="auto" w:fill="auto"/>
                  <w:vAlign w:val="center"/>
                </w:tcPr>
                <w:p w14:paraId="4547410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250.0</w:t>
                  </w:r>
                </w:p>
              </w:tc>
              <w:tc>
                <w:tcPr>
                  <w:tcW w:w="1426" w:type="dxa"/>
                  <w:tcBorders>
                    <w:tl2br w:val="nil"/>
                    <w:tr2bl w:val="nil"/>
                  </w:tcBorders>
                  <w:shd w:val="clear" w:color="auto" w:fill="auto"/>
                  <w:vAlign w:val="center"/>
                </w:tcPr>
                <w:p w14:paraId="6EBDFAD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5.3835</w:t>
                  </w:r>
                </w:p>
              </w:tc>
              <w:tc>
                <w:tcPr>
                  <w:tcW w:w="1125" w:type="dxa"/>
                  <w:tcBorders>
                    <w:tl2br w:val="nil"/>
                    <w:tr2bl w:val="nil"/>
                  </w:tcBorders>
                  <w:shd w:val="clear" w:color="auto" w:fill="auto"/>
                  <w:vAlign w:val="center"/>
                </w:tcPr>
                <w:p w14:paraId="3E7466D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2.1534</w:t>
                  </w:r>
                </w:p>
              </w:tc>
              <w:tc>
                <w:tcPr>
                  <w:tcW w:w="1350" w:type="dxa"/>
                  <w:tcBorders>
                    <w:tl2br w:val="nil"/>
                    <w:tr2bl w:val="nil"/>
                  </w:tcBorders>
                  <w:shd w:val="clear" w:color="auto" w:fill="auto"/>
                  <w:vAlign w:val="center"/>
                </w:tcPr>
                <w:p w14:paraId="768A742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2"/>
                      <w:sz w:val="21"/>
                      <w:szCs w:val="21"/>
                      <w:lang w:val="en-US" w:eastAsia="zh-CN" w:bidi="ar-SA"/>
                      <w14:textFill>
                        <w14:solidFill>
                          <w14:schemeClr w14:val="tx1"/>
                        </w14:solidFill>
                      </w14:textFill>
                    </w:rPr>
                    <w:t>/</w:t>
                  </w:r>
                </w:p>
              </w:tc>
              <w:tc>
                <w:tcPr>
                  <w:tcW w:w="1445" w:type="dxa"/>
                  <w:tcBorders>
                    <w:tl2br w:val="nil"/>
                    <w:tr2bl w:val="nil"/>
                  </w:tcBorders>
                  <w:vAlign w:val="center"/>
                </w:tcPr>
                <w:p w14:paraId="709E0BC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Ⅱ</w:t>
                  </w:r>
                </w:p>
              </w:tc>
            </w:tr>
            <w:tr w14:paraId="1D92B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80" w:type="pct"/>
                  <w:vMerge w:val="continue"/>
                  <w:tcBorders>
                    <w:tl2br w:val="nil"/>
                    <w:tr2bl w:val="nil"/>
                  </w:tcBorders>
                  <w:vAlign w:val="center"/>
                </w:tcPr>
                <w:p w14:paraId="46DB0802">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p>
              </w:tc>
              <w:tc>
                <w:tcPr>
                  <w:tcW w:w="1097" w:type="dxa"/>
                  <w:tcBorders>
                    <w:tl2br w:val="nil"/>
                    <w:tr2bl w:val="nil"/>
                  </w:tcBorders>
                  <w:shd w:val="clear" w:color="auto" w:fill="auto"/>
                  <w:vAlign w:val="center"/>
                </w:tcPr>
                <w:p w14:paraId="267AC91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F</w:t>
                  </w:r>
                </w:p>
              </w:tc>
              <w:tc>
                <w:tcPr>
                  <w:tcW w:w="1727" w:type="dxa"/>
                  <w:tcBorders>
                    <w:tl2br w:val="nil"/>
                    <w:tr2bl w:val="nil"/>
                  </w:tcBorders>
                  <w:shd w:val="clear" w:color="auto" w:fill="auto"/>
                  <w:vAlign w:val="center"/>
                </w:tcPr>
                <w:p w14:paraId="58E3DB0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20.0</w:t>
                  </w:r>
                </w:p>
              </w:tc>
              <w:tc>
                <w:tcPr>
                  <w:tcW w:w="1426" w:type="dxa"/>
                  <w:tcBorders>
                    <w:tl2br w:val="nil"/>
                    <w:tr2bl w:val="nil"/>
                  </w:tcBorders>
                  <w:shd w:val="clear" w:color="auto" w:fill="auto"/>
                  <w:vAlign w:val="center"/>
                </w:tcPr>
                <w:p w14:paraId="79D1E16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0.9445</w:t>
                  </w:r>
                </w:p>
              </w:tc>
              <w:tc>
                <w:tcPr>
                  <w:tcW w:w="1125" w:type="dxa"/>
                  <w:tcBorders>
                    <w:tl2br w:val="nil"/>
                    <w:tr2bl w:val="nil"/>
                  </w:tcBorders>
                  <w:shd w:val="clear" w:color="auto" w:fill="auto"/>
                  <w:vAlign w:val="center"/>
                </w:tcPr>
                <w:p w14:paraId="3A48408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4.7223</w:t>
                  </w:r>
                </w:p>
              </w:tc>
              <w:tc>
                <w:tcPr>
                  <w:tcW w:w="1350" w:type="dxa"/>
                  <w:tcBorders>
                    <w:tl2br w:val="nil"/>
                    <w:tr2bl w:val="nil"/>
                  </w:tcBorders>
                  <w:shd w:val="clear" w:color="auto" w:fill="auto"/>
                  <w:vAlign w:val="center"/>
                </w:tcPr>
                <w:p w14:paraId="49C2371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2"/>
                      <w:sz w:val="21"/>
                      <w:szCs w:val="21"/>
                      <w:lang w:val="en-US" w:eastAsia="zh-CN" w:bidi="ar-SA"/>
                      <w14:textFill>
                        <w14:solidFill>
                          <w14:schemeClr w14:val="tx1"/>
                        </w14:solidFill>
                      </w14:textFill>
                    </w:rPr>
                    <w:t>/</w:t>
                  </w:r>
                </w:p>
              </w:tc>
              <w:tc>
                <w:tcPr>
                  <w:tcW w:w="1445" w:type="dxa"/>
                  <w:tcBorders>
                    <w:tl2br w:val="nil"/>
                    <w:tr2bl w:val="nil"/>
                  </w:tcBorders>
                  <w:vAlign w:val="center"/>
                </w:tcPr>
                <w:p w14:paraId="708EE07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Ⅱ</w:t>
                  </w:r>
                </w:p>
              </w:tc>
            </w:tr>
            <w:tr w14:paraId="7CF4C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80" w:type="pct"/>
                  <w:vMerge w:val="continue"/>
                  <w:tcBorders>
                    <w:tl2br w:val="nil"/>
                    <w:tr2bl w:val="nil"/>
                  </w:tcBorders>
                  <w:vAlign w:val="center"/>
                </w:tcPr>
                <w:p w14:paraId="32BB728C">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p>
              </w:tc>
              <w:tc>
                <w:tcPr>
                  <w:tcW w:w="1097" w:type="dxa"/>
                  <w:tcBorders>
                    <w:tl2br w:val="nil"/>
                    <w:tr2bl w:val="nil"/>
                  </w:tcBorders>
                  <w:shd w:val="clear" w:color="auto" w:fill="auto"/>
                  <w:vAlign w:val="center"/>
                </w:tcPr>
                <w:p w14:paraId="3CAF9C2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二噁英类</w:t>
                  </w:r>
                </w:p>
              </w:tc>
              <w:tc>
                <w:tcPr>
                  <w:tcW w:w="1727" w:type="dxa"/>
                  <w:tcBorders>
                    <w:tl2br w:val="nil"/>
                    <w:tr2bl w:val="nil"/>
                  </w:tcBorders>
                  <w:shd w:val="clear" w:color="auto" w:fill="auto"/>
                  <w:vAlign w:val="center"/>
                </w:tcPr>
                <w:p w14:paraId="10C0A9A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3.6E-6</w:t>
                  </w:r>
                </w:p>
              </w:tc>
              <w:tc>
                <w:tcPr>
                  <w:tcW w:w="1426" w:type="dxa"/>
                  <w:tcBorders>
                    <w:tl2br w:val="nil"/>
                    <w:tr2bl w:val="nil"/>
                  </w:tcBorders>
                  <w:shd w:val="clear" w:color="auto" w:fill="auto"/>
                  <w:vAlign w:val="center"/>
                </w:tcPr>
                <w:p w14:paraId="47EBDCD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0.0000</w:t>
                  </w:r>
                </w:p>
              </w:tc>
              <w:tc>
                <w:tcPr>
                  <w:tcW w:w="1125" w:type="dxa"/>
                  <w:tcBorders>
                    <w:tl2br w:val="nil"/>
                    <w:tr2bl w:val="nil"/>
                  </w:tcBorders>
                  <w:shd w:val="clear" w:color="auto" w:fill="auto"/>
                  <w:vAlign w:val="center"/>
                </w:tcPr>
                <w:p w14:paraId="199A1D3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1.6633</w:t>
                  </w:r>
                </w:p>
              </w:tc>
              <w:tc>
                <w:tcPr>
                  <w:tcW w:w="1350" w:type="dxa"/>
                  <w:tcBorders>
                    <w:tl2br w:val="nil"/>
                    <w:tr2bl w:val="nil"/>
                  </w:tcBorders>
                  <w:shd w:val="clear" w:color="auto" w:fill="auto"/>
                  <w:vAlign w:val="center"/>
                </w:tcPr>
                <w:p w14:paraId="2051DB4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2"/>
                      <w:sz w:val="21"/>
                      <w:szCs w:val="21"/>
                      <w:lang w:val="en-US" w:eastAsia="zh-CN" w:bidi="ar-SA"/>
                      <w14:textFill>
                        <w14:solidFill>
                          <w14:schemeClr w14:val="tx1"/>
                        </w14:solidFill>
                      </w14:textFill>
                    </w:rPr>
                    <w:t>/</w:t>
                  </w:r>
                </w:p>
              </w:tc>
              <w:tc>
                <w:tcPr>
                  <w:tcW w:w="1445" w:type="dxa"/>
                  <w:tcBorders>
                    <w:tl2br w:val="nil"/>
                    <w:tr2bl w:val="nil"/>
                  </w:tcBorders>
                  <w:vAlign w:val="center"/>
                </w:tcPr>
                <w:p w14:paraId="05ADCC7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Ⅱ</w:t>
                  </w:r>
                </w:p>
              </w:tc>
            </w:tr>
            <w:tr w14:paraId="792E2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80" w:type="pct"/>
                  <w:vMerge w:val="continue"/>
                  <w:tcBorders>
                    <w:tl2br w:val="nil"/>
                    <w:tr2bl w:val="nil"/>
                  </w:tcBorders>
                  <w:vAlign w:val="center"/>
                </w:tcPr>
                <w:p w14:paraId="12FC4D97">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p>
              </w:tc>
              <w:tc>
                <w:tcPr>
                  <w:tcW w:w="1097" w:type="dxa"/>
                  <w:tcBorders>
                    <w:tl2br w:val="nil"/>
                    <w:tr2bl w:val="nil"/>
                  </w:tcBorders>
                  <w:shd w:val="clear" w:color="auto" w:fill="auto"/>
                  <w:vAlign w:val="center"/>
                </w:tcPr>
                <w:p w14:paraId="00380A2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color w:val="000000" w:themeColor="text1"/>
                      <w:sz w:val="21"/>
                      <w:szCs w:val="21"/>
                      <w:lang w:val="en-US" w:eastAsia="zh-CN"/>
                      <w14:textFill>
                        <w14:solidFill>
                          <w14:schemeClr w14:val="tx1"/>
                        </w14:solidFill>
                      </w14:textFill>
                    </w:rPr>
                  </w:pPr>
                  <w:r>
                    <w:rPr>
                      <w:rFonts w:hint="eastAsia" w:ascii="Times New Roman" w:hAnsi="Times New Roman" w:cs="Times New Roman"/>
                      <w:b w:val="0"/>
                      <w:color w:val="000000" w:themeColor="text1"/>
                      <w:sz w:val="21"/>
                      <w:szCs w:val="21"/>
                      <w:lang w:val="en-US" w:eastAsia="zh-CN"/>
                      <w14:textFill>
                        <w14:solidFill>
                          <w14:schemeClr w14:val="tx1"/>
                        </w14:solidFill>
                      </w14:textFill>
                    </w:rPr>
                    <w:t>NMHC</w:t>
                  </w:r>
                </w:p>
              </w:tc>
              <w:tc>
                <w:tcPr>
                  <w:tcW w:w="1727" w:type="dxa"/>
                  <w:tcBorders>
                    <w:tl2br w:val="nil"/>
                    <w:tr2bl w:val="nil"/>
                  </w:tcBorders>
                  <w:shd w:val="clear" w:color="auto" w:fill="auto"/>
                  <w:vAlign w:val="center"/>
                </w:tcPr>
                <w:p w14:paraId="32ABF43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color w:val="000000" w:themeColor="text1"/>
                      <w:sz w:val="21"/>
                      <w:szCs w:val="21"/>
                      <w14:textFill>
                        <w14:solidFill>
                          <w14:schemeClr w14:val="tx1"/>
                        </w14:solidFill>
                      </w14:textFill>
                    </w:rPr>
                  </w:pPr>
                  <w:r>
                    <w:rPr>
                      <w:rFonts w:hint="eastAsia" w:ascii="Times New Roman" w:hAnsi="Times New Roman" w:cs="Times New Roman"/>
                      <w:b w:val="0"/>
                      <w:color w:val="000000" w:themeColor="text1"/>
                      <w:sz w:val="21"/>
                      <w:szCs w:val="21"/>
                      <w:lang w:val="en-US" w:eastAsia="zh-CN"/>
                      <w14:textFill>
                        <w14:solidFill>
                          <w14:schemeClr w14:val="tx1"/>
                        </w14:solidFill>
                      </w14:textFill>
                    </w:rPr>
                    <w:t>2000.0</w:t>
                  </w:r>
                </w:p>
              </w:tc>
              <w:tc>
                <w:tcPr>
                  <w:tcW w:w="1426" w:type="dxa"/>
                  <w:tcBorders>
                    <w:tl2br w:val="nil"/>
                    <w:tr2bl w:val="nil"/>
                  </w:tcBorders>
                  <w:shd w:val="clear" w:color="auto" w:fill="auto"/>
                  <w:vAlign w:val="center"/>
                </w:tcPr>
                <w:p w14:paraId="4F9CE96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6.4224</w:t>
                  </w:r>
                </w:p>
              </w:tc>
              <w:tc>
                <w:tcPr>
                  <w:tcW w:w="1125" w:type="dxa"/>
                  <w:tcBorders>
                    <w:tl2br w:val="nil"/>
                    <w:tr2bl w:val="nil"/>
                  </w:tcBorders>
                  <w:shd w:val="clear" w:color="auto" w:fill="auto"/>
                  <w:vAlign w:val="center"/>
                </w:tcPr>
                <w:p w14:paraId="66C988B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0.3211</w:t>
                  </w:r>
                </w:p>
              </w:tc>
              <w:tc>
                <w:tcPr>
                  <w:tcW w:w="1350" w:type="dxa"/>
                  <w:tcBorders>
                    <w:tl2br w:val="nil"/>
                    <w:tr2bl w:val="nil"/>
                  </w:tcBorders>
                  <w:shd w:val="clear" w:color="auto" w:fill="auto"/>
                  <w:vAlign w:val="center"/>
                </w:tcPr>
                <w:p w14:paraId="6BFFE77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cs="Times New Roman"/>
                      <w:color w:val="000000" w:themeColor="text1"/>
                      <w:kern w:val="2"/>
                      <w:sz w:val="21"/>
                      <w:szCs w:val="21"/>
                      <w:lang w:val="en-US" w:eastAsia="zh-CN" w:bidi="ar-SA"/>
                      <w14:textFill>
                        <w14:solidFill>
                          <w14:schemeClr w14:val="tx1"/>
                        </w14:solidFill>
                      </w14:textFill>
                    </w:rPr>
                    <w:t>/</w:t>
                  </w:r>
                </w:p>
              </w:tc>
              <w:tc>
                <w:tcPr>
                  <w:tcW w:w="1445" w:type="dxa"/>
                  <w:tcBorders>
                    <w:tl2br w:val="nil"/>
                    <w:tr2bl w:val="nil"/>
                  </w:tcBorders>
                  <w:vAlign w:val="center"/>
                </w:tcPr>
                <w:p w14:paraId="5635478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Ⅲ</w:t>
                  </w:r>
                </w:p>
              </w:tc>
            </w:tr>
            <w:tr w14:paraId="68CE3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80" w:type="pct"/>
                  <w:tcBorders>
                    <w:tl2br w:val="nil"/>
                    <w:tr2bl w:val="nil"/>
                  </w:tcBorders>
                  <w:vAlign w:val="center"/>
                </w:tcPr>
                <w:p w14:paraId="57BB9553">
                  <w:pPr>
                    <w:spacing w:line="240" w:lineRule="auto"/>
                    <w:ind w:firstLine="0" w:firstLineChars="0"/>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b w:val="0"/>
                      <w:color w:val="000000" w:themeColor="text1"/>
                      <w:sz w:val="21"/>
                      <w:szCs w:val="21"/>
                      <w:lang w:val="en-US" w:eastAsia="zh-CN"/>
                      <w14:textFill>
                        <w14:solidFill>
                          <w14:schemeClr w14:val="tx1"/>
                        </w14:solidFill>
                      </w14:textFill>
                    </w:rPr>
                    <w:t>2号+3号厂房整体区域</w:t>
                  </w:r>
                </w:p>
              </w:tc>
              <w:tc>
                <w:tcPr>
                  <w:tcW w:w="1097" w:type="dxa"/>
                  <w:tcBorders>
                    <w:tl2br w:val="nil"/>
                    <w:tr2bl w:val="nil"/>
                  </w:tcBorders>
                  <w:shd w:val="clear" w:color="auto" w:fill="auto"/>
                  <w:vAlign w:val="center"/>
                </w:tcPr>
                <w:p w14:paraId="5B77E06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TSP</w:t>
                  </w:r>
                </w:p>
              </w:tc>
              <w:tc>
                <w:tcPr>
                  <w:tcW w:w="1727" w:type="dxa"/>
                  <w:tcBorders>
                    <w:tl2br w:val="nil"/>
                    <w:tr2bl w:val="nil"/>
                  </w:tcBorders>
                  <w:shd w:val="clear" w:color="auto" w:fill="auto"/>
                  <w:vAlign w:val="center"/>
                </w:tcPr>
                <w:p w14:paraId="3A86B83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900.0</w:t>
                  </w:r>
                </w:p>
              </w:tc>
              <w:tc>
                <w:tcPr>
                  <w:tcW w:w="1426" w:type="dxa"/>
                  <w:tcBorders>
                    <w:tl2br w:val="nil"/>
                    <w:tr2bl w:val="nil"/>
                  </w:tcBorders>
                  <w:shd w:val="clear" w:color="auto" w:fill="auto"/>
                  <w:vAlign w:val="center"/>
                </w:tcPr>
                <w:p w14:paraId="58477CB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42.3950</w:t>
                  </w:r>
                </w:p>
              </w:tc>
              <w:tc>
                <w:tcPr>
                  <w:tcW w:w="1125" w:type="dxa"/>
                  <w:tcBorders>
                    <w:tl2br w:val="nil"/>
                    <w:tr2bl w:val="nil"/>
                  </w:tcBorders>
                  <w:shd w:val="clear" w:color="auto" w:fill="auto"/>
                  <w:vAlign w:val="center"/>
                </w:tcPr>
                <w:p w14:paraId="08243BB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4.7106</w:t>
                  </w:r>
                </w:p>
              </w:tc>
              <w:tc>
                <w:tcPr>
                  <w:tcW w:w="1350" w:type="dxa"/>
                  <w:tcBorders>
                    <w:tl2br w:val="nil"/>
                    <w:tr2bl w:val="nil"/>
                  </w:tcBorders>
                  <w:vAlign w:val="center"/>
                </w:tcPr>
                <w:p w14:paraId="373AF46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w:t>
                  </w:r>
                </w:p>
              </w:tc>
              <w:tc>
                <w:tcPr>
                  <w:tcW w:w="1445" w:type="dxa"/>
                  <w:tcBorders>
                    <w:tl2br w:val="nil"/>
                    <w:tr2bl w:val="nil"/>
                  </w:tcBorders>
                  <w:vAlign w:val="center"/>
                </w:tcPr>
                <w:p w14:paraId="0D59B56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Ⅱ</w:t>
                  </w:r>
                </w:p>
              </w:tc>
            </w:tr>
          </w:tbl>
          <w:p w14:paraId="6F12249B">
            <w:pPr>
              <w:autoSpaceDE w:val="0"/>
              <w:autoSpaceDN w:val="0"/>
              <w:ind w:firstLine="480" w:firstLineChars="200"/>
              <w:jc w:val="both"/>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综合以上分析，本项目Pmax最大值为</w:t>
            </w:r>
            <w:r>
              <w:rPr>
                <w:rFonts w:hint="eastAsia" w:cs="Times New Roman"/>
                <w:color w:val="000000" w:themeColor="text1"/>
                <w:lang w:val="en-US" w:eastAsia="zh-CN"/>
                <w14:textFill>
                  <w14:solidFill>
                    <w14:schemeClr w14:val="tx1"/>
                  </w14:solidFill>
                </w14:textFill>
              </w:rPr>
              <w:t>二氧化硫</w:t>
            </w:r>
            <w:r>
              <w:rPr>
                <w:rFonts w:hint="default" w:ascii="Times New Roman" w:hAnsi="Times New Roman" w:cs="Times New Roman"/>
                <w:color w:val="000000" w:themeColor="text1"/>
                <w14:textFill>
                  <w14:solidFill>
                    <w14:schemeClr w14:val="tx1"/>
                  </w14:solidFill>
                </w14:textFill>
              </w:rPr>
              <w:t>，Pmax值为</w:t>
            </w:r>
            <w:r>
              <w:rPr>
                <w:rFonts w:hint="eastAsia" w:ascii="Times New Roman" w:hAnsi="Times New Roman" w:cs="Times New Roman"/>
                <w:color w:val="000000" w:themeColor="text1"/>
                <w:lang w:val="en-US" w:eastAsia="zh-CN"/>
                <w14:textFill>
                  <w14:solidFill>
                    <w14:schemeClr w14:val="tx1"/>
                  </w14:solidFill>
                </w14:textFill>
              </w:rPr>
              <w:t>4.9339</w:t>
            </w:r>
            <w:r>
              <w:rPr>
                <w:rFonts w:hint="default" w:ascii="Times New Roman" w:hAnsi="Times New Roman" w:cs="Times New Roman"/>
                <w:color w:val="000000" w:themeColor="text1"/>
                <w14:textFill>
                  <w14:solidFill>
                    <w14:schemeClr w14:val="tx1"/>
                  </w14:solidFill>
                </w14:textFill>
              </w:rPr>
              <w:t>%，</w:t>
            </w:r>
            <w:r>
              <w:rPr>
                <w:rFonts w:hint="default" w:ascii="Times New Roman" w:hAnsi="Times New Roman" w:eastAsia="宋体" w:cs="Times New Roman"/>
                <w:b w:val="0"/>
                <w:color w:val="000000" w:themeColor="text1"/>
                <w:sz w:val="24"/>
                <w14:textFill>
                  <w14:solidFill>
                    <w14:schemeClr w14:val="tx1"/>
                  </w14:solidFill>
                </w14:textFill>
              </w:rPr>
              <w:t>Cmax为2</w:t>
            </w:r>
            <w:r>
              <w:rPr>
                <w:rFonts w:hint="eastAsia" w:ascii="Times New Roman" w:hAnsi="Times New Roman" w:cs="Times New Roman"/>
                <w:b w:val="0"/>
                <w:color w:val="000000" w:themeColor="text1"/>
                <w:sz w:val="24"/>
                <w:lang w:val="en-US" w:eastAsia="zh-CN"/>
                <w14:textFill>
                  <w14:solidFill>
                    <w14:schemeClr w14:val="tx1"/>
                  </w14:solidFill>
                </w14:textFill>
              </w:rPr>
              <w:t>4.6695</w:t>
            </w:r>
            <w:r>
              <w:rPr>
                <w:rFonts w:hint="default" w:ascii="Times New Roman" w:hAnsi="Times New Roman" w:eastAsia="宋体" w:cs="Times New Roman"/>
                <w:b w:val="0"/>
                <w:color w:val="000000" w:themeColor="text1"/>
                <w:sz w:val="24"/>
                <w14:textFill>
                  <w14:solidFill>
                    <w14:schemeClr w14:val="tx1"/>
                  </w14:solidFill>
                </w14:textFill>
              </w:rPr>
              <w:t>μg/m</w:t>
            </w:r>
            <w:r>
              <w:rPr>
                <w:rFonts w:hint="eastAsia" w:ascii="Times New Roman" w:hAnsi="Times New Roman" w:eastAsia="宋体" w:cs="Times New Roman"/>
                <w:b w:val="0"/>
                <w:color w:val="000000" w:themeColor="text1"/>
                <w:sz w:val="24"/>
                <w:vertAlign w:val="superscript"/>
                <w:lang w:val="en-US" w:eastAsia="zh-CN"/>
                <w14:textFill>
                  <w14:solidFill>
                    <w14:schemeClr w14:val="tx1"/>
                  </w14:solidFill>
                </w14:textFill>
              </w:rPr>
              <w:t>3</w:t>
            </w:r>
            <w:r>
              <w:rPr>
                <w:rFonts w:hint="eastAsia" w:ascii="宋体" w:hAnsi="宋体" w:eastAsia="宋体" w:cs="宋体"/>
                <w:b w:val="0"/>
                <w:color w:val="000000" w:themeColor="text1"/>
                <w:sz w:val="24"/>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根据《环境影响评价技术导则 大气环境》(HJ2.2-2018)分级判据，</w:t>
            </w:r>
            <w:r>
              <w:rPr>
                <w:rFonts w:hint="eastAsia" w:cs="Times New Roman"/>
                <w:color w:val="000000" w:themeColor="text1"/>
                <w:lang w:val="en-US" w:eastAsia="zh-CN"/>
                <w14:textFill>
                  <w14:solidFill>
                    <w14:schemeClr w14:val="tx1"/>
                  </w14:solidFill>
                </w14:textFill>
              </w:rPr>
              <w:t>综合</w:t>
            </w:r>
            <w:r>
              <w:rPr>
                <w:rFonts w:hint="default" w:ascii="Times New Roman" w:hAnsi="Times New Roman" w:cs="Times New Roman"/>
                <w:color w:val="000000" w:themeColor="text1"/>
                <w14:textFill>
                  <w14:solidFill>
                    <w14:schemeClr w14:val="tx1"/>
                  </w14:solidFill>
                </w14:textFill>
              </w:rPr>
              <w:t>确定本项目大气环境影响评价工作等级为二级，因此无需进行进一步预测与评价，只需对污染物排放量进行核算，核算内容详见</w:t>
            </w:r>
            <w:r>
              <w:rPr>
                <w:rFonts w:hint="default" w:ascii="Times New Roman" w:hAnsi="Times New Roman" w:cs="Times New Roman"/>
                <w:color w:val="000000" w:themeColor="text1"/>
                <w:lang w:val="en-US" w:eastAsia="zh-CN"/>
                <w14:textFill>
                  <w14:solidFill>
                    <w14:schemeClr w14:val="tx1"/>
                  </w14:solidFill>
                </w14:textFill>
              </w:rPr>
              <w:t>下表</w:t>
            </w:r>
            <w:r>
              <w:rPr>
                <w:rFonts w:hint="default" w:ascii="Times New Roman" w:hAnsi="Times New Roman" w:cs="Times New Roman"/>
                <w:color w:val="000000" w:themeColor="text1"/>
                <w14:textFill>
                  <w14:solidFill>
                    <w14:schemeClr w14:val="tx1"/>
                  </w14:solidFill>
                </w14:textFill>
              </w:rPr>
              <w:t>。</w:t>
            </w:r>
          </w:p>
          <w:p w14:paraId="7CB6E502">
            <w:pPr>
              <w:spacing w:line="240" w:lineRule="auto"/>
              <w:jc w:val="center"/>
              <w:rPr>
                <w:rFonts w:hint="default" w:ascii="Times New Roman" w:hAnsi="Times New Roman" w:cs="Times New Roman"/>
                <w:b/>
                <w:bCs/>
                <w:color w:val="000000" w:themeColor="text1"/>
                <w:kern w:val="10"/>
                <w14:textFill>
                  <w14:solidFill>
                    <w14:schemeClr w14:val="tx1"/>
                  </w14:solidFill>
                </w14:textFill>
              </w:rPr>
            </w:pPr>
            <w:r>
              <w:rPr>
                <w:rFonts w:hint="default" w:ascii="Times New Roman" w:hAnsi="Times New Roman" w:cs="Times New Roman"/>
                <w:b/>
                <w:bCs/>
                <w:color w:val="000000" w:themeColor="text1"/>
                <w:kern w:val="10"/>
                <w:sz w:val="21"/>
                <w:szCs w:val="21"/>
                <w14:textFill>
                  <w14:solidFill>
                    <w14:schemeClr w14:val="tx1"/>
                  </w14:solidFill>
                </w14:textFill>
              </w:rPr>
              <w:t>表</w:t>
            </w:r>
            <w:r>
              <w:rPr>
                <w:rFonts w:hint="eastAsia" w:cs="Times New Roman"/>
                <w:b/>
                <w:bCs/>
                <w:color w:val="000000" w:themeColor="text1"/>
                <w:kern w:val="10"/>
                <w:sz w:val="21"/>
                <w:szCs w:val="21"/>
                <w:lang w:val="en-US" w:eastAsia="zh-CN"/>
                <w14:textFill>
                  <w14:solidFill>
                    <w14:schemeClr w14:val="tx1"/>
                  </w14:solidFill>
                </w14:textFill>
              </w:rPr>
              <w:t xml:space="preserve">4-5 </w:t>
            </w:r>
            <w:r>
              <w:rPr>
                <w:rFonts w:hint="default" w:ascii="Times New Roman" w:hAnsi="Times New Roman" w:cs="Times New Roman"/>
                <w:b/>
                <w:bCs/>
                <w:color w:val="000000" w:themeColor="text1"/>
                <w:kern w:val="10"/>
                <w:sz w:val="21"/>
                <w:szCs w:val="21"/>
                <w14:textFill>
                  <w14:solidFill>
                    <w14:schemeClr w14:val="tx1"/>
                  </w14:solidFill>
                </w14:textFill>
              </w:rPr>
              <w:t>大气污染物有组织排放量核算表</w:t>
            </w:r>
          </w:p>
          <w:tbl>
            <w:tblPr>
              <w:tblStyle w:val="26"/>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90"/>
              <w:gridCol w:w="1493"/>
              <w:gridCol w:w="1563"/>
              <w:gridCol w:w="2223"/>
              <w:gridCol w:w="1910"/>
              <w:gridCol w:w="1731"/>
            </w:tblGrid>
            <w:tr w14:paraId="2535E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310" w:type="pct"/>
                  <w:noWrap w:val="0"/>
                  <w:vAlign w:val="center"/>
                </w:tcPr>
                <w:p w14:paraId="00578AF5">
                  <w:pPr>
                    <w:snapToGrid w:val="0"/>
                    <w:spacing w:line="240" w:lineRule="auto"/>
                    <w:ind w:firstLine="0" w:firstLineChars="0"/>
                    <w:jc w:val="center"/>
                    <w:rPr>
                      <w:rFonts w:hint="default" w:ascii="Times New Roman" w:hAnsi="Times New Roman" w:cs="Times New Roman"/>
                      <w:b/>
                      <w:bCs/>
                      <w:color w:val="000000" w:themeColor="text1"/>
                      <w:sz w:val="21"/>
                      <w:szCs w:val="21"/>
                      <w14:textFill>
                        <w14:solidFill>
                          <w14:schemeClr w14:val="tx1"/>
                        </w14:solidFill>
                      </w14:textFill>
                    </w:rPr>
                  </w:pPr>
                  <w:r>
                    <w:rPr>
                      <w:rFonts w:hint="default" w:ascii="Times New Roman" w:hAnsi="Times New Roman" w:cs="Times New Roman"/>
                      <w:b/>
                      <w:bCs/>
                      <w:color w:val="000000" w:themeColor="text1"/>
                      <w:sz w:val="21"/>
                      <w:szCs w:val="21"/>
                      <w14:textFill>
                        <w14:solidFill>
                          <w14:schemeClr w14:val="tx1"/>
                        </w14:solidFill>
                      </w14:textFill>
                    </w:rPr>
                    <w:t>序号</w:t>
                  </w:r>
                </w:p>
              </w:tc>
              <w:tc>
                <w:tcPr>
                  <w:tcW w:w="784" w:type="pct"/>
                  <w:noWrap w:val="0"/>
                  <w:vAlign w:val="center"/>
                </w:tcPr>
                <w:p w14:paraId="26EAFBD7">
                  <w:pPr>
                    <w:snapToGrid w:val="0"/>
                    <w:spacing w:line="240" w:lineRule="auto"/>
                    <w:ind w:firstLine="0" w:firstLineChars="0"/>
                    <w:jc w:val="center"/>
                    <w:rPr>
                      <w:rFonts w:hint="default" w:ascii="Times New Roman" w:hAnsi="Times New Roman" w:cs="Times New Roman"/>
                      <w:b/>
                      <w:bCs/>
                      <w:color w:val="000000" w:themeColor="text1"/>
                      <w:sz w:val="21"/>
                      <w:szCs w:val="21"/>
                      <w14:textFill>
                        <w14:solidFill>
                          <w14:schemeClr w14:val="tx1"/>
                        </w14:solidFill>
                      </w14:textFill>
                    </w:rPr>
                  </w:pPr>
                  <w:r>
                    <w:rPr>
                      <w:rFonts w:hint="default" w:ascii="Times New Roman" w:hAnsi="Times New Roman" w:cs="Times New Roman"/>
                      <w:b/>
                      <w:bCs/>
                      <w:color w:val="000000" w:themeColor="text1"/>
                      <w:sz w:val="21"/>
                      <w:szCs w:val="21"/>
                      <w14:textFill>
                        <w14:solidFill>
                          <w14:schemeClr w14:val="tx1"/>
                        </w14:solidFill>
                      </w14:textFill>
                    </w:rPr>
                    <w:t>排放口编号</w:t>
                  </w:r>
                </w:p>
              </w:tc>
              <w:tc>
                <w:tcPr>
                  <w:tcW w:w="822" w:type="pct"/>
                  <w:noWrap w:val="0"/>
                  <w:vAlign w:val="center"/>
                </w:tcPr>
                <w:p w14:paraId="06371874">
                  <w:pPr>
                    <w:snapToGrid w:val="0"/>
                    <w:spacing w:line="240" w:lineRule="auto"/>
                    <w:ind w:firstLine="0" w:firstLineChars="0"/>
                    <w:jc w:val="center"/>
                    <w:rPr>
                      <w:rFonts w:hint="default" w:ascii="Times New Roman" w:hAnsi="Times New Roman" w:cs="Times New Roman"/>
                      <w:b/>
                      <w:bCs/>
                      <w:color w:val="000000" w:themeColor="text1"/>
                      <w:sz w:val="21"/>
                      <w:szCs w:val="21"/>
                      <w14:textFill>
                        <w14:solidFill>
                          <w14:schemeClr w14:val="tx1"/>
                        </w14:solidFill>
                      </w14:textFill>
                    </w:rPr>
                  </w:pPr>
                  <w:r>
                    <w:rPr>
                      <w:rFonts w:hint="default" w:ascii="Times New Roman" w:hAnsi="Times New Roman" w:cs="Times New Roman"/>
                      <w:b/>
                      <w:bCs/>
                      <w:color w:val="000000" w:themeColor="text1"/>
                      <w:sz w:val="21"/>
                      <w:szCs w:val="21"/>
                      <w14:textFill>
                        <w14:solidFill>
                          <w14:schemeClr w14:val="tx1"/>
                        </w14:solidFill>
                      </w14:textFill>
                    </w:rPr>
                    <w:t>污染物</w:t>
                  </w:r>
                </w:p>
              </w:tc>
              <w:tc>
                <w:tcPr>
                  <w:tcW w:w="1169" w:type="pct"/>
                  <w:noWrap w:val="0"/>
                  <w:vAlign w:val="center"/>
                </w:tcPr>
                <w:p w14:paraId="58E80A8C">
                  <w:pPr>
                    <w:snapToGrid w:val="0"/>
                    <w:spacing w:line="240" w:lineRule="auto"/>
                    <w:ind w:firstLine="0" w:firstLineChars="0"/>
                    <w:jc w:val="center"/>
                    <w:rPr>
                      <w:rFonts w:hint="default" w:ascii="Times New Roman" w:hAnsi="Times New Roman" w:cs="Times New Roman"/>
                      <w:b/>
                      <w:bCs/>
                      <w:color w:val="000000" w:themeColor="text1"/>
                      <w:sz w:val="21"/>
                      <w:szCs w:val="21"/>
                      <w14:textFill>
                        <w14:solidFill>
                          <w14:schemeClr w14:val="tx1"/>
                        </w14:solidFill>
                      </w14:textFill>
                    </w:rPr>
                  </w:pPr>
                  <w:r>
                    <w:rPr>
                      <w:rFonts w:hint="default" w:ascii="Times New Roman" w:hAnsi="Times New Roman" w:cs="Times New Roman"/>
                      <w:b/>
                      <w:bCs/>
                      <w:color w:val="000000" w:themeColor="text1"/>
                      <w:sz w:val="21"/>
                      <w:szCs w:val="21"/>
                      <w14:textFill>
                        <w14:solidFill>
                          <w14:schemeClr w14:val="tx1"/>
                        </w14:solidFill>
                      </w14:textFill>
                    </w:rPr>
                    <w:t>核算排放浓度(mg/m</w:t>
                  </w:r>
                  <w:r>
                    <w:rPr>
                      <w:rFonts w:hint="default" w:ascii="Times New Roman" w:hAnsi="Times New Roman" w:cs="Times New Roman"/>
                      <w:b/>
                      <w:bCs/>
                      <w:color w:val="000000" w:themeColor="text1"/>
                      <w:sz w:val="21"/>
                      <w:szCs w:val="21"/>
                      <w:vertAlign w:val="superscript"/>
                      <w14:textFill>
                        <w14:solidFill>
                          <w14:schemeClr w14:val="tx1"/>
                        </w14:solidFill>
                      </w14:textFill>
                    </w:rPr>
                    <w:t>3</w:t>
                  </w:r>
                  <w:r>
                    <w:rPr>
                      <w:rFonts w:hint="default" w:ascii="Times New Roman" w:hAnsi="Times New Roman" w:cs="Times New Roman"/>
                      <w:b/>
                      <w:bCs/>
                      <w:color w:val="000000" w:themeColor="text1"/>
                      <w:sz w:val="21"/>
                      <w:szCs w:val="21"/>
                      <w14:textFill>
                        <w14:solidFill>
                          <w14:schemeClr w14:val="tx1"/>
                        </w14:solidFill>
                      </w14:textFill>
                    </w:rPr>
                    <w:t>)</w:t>
                  </w:r>
                </w:p>
              </w:tc>
              <w:tc>
                <w:tcPr>
                  <w:tcW w:w="1004" w:type="pct"/>
                  <w:noWrap w:val="0"/>
                  <w:vAlign w:val="center"/>
                </w:tcPr>
                <w:p w14:paraId="0A3235D5">
                  <w:pPr>
                    <w:snapToGrid w:val="0"/>
                    <w:spacing w:line="240" w:lineRule="auto"/>
                    <w:ind w:firstLine="0" w:firstLineChars="0"/>
                    <w:jc w:val="center"/>
                    <w:rPr>
                      <w:rFonts w:hint="default" w:ascii="Times New Roman" w:hAnsi="Times New Roman" w:cs="Times New Roman"/>
                      <w:b/>
                      <w:bCs/>
                      <w:color w:val="000000" w:themeColor="text1"/>
                      <w:sz w:val="21"/>
                      <w:szCs w:val="21"/>
                      <w14:textFill>
                        <w14:solidFill>
                          <w14:schemeClr w14:val="tx1"/>
                        </w14:solidFill>
                      </w14:textFill>
                    </w:rPr>
                  </w:pPr>
                  <w:r>
                    <w:rPr>
                      <w:rFonts w:hint="default" w:ascii="Times New Roman" w:hAnsi="Times New Roman" w:cs="Times New Roman"/>
                      <w:b/>
                      <w:bCs/>
                      <w:color w:val="000000" w:themeColor="text1"/>
                      <w:sz w:val="21"/>
                      <w:szCs w:val="21"/>
                      <w14:textFill>
                        <w14:solidFill>
                          <w14:schemeClr w14:val="tx1"/>
                        </w14:solidFill>
                      </w14:textFill>
                    </w:rPr>
                    <w:t>核算排放速率/(kg/h)</w:t>
                  </w:r>
                </w:p>
              </w:tc>
              <w:tc>
                <w:tcPr>
                  <w:tcW w:w="909" w:type="pct"/>
                  <w:noWrap w:val="0"/>
                  <w:vAlign w:val="center"/>
                </w:tcPr>
                <w:p w14:paraId="24D446C8">
                  <w:pPr>
                    <w:snapToGrid w:val="0"/>
                    <w:spacing w:line="240" w:lineRule="auto"/>
                    <w:ind w:firstLine="0" w:firstLineChars="0"/>
                    <w:jc w:val="center"/>
                    <w:rPr>
                      <w:rFonts w:hint="default" w:ascii="Times New Roman" w:hAnsi="Times New Roman" w:cs="Times New Roman"/>
                      <w:b/>
                      <w:bCs/>
                      <w:color w:val="000000" w:themeColor="text1"/>
                      <w:sz w:val="21"/>
                      <w:szCs w:val="21"/>
                      <w14:textFill>
                        <w14:solidFill>
                          <w14:schemeClr w14:val="tx1"/>
                        </w14:solidFill>
                      </w14:textFill>
                    </w:rPr>
                  </w:pPr>
                  <w:r>
                    <w:rPr>
                      <w:rFonts w:hint="default" w:ascii="Times New Roman" w:hAnsi="Times New Roman" w:cs="Times New Roman"/>
                      <w:b/>
                      <w:bCs/>
                      <w:color w:val="000000" w:themeColor="text1"/>
                      <w:sz w:val="21"/>
                      <w:szCs w:val="21"/>
                      <w14:textFill>
                        <w14:solidFill>
                          <w14:schemeClr w14:val="tx1"/>
                        </w14:solidFill>
                      </w14:textFill>
                    </w:rPr>
                    <w:t>核算年排放量/(t/a)</w:t>
                  </w:r>
                </w:p>
              </w:tc>
            </w:tr>
            <w:tr w14:paraId="06C04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000" w:type="pct"/>
                  <w:gridSpan w:val="6"/>
                  <w:noWrap w:val="0"/>
                  <w:vAlign w:val="center"/>
                </w:tcPr>
                <w:p w14:paraId="3217E3A1">
                  <w:pPr>
                    <w:snapToGrid w:val="0"/>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主要排放口</w:t>
                  </w:r>
                </w:p>
              </w:tc>
            </w:tr>
            <w:tr w14:paraId="631FA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10" w:type="pct"/>
                  <w:noWrap w:val="0"/>
                  <w:vAlign w:val="center"/>
                </w:tcPr>
                <w:p w14:paraId="72918FC2">
                  <w:pPr>
                    <w:snapToGrid w:val="0"/>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w:t>
                  </w:r>
                </w:p>
              </w:tc>
              <w:tc>
                <w:tcPr>
                  <w:tcW w:w="784" w:type="pct"/>
                  <w:noWrap w:val="0"/>
                  <w:vAlign w:val="center"/>
                </w:tcPr>
                <w:p w14:paraId="3FAD8D86">
                  <w:pPr>
                    <w:snapToGrid w:val="0"/>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w:t>
                  </w:r>
                </w:p>
              </w:tc>
              <w:tc>
                <w:tcPr>
                  <w:tcW w:w="822" w:type="pct"/>
                  <w:noWrap w:val="0"/>
                  <w:vAlign w:val="center"/>
                </w:tcPr>
                <w:p w14:paraId="001950EA">
                  <w:pPr>
                    <w:spacing w:line="240" w:lineRule="auto"/>
                    <w:ind w:firstLine="0" w:firstLineChars="0"/>
                    <w:jc w:val="center"/>
                    <w:rPr>
                      <w:rFonts w:hint="default" w:ascii="Times New Roman" w:hAnsi="Times New Roman" w:cs="Times New Roman"/>
                      <w:snapToGrid w:val="0"/>
                      <w:color w:val="000000" w:themeColor="text1"/>
                      <w:sz w:val="21"/>
                      <w:szCs w:val="21"/>
                      <w14:textFill>
                        <w14:solidFill>
                          <w14:schemeClr w14:val="tx1"/>
                        </w14:solidFill>
                      </w14:textFill>
                    </w:rPr>
                  </w:pPr>
                  <w:r>
                    <w:rPr>
                      <w:rFonts w:hint="default" w:ascii="Times New Roman" w:hAnsi="Times New Roman" w:cs="Times New Roman"/>
                      <w:snapToGrid w:val="0"/>
                      <w:color w:val="000000" w:themeColor="text1"/>
                      <w:sz w:val="21"/>
                      <w:szCs w:val="21"/>
                      <w14:textFill>
                        <w14:solidFill>
                          <w14:schemeClr w14:val="tx1"/>
                        </w14:solidFill>
                      </w14:textFill>
                    </w:rPr>
                    <w:t>/</w:t>
                  </w:r>
                </w:p>
              </w:tc>
              <w:tc>
                <w:tcPr>
                  <w:tcW w:w="1169" w:type="pct"/>
                  <w:noWrap w:val="0"/>
                  <w:vAlign w:val="center"/>
                </w:tcPr>
                <w:p w14:paraId="37E8C9AF">
                  <w:pPr>
                    <w:widowControl/>
                    <w:spacing w:line="240" w:lineRule="auto"/>
                    <w:ind w:firstLine="0" w:firstLineChars="0"/>
                    <w:jc w:val="center"/>
                    <w:textAlignment w:val="center"/>
                    <w:rPr>
                      <w:rFonts w:hint="default" w:ascii="Times New Roman" w:hAnsi="Times New Roman" w:cs="Times New Roman"/>
                      <w:snapToGrid w:val="0"/>
                      <w:color w:val="000000" w:themeColor="text1"/>
                      <w:kern w:val="0"/>
                      <w:sz w:val="21"/>
                      <w:szCs w:val="21"/>
                      <w:lang w:bidi="ar"/>
                      <w14:textFill>
                        <w14:solidFill>
                          <w14:schemeClr w14:val="tx1"/>
                        </w14:solidFill>
                      </w14:textFill>
                    </w:rPr>
                  </w:pPr>
                  <w:r>
                    <w:rPr>
                      <w:rFonts w:hint="default" w:ascii="Times New Roman" w:hAnsi="Times New Roman" w:cs="Times New Roman"/>
                      <w:snapToGrid w:val="0"/>
                      <w:color w:val="000000" w:themeColor="text1"/>
                      <w:kern w:val="0"/>
                      <w:sz w:val="21"/>
                      <w:szCs w:val="21"/>
                      <w:lang w:bidi="ar"/>
                      <w14:textFill>
                        <w14:solidFill>
                          <w14:schemeClr w14:val="tx1"/>
                        </w14:solidFill>
                      </w14:textFill>
                    </w:rPr>
                    <w:t>/</w:t>
                  </w:r>
                </w:p>
              </w:tc>
              <w:tc>
                <w:tcPr>
                  <w:tcW w:w="1004" w:type="pct"/>
                  <w:noWrap w:val="0"/>
                  <w:vAlign w:val="center"/>
                </w:tcPr>
                <w:p w14:paraId="78F1B3BC">
                  <w:pPr>
                    <w:widowControl/>
                    <w:spacing w:line="240" w:lineRule="auto"/>
                    <w:ind w:firstLine="0" w:firstLineChars="0"/>
                    <w:jc w:val="center"/>
                    <w:textAlignment w:val="center"/>
                    <w:rPr>
                      <w:rFonts w:hint="default" w:ascii="Times New Roman" w:hAnsi="Times New Roman" w:cs="Times New Roman"/>
                      <w:snapToGrid w:val="0"/>
                      <w:color w:val="000000" w:themeColor="text1"/>
                      <w:kern w:val="0"/>
                      <w:sz w:val="21"/>
                      <w:szCs w:val="21"/>
                      <w:lang w:bidi="ar"/>
                      <w14:textFill>
                        <w14:solidFill>
                          <w14:schemeClr w14:val="tx1"/>
                        </w14:solidFill>
                      </w14:textFill>
                    </w:rPr>
                  </w:pPr>
                  <w:r>
                    <w:rPr>
                      <w:rFonts w:hint="default" w:ascii="Times New Roman" w:hAnsi="Times New Roman" w:cs="Times New Roman"/>
                      <w:snapToGrid w:val="0"/>
                      <w:color w:val="000000" w:themeColor="text1"/>
                      <w:kern w:val="0"/>
                      <w:sz w:val="21"/>
                      <w:szCs w:val="21"/>
                      <w:lang w:bidi="ar"/>
                      <w14:textFill>
                        <w14:solidFill>
                          <w14:schemeClr w14:val="tx1"/>
                        </w14:solidFill>
                      </w14:textFill>
                    </w:rPr>
                    <w:t>/</w:t>
                  </w:r>
                </w:p>
              </w:tc>
              <w:tc>
                <w:tcPr>
                  <w:tcW w:w="909" w:type="pct"/>
                  <w:noWrap w:val="0"/>
                  <w:vAlign w:val="center"/>
                </w:tcPr>
                <w:p w14:paraId="457D8C65">
                  <w:pPr>
                    <w:widowControl/>
                    <w:spacing w:line="240" w:lineRule="auto"/>
                    <w:ind w:firstLine="0" w:firstLineChars="0"/>
                    <w:jc w:val="center"/>
                    <w:textAlignment w:val="center"/>
                    <w:rPr>
                      <w:rFonts w:hint="default" w:ascii="Times New Roman" w:hAnsi="Times New Roman" w:cs="Times New Roman"/>
                      <w:snapToGrid w:val="0"/>
                      <w:color w:val="000000" w:themeColor="text1"/>
                      <w:kern w:val="0"/>
                      <w:sz w:val="21"/>
                      <w:szCs w:val="21"/>
                      <w:lang w:bidi="ar"/>
                      <w14:textFill>
                        <w14:solidFill>
                          <w14:schemeClr w14:val="tx1"/>
                        </w14:solidFill>
                      </w14:textFill>
                    </w:rPr>
                  </w:pPr>
                  <w:r>
                    <w:rPr>
                      <w:rFonts w:hint="default" w:ascii="Times New Roman" w:hAnsi="Times New Roman" w:cs="Times New Roman"/>
                      <w:snapToGrid w:val="0"/>
                      <w:color w:val="000000" w:themeColor="text1"/>
                      <w:kern w:val="0"/>
                      <w:sz w:val="21"/>
                      <w:szCs w:val="21"/>
                      <w:lang w:bidi="ar"/>
                      <w14:textFill>
                        <w14:solidFill>
                          <w14:schemeClr w14:val="tx1"/>
                        </w14:solidFill>
                      </w14:textFill>
                    </w:rPr>
                    <w:t>/</w:t>
                  </w:r>
                </w:p>
              </w:tc>
            </w:tr>
            <w:tr w14:paraId="74A10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95" w:type="pct"/>
                  <w:gridSpan w:val="2"/>
                  <w:noWrap w:val="0"/>
                  <w:vAlign w:val="center"/>
                </w:tcPr>
                <w:p w14:paraId="0EBD3EB1">
                  <w:pPr>
                    <w:snapToGrid w:val="0"/>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主要排放口合计</w:t>
                  </w:r>
                </w:p>
              </w:tc>
              <w:tc>
                <w:tcPr>
                  <w:tcW w:w="2995" w:type="pct"/>
                  <w:gridSpan w:val="3"/>
                  <w:noWrap w:val="0"/>
                  <w:vAlign w:val="center"/>
                </w:tcPr>
                <w:p w14:paraId="2E05C22A">
                  <w:pPr>
                    <w:spacing w:line="240" w:lineRule="auto"/>
                    <w:ind w:firstLine="0" w:firstLineChars="0"/>
                    <w:jc w:val="center"/>
                    <w:rPr>
                      <w:rFonts w:hint="default" w:ascii="Times New Roman" w:hAnsi="Times New Roman" w:cs="Times New Roman"/>
                      <w:bCs/>
                      <w:snapToGrid w:val="0"/>
                      <w:color w:val="000000" w:themeColor="text1"/>
                      <w:sz w:val="21"/>
                      <w:szCs w:val="21"/>
                      <w14:textFill>
                        <w14:solidFill>
                          <w14:schemeClr w14:val="tx1"/>
                        </w14:solidFill>
                      </w14:textFill>
                    </w:rPr>
                  </w:pPr>
                  <w:r>
                    <w:rPr>
                      <w:rFonts w:hint="default" w:ascii="Times New Roman" w:hAnsi="Times New Roman" w:cs="Times New Roman"/>
                      <w:bCs/>
                      <w:snapToGrid w:val="0"/>
                      <w:color w:val="000000" w:themeColor="text1"/>
                      <w:sz w:val="21"/>
                      <w:szCs w:val="21"/>
                      <w14:textFill>
                        <w14:solidFill>
                          <w14:schemeClr w14:val="tx1"/>
                        </w14:solidFill>
                      </w14:textFill>
                    </w:rPr>
                    <w:t>/</w:t>
                  </w:r>
                </w:p>
              </w:tc>
              <w:tc>
                <w:tcPr>
                  <w:tcW w:w="909" w:type="pct"/>
                  <w:noWrap w:val="0"/>
                  <w:vAlign w:val="center"/>
                </w:tcPr>
                <w:p w14:paraId="0C86992B">
                  <w:pPr>
                    <w:widowControl/>
                    <w:spacing w:line="240" w:lineRule="auto"/>
                    <w:ind w:firstLine="0" w:firstLineChars="0"/>
                    <w:jc w:val="center"/>
                    <w:rPr>
                      <w:rFonts w:hint="default" w:ascii="Times New Roman" w:hAnsi="Times New Roman" w:cs="Times New Roman"/>
                      <w:snapToGrid w:val="0"/>
                      <w:color w:val="000000" w:themeColor="text1"/>
                      <w:sz w:val="21"/>
                      <w:szCs w:val="21"/>
                      <w14:textFill>
                        <w14:solidFill>
                          <w14:schemeClr w14:val="tx1"/>
                        </w14:solidFill>
                      </w14:textFill>
                    </w:rPr>
                  </w:pPr>
                  <w:r>
                    <w:rPr>
                      <w:rFonts w:hint="default" w:ascii="Times New Roman" w:hAnsi="Times New Roman" w:cs="Times New Roman"/>
                      <w:snapToGrid w:val="0"/>
                      <w:color w:val="000000" w:themeColor="text1"/>
                      <w:sz w:val="21"/>
                      <w:szCs w:val="21"/>
                      <w14:textFill>
                        <w14:solidFill>
                          <w14:schemeClr w14:val="tx1"/>
                        </w14:solidFill>
                      </w14:textFill>
                    </w:rPr>
                    <w:t>/</w:t>
                  </w:r>
                </w:p>
              </w:tc>
            </w:tr>
            <w:tr w14:paraId="549ED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000" w:type="pct"/>
                  <w:gridSpan w:val="6"/>
                  <w:noWrap w:val="0"/>
                  <w:vAlign w:val="center"/>
                </w:tcPr>
                <w:p w14:paraId="49F3D16F">
                  <w:pPr>
                    <w:snapToGrid w:val="0"/>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一般排放口</w:t>
                  </w:r>
                </w:p>
              </w:tc>
            </w:tr>
            <w:tr w14:paraId="12E58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10" w:type="pct"/>
                  <w:vMerge w:val="restart"/>
                  <w:noWrap w:val="0"/>
                  <w:vAlign w:val="center"/>
                </w:tcPr>
                <w:p w14:paraId="1660AE39">
                  <w:pPr>
                    <w:snapToGrid w:val="0"/>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1</w:t>
                  </w:r>
                </w:p>
              </w:tc>
              <w:tc>
                <w:tcPr>
                  <w:tcW w:w="784" w:type="pct"/>
                  <w:vMerge w:val="restart"/>
                  <w:noWrap w:val="0"/>
                  <w:vAlign w:val="center"/>
                </w:tcPr>
                <w:p w14:paraId="57CCABD3">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DA001</w:t>
                  </w:r>
                </w:p>
              </w:tc>
              <w:tc>
                <w:tcPr>
                  <w:tcW w:w="822" w:type="pct"/>
                  <w:shd w:val="clear" w:color="auto" w:fill="auto"/>
                  <w:noWrap w:val="0"/>
                  <w:vAlign w:val="center"/>
                </w:tcPr>
                <w:p w14:paraId="428E4881">
                  <w:pPr>
                    <w:pStyle w:val="12"/>
                    <w:wordWrap w:val="0"/>
                    <w:ind w:firstLine="0" w:firstLineChars="0"/>
                    <w:rPr>
                      <w:rFonts w:hint="default"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b w:val="0"/>
                      <w:bCs w:val="0"/>
                      <w:color w:val="000000" w:themeColor="text1"/>
                      <w:sz w:val="21"/>
                      <w:szCs w:val="21"/>
                      <w14:textFill>
                        <w14:solidFill>
                          <w14:schemeClr w14:val="tx1"/>
                        </w14:solidFill>
                      </w14:textFill>
                    </w:rPr>
                    <w:t>颗粒物</w:t>
                  </w:r>
                </w:p>
              </w:tc>
              <w:tc>
                <w:tcPr>
                  <w:tcW w:w="2223" w:type="dxa"/>
                  <w:shd w:val="clear" w:color="auto" w:fill="auto"/>
                  <w:noWrap w:val="0"/>
                  <w:vAlign w:val="center"/>
                </w:tcPr>
                <w:p w14:paraId="3BE58DDD">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eastAsia"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t>0.3350</w:t>
                  </w:r>
                </w:p>
              </w:tc>
              <w:tc>
                <w:tcPr>
                  <w:tcW w:w="1910" w:type="dxa"/>
                  <w:shd w:val="clear" w:color="auto" w:fill="auto"/>
                  <w:noWrap w:val="0"/>
                  <w:vAlign w:val="center"/>
                </w:tcPr>
                <w:p w14:paraId="184DDF9C">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eastAsia"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t>0.0075</w:t>
                  </w:r>
                </w:p>
              </w:tc>
              <w:tc>
                <w:tcPr>
                  <w:tcW w:w="1731" w:type="dxa"/>
                  <w:shd w:val="clear" w:color="auto" w:fill="auto"/>
                  <w:noWrap w:val="0"/>
                  <w:vAlign w:val="center"/>
                </w:tcPr>
                <w:p w14:paraId="504C7B56">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eastAsia"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t>0.0597</w:t>
                  </w:r>
                </w:p>
              </w:tc>
            </w:tr>
            <w:tr w14:paraId="192AA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10" w:type="pct"/>
                  <w:vMerge w:val="continue"/>
                  <w:noWrap w:val="0"/>
                  <w:vAlign w:val="center"/>
                </w:tcPr>
                <w:p w14:paraId="3D31108C">
                  <w:pPr>
                    <w:snapToGrid w:val="0"/>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p>
              </w:tc>
              <w:tc>
                <w:tcPr>
                  <w:tcW w:w="784" w:type="pct"/>
                  <w:vMerge w:val="continue"/>
                  <w:noWrap w:val="0"/>
                  <w:vAlign w:val="center"/>
                </w:tcPr>
                <w:p w14:paraId="55345921">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p>
              </w:tc>
              <w:tc>
                <w:tcPr>
                  <w:tcW w:w="822" w:type="pct"/>
                  <w:shd w:val="clear" w:color="auto" w:fill="auto"/>
                  <w:noWrap w:val="0"/>
                  <w:vAlign w:val="center"/>
                </w:tcPr>
                <w:p w14:paraId="699EF191">
                  <w:pPr>
                    <w:pStyle w:val="12"/>
                    <w:wordWrap w:val="0"/>
                    <w:ind w:firstLine="0" w:firstLineChars="0"/>
                    <w:rPr>
                      <w:rFonts w:hint="default"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二氧化硫</w:t>
                  </w:r>
                </w:p>
              </w:tc>
              <w:tc>
                <w:tcPr>
                  <w:tcW w:w="2223" w:type="dxa"/>
                  <w:shd w:val="clear" w:color="auto" w:fill="auto"/>
                  <w:noWrap w:val="0"/>
                  <w:vAlign w:val="center"/>
                </w:tcPr>
                <w:p w14:paraId="0BADB8F3">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5.8026 </w:t>
                  </w:r>
                </w:p>
              </w:tc>
              <w:tc>
                <w:tcPr>
                  <w:tcW w:w="1910" w:type="dxa"/>
                  <w:shd w:val="clear" w:color="auto" w:fill="auto"/>
                  <w:noWrap w:val="0"/>
                  <w:vAlign w:val="center"/>
                </w:tcPr>
                <w:p w14:paraId="0B7D770F">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0.1306 </w:t>
                  </w:r>
                </w:p>
              </w:tc>
              <w:tc>
                <w:tcPr>
                  <w:tcW w:w="1731" w:type="dxa"/>
                  <w:shd w:val="clear" w:color="auto" w:fill="auto"/>
                  <w:noWrap w:val="0"/>
                  <w:vAlign w:val="center"/>
                </w:tcPr>
                <w:p w14:paraId="78DBF71F">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1.0340 </w:t>
                  </w:r>
                </w:p>
              </w:tc>
            </w:tr>
            <w:tr w14:paraId="4C631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10" w:type="pct"/>
                  <w:vMerge w:val="continue"/>
                  <w:noWrap w:val="0"/>
                  <w:vAlign w:val="center"/>
                </w:tcPr>
                <w:p w14:paraId="59B48AA6">
                  <w:pPr>
                    <w:snapToGrid w:val="0"/>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p>
              </w:tc>
              <w:tc>
                <w:tcPr>
                  <w:tcW w:w="784" w:type="pct"/>
                  <w:vMerge w:val="continue"/>
                  <w:noWrap w:val="0"/>
                  <w:vAlign w:val="center"/>
                </w:tcPr>
                <w:p w14:paraId="3DD54C67">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p>
              </w:tc>
              <w:tc>
                <w:tcPr>
                  <w:tcW w:w="822" w:type="pct"/>
                  <w:shd w:val="clear" w:color="auto" w:fill="auto"/>
                  <w:noWrap w:val="0"/>
                  <w:vAlign w:val="center"/>
                </w:tcPr>
                <w:p w14:paraId="671B4074">
                  <w:pPr>
                    <w:pStyle w:val="12"/>
                    <w:wordWrap w:val="0"/>
                    <w:ind w:firstLine="0" w:firstLineChars="0"/>
                    <w:rPr>
                      <w:rFonts w:hint="default"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氮氧化物</w:t>
                  </w:r>
                </w:p>
              </w:tc>
              <w:tc>
                <w:tcPr>
                  <w:tcW w:w="2223" w:type="dxa"/>
                  <w:shd w:val="clear" w:color="auto" w:fill="auto"/>
                  <w:noWrap w:val="0"/>
                  <w:vAlign w:val="center"/>
                </w:tcPr>
                <w:p w14:paraId="2BE84C11">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1.2668 </w:t>
                  </w:r>
                </w:p>
              </w:tc>
              <w:tc>
                <w:tcPr>
                  <w:tcW w:w="1910" w:type="dxa"/>
                  <w:shd w:val="clear" w:color="auto" w:fill="auto"/>
                  <w:noWrap w:val="0"/>
                  <w:vAlign w:val="center"/>
                </w:tcPr>
                <w:p w14:paraId="1AEAE697">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0.0285 </w:t>
                  </w:r>
                </w:p>
              </w:tc>
              <w:tc>
                <w:tcPr>
                  <w:tcW w:w="1731" w:type="dxa"/>
                  <w:shd w:val="clear" w:color="auto" w:fill="auto"/>
                  <w:noWrap w:val="0"/>
                  <w:vAlign w:val="center"/>
                </w:tcPr>
                <w:p w14:paraId="2E680E78">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0.2257 </w:t>
                  </w:r>
                </w:p>
              </w:tc>
            </w:tr>
            <w:tr w14:paraId="25387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10" w:type="pct"/>
                  <w:vMerge w:val="continue"/>
                  <w:noWrap w:val="0"/>
                  <w:vAlign w:val="center"/>
                </w:tcPr>
                <w:p w14:paraId="7406F7F7">
                  <w:pPr>
                    <w:snapToGrid w:val="0"/>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p>
              </w:tc>
              <w:tc>
                <w:tcPr>
                  <w:tcW w:w="784" w:type="pct"/>
                  <w:vMerge w:val="continue"/>
                  <w:noWrap w:val="0"/>
                  <w:vAlign w:val="center"/>
                </w:tcPr>
                <w:p w14:paraId="2E2DE432">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p>
              </w:tc>
              <w:tc>
                <w:tcPr>
                  <w:tcW w:w="822" w:type="pct"/>
                  <w:shd w:val="clear" w:color="auto" w:fill="auto"/>
                  <w:noWrap w:val="0"/>
                  <w:vAlign w:val="center"/>
                </w:tcPr>
                <w:p w14:paraId="3A522E69">
                  <w:pPr>
                    <w:pStyle w:val="12"/>
                    <w:wordWrap w:val="0"/>
                    <w:ind w:firstLine="0" w:firstLineChars="0"/>
                    <w:rPr>
                      <w:rFonts w:hint="default"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氟化物</w:t>
                  </w:r>
                </w:p>
              </w:tc>
              <w:tc>
                <w:tcPr>
                  <w:tcW w:w="2223" w:type="dxa"/>
                  <w:shd w:val="clear" w:color="auto" w:fill="auto"/>
                  <w:noWrap w:val="0"/>
                  <w:vAlign w:val="center"/>
                </w:tcPr>
                <w:p w14:paraId="1AD0ED9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3.8456 </w:t>
                  </w:r>
                </w:p>
              </w:tc>
              <w:tc>
                <w:tcPr>
                  <w:tcW w:w="1910" w:type="dxa"/>
                  <w:shd w:val="clear" w:color="auto" w:fill="auto"/>
                  <w:noWrap w:val="0"/>
                  <w:vAlign w:val="center"/>
                </w:tcPr>
                <w:p w14:paraId="1F50575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0.0865 </w:t>
                  </w:r>
                </w:p>
              </w:tc>
              <w:tc>
                <w:tcPr>
                  <w:tcW w:w="1731" w:type="dxa"/>
                  <w:shd w:val="clear" w:color="auto" w:fill="auto"/>
                  <w:noWrap w:val="0"/>
                  <w:vAlign w:val="center"/>
                </w:tcPr>
                <w:p w14:paraId="53EF190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0.6853 </w:t>
                  </w:r>
                </w:p>
              </w:tc>
            </w:tr>
            <w:tr w14:paraId="275A1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10" w:type="pct"/>
                  <w:vMerge w:val="continue"/>
                  <w:noWrap w:val="0"/>
                  <w:vAlign w:val="center"/>
                </w:tcPr>
                <w:p w14:paraId="2D25A6D9">
                  <w:pPr>
                    <w:snapToGrid w:val="0"/>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p>
              </w:tc>
              <w:tc>
                <w:tcPr>
                  <w:tcW w:w="784" w:type="pct"/>
                  <w:vMerge w:val="continue"/>
                  <w:noWrap w:val="0"/>
                  <w:vAlign w:val="center"/>
                </w:tcPr>
                <w:p w14:paraId="75AEC6F6">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p>
              </w:tc>
              <w:tc>
                <w:tcPr>
                  <w:tcW w:w="822" w:type="pct"/>
                  <w:shd w:val="clear" w:color="auto" w:fill="auto"/>
                  <w:noWrap w:val="0"/>
                  <w:vAlign w:val="center"/>
                </w:tcPr>
                <w:p w14:paraId="7E660AEC">
                  <w:pPr>
                    <w:pStyle w:val="12"/>
                    <w:wordWrap w:val="0"/>
                    <w:ind w:firstLine="0" w:firstLineChars="0"/>
                    <w:rPr>
                      <w:rFonts w:hint="default"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二噁英</w:t>
                  </w:r>
                </w:p>
              </w:tc>
              <w:tc>
                <w:tcPr>
                  <w:tcW w:w="2223" w:type="dxa"/>
                  <w:shd w:val="clear" w:color="auto" w:fill="auto"/>
                  <w:noWrap w:val="0"/>
                  <w:vAlign w:val="center"/>
                </w:tcPr>
                <w:p w14:paraId="0AE6B3C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r>
                    <w:rPr>
                      <w:rFonts w:hint="default"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t>41</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E-08</w:t>
                  </w:r>
                </w:p>
              </w:tc>
              <w:tc>
                <w:tcPr>
                  <w:tcW w:w="1910" w:type="dxa"/>
                  <w:shd w:val="clear" w:color="auto" w:fill="auto"/>
                  <w:noWrap w:val="0"/>
                  <w:vAlign w:val="center"/>
                </w:tcPr>
                <w:p w14:paraId="256629C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t>3.17</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E-10</w:t>
                  </w:r>
                </w:p>
              </w:tc>
              <w:tc>
                <w:tcPr>
                  <w:tcW w:w="1731" w:type="dxa"/>
                  <w:shd w:val="clear" w:color="auto" w:fill="auto"/>
                  <w:noWrap w:val="0"/>
                  <w:vAlign w:val="center"/>
                </w:tcPr>
                <w:p w14:paraId="3D20EDB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t>2.51</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E-09</w:t>
                  </w:r>
                </w:p>
              </w:tc>
            </w:tr>
            <w:tr w14:paraId="7D85B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10" w:type="pct"/>
                  <w:vMerge w:val="continue"/>
                  <w:noWrap w:val="0"/>
                  <w:vAlign w:val="center"/>
                </w:tcPr>
                <w:p w14:paraId="1CB6BB38">
                  <w:pPr>
                    <w:snapToGrid w:val="0"/>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p>
              </w:tc>
              <w:tc>
                <w:tcPr>
                  <w:tcW w:w="784" w:type="pct"/>
                  <w:vMerge w:val="continue"/>
                  <w:noWrap w:val="0"/>
                  <w:vAlign w:val="center"/>
                </w:tcPr>
                <w:p w14:paraId="4A47AE64">
                  <w:pPr>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p>
              </w:tc>
              <w:tc>
                <w:tcPr>
                  <w:tcW w:w="822" w:type="pct"/>
                  <w:shd w:val="clear" w:color="auto" w:fill="auto"/>
                  <w:noWrap w:val="0"/>
                  <w:vAlign w:val="center"/>
                </w:tcPr>
                <w:p w14:paraId="1EB7E91E">
                  <w:pPr>
                    <w:pStyle w:val="12"/>
                    <w:wordWrap w:val="0"/>
                    <w:ind w:firstLine="0" w:firstLineChars="0"/>
                    <w:rPr>
                      <w:rFonts w:hint="default" w:ascii="Times New Roman" w:hAnsi="Times New Roman"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VOCs</w:t>
                  </w:r>
                </w:p>
              </w:tc>
              <w:tc>
                <w:tcPr>
                  <w:tcW w:w="2223" w:type="dxa"/>
                  <w:shd w:val="clear" w:color="auto" w:fill="auto"/>
                  <w:noWrap w:val="0"/>
                  <w:vAlign w:val="center"/>
                </w:tcPr>
                <w:p w14:paraId="59ADAE8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t>1.5117</w:t>
                  </w:r>
                </w:p>
              </w:tc>
              <w:tc>
                <w:tcPr>
                  <w:tcW w:w="1910" w:type="dxa"/>
                  <w:shd w:val="clear" w:color="auto" w:fill="auto"/>
                  <w:noWrap w:val="0"/>
                  <w:vAlign w:val="center"/>
                </w:tcPr>
                <w:p w14:paraId="5ACE47C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t>0.034</w:t>
                  </w:r>
                </w:p>
              </w:tc>
              <w:tc>
                <w:tcPr>
                  <w:tcW w:w="1731" w:type="dxa"/>
                  <w:shd w:val="clear" w:color="auto" w:fill="auto"/>
                  <w:noWrap w:val="0"/>
                  <w:vAlign w:val="center"/>
                </w:tcPr>
                <w:p w14:paraId="7CFE513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t>0.2694</w:t>
                  </w:r>
                </w:p>
              </w:tc>
            </w:tr>
            <w:tr w14:paraId="73D03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95" w:type="pct"/>
                  <w:gridSpan w:val="2"/>
                  <w:vMerge w:val="restart"/>
                  <w:noWrap w:val="0"/>
                  <w:vAlign w:val="center"/>
                </w:tcPr>
                <w:p w14:paraId="64284F79">
                  <w:pPr>
                    <w:snapToGrid w:val="0"/>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一般排放口合计</w:t>
                  </w:r>
                </w:p>
              </w:tc>
              <w:tc>
                <w:tcPr>
                  <w:tcW w:w="2995" w:type="pct"/>
                  <w:gridSpan w:val="3"/>
                  <w:shd w:val="clear" w:color="auto" w:fill="auto"/>
                  <w:noWrap w:val="0"/>
                  <w:vAlign w:val="center"/>
                </w:tcPr>
                <w:p w14:paraId="6AB7D5F8">
                  <w:pPr>
                    <w:pStyle w:val="12"/>
                    <w:wordWrap w:val="0"/>
                    <w:ind w:firstLine="0" w:firstLineChars="0"/>
                    <w:rPr>
                      <w:rFonts w:hint="default"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颗粒物</w:t>
                  </w:r>
                </w:p>
              </w:tc>
              <w:tc>
                <w:tcPr>
                  <w:tcW w:w="1731" w:type="dxa"/>
                  <w:shd w:val="clear" w:color="auto" w:fill="auto"/>
                  <w:noWrap w:val="0"/>
                  <w:vAlign w:val="center"/>
                </w:tcPr>
                <w:p w14:paraId="0B15727C">
                  <w:pPr>
                    <w:keepNext w:val="0"/>
                    <w:keepLines w:val="0"/>
                    <w:widowControl/>
                    <w:suppressLineNumbers w:val="0"/>
                    <w:spacing w:line="240" w:lineRule="auto"/>
                    <w:ind w:firstLine="0" w:firstLineChars="0"/>
                    <w:jc w:val="center"/>
                    <w:textAlignment w:val="center"/>
                    <w:rPr>
                      <w:rFonts w:hint="default" w:ascii="Times New Roman" w:hAnsi="Times New Roman" w:eastAsia="等线" w:cs="Times New Roman"/>
                      <w:b w:val="0"/>
                      <w:bCs w:val="0"/>
                      <w:color w:val="000000" w:themeColor="text1"/>
                      <w:kern w:val="0"/>
                      <w:sz w:val="21"/>
                      <w:szCs w:val="21"/>
                      <w:lang w:val="en-US" w:eastAsia="zh-CN" w:bidi="ar-SA"/>
                      <w14:textFill>
                        <w14:solidFill>
                          <w14:schemeClr w14:val="tx1"/>
                        </w14:solidFill>
                      </w14:textFill>
                    </w:rPr>
                  </w:pPr>
                  <w:r>
                    <w:rPr>
                      <w:rFonts w:hint="eastAsia"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t>0.0597</w:t>
                  </w:r>
                </w:p>
              </w:tc>
            </w:tr>
            <w:tr w14:paraId="5801A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95" w:type="pct"/>
                  <w:gridSpan w:val="2"/>
                  <w:vMerge w:val="continue"/>
                  <w:noWrap w:val="0"/>
                  <w:vAlign w:val="center"/>
                </w:tcPr>
                <w:p w14:paraId="1B20EC35">
                  <w:pPr>
                    <w:snapToGrid w:val="0"/>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p>
              </w:tc>
              <w:tc>
                <w:tcPr>
                  <w:tcW w:w="2995" w:type="pct"/>
                  <w:gridSpan w:val="3"/>
                  <w:shd w:val="clear" w:color="auto" w:fill="auto"/>
                  <w:noWrap w:val="0"/>
                  <w:vAlign w:val="center"/>
                </w:tcPr>
                <w:p w14:paraId="240A58BD">
                  <w:pPr>
                    <w:pStyle w:val="12"/>
                    <w:wordWrap w:val="0"/>
                    <w:ind w:firstLine="0" w:firstLineChars="0"/>
                    <w:rPr>
                      <w:rFonts w:hint="default"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二氧化硫</w:t>
                  </w:r>
                </w:p>
              </w:tc>
              <w:tc>
                <w:tcPr>
                  <w:tcW w:w="1731" w:type="dxa"/>
                  <w:shd w:val="clear" w:color="auto" w:fill="auto"/>
                  <w:noWrap w:val="0"/>
                  <w:vAlign w:val="center"/>
                </w:tcPr>
                <w:p w14:paraId="23ADA109">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1.0340 </w:t>
                  </w:r>
                </w:p>
              </w:tc>
            </w:tr>
            <w:tr w14:paraId="11189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95" w:type="pct"/>
                  <w:gridSpan w:val="2"/>
                  <w:vMerge w:val="continue"/>
                  <w:noWrap w:val="0"/>
                  <w:vAlign w:val="center"/>
                </w:tcPr>
                <w:p w14:paraId="5493EAB2">
                  <w:pPr>
                    <w:snapToGrid w:val="0"/>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p>
              </w:tc>
              <w:tc>
                <w:tcPr>
                  <w:tcW w:w="2995" w:type="pct"/>
                  <w:gridSpan w:val="3"/>
                  <w:shd w:val="clear" w:color="auto" w:fill="auto"/>
                  <w:noWrap w:val="0"/>
                  <w:vAlign w:val="center"/>
                </w:tcPr>
                <w:p w14:paraId="0614DA06">
                  <w:pPr>
                    <w:pStyle w:val="12"/>
                    <w:wordWrap w:val="0"/>
                    <w:ind w:firstLine="0" w:firstLineChars="0"/>
                    <w:rPr>
                      <w:rFonts w:hint="default"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氮氧化物</w:t>
                  </w:r>
                </w:p>
              </w:tc>
              <w:tc>
                <w:tcPr>
                  <w:tcW w:w="1731" w:type="dxa"/>
                  <w:shd w:val="clear" w:color="auto" w:fill="auto"/>
                  <w:noWrap w:val="0"/>
                  <w:vAlign w:val="center"/>
                </w:tcPr>
                <w:p w14:paraId="113624B3">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0.2257 </w:t>
                  </w:r>
                </w:p>
              </w:tc>
            </w:tr>
            <w:tr w14:paraId="68A05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95" w:type="pct"/>
                  <w:gridSpan w:val="2"/>
                  <w:vMerge w:val="continue"/>
                  <w:noWrap w:val="0"/>
                  <w:vAlign w:val="center"/>
                </w:tcPr>
                <w:p w14:paraId="61A66DED">
                  <w:pPr>
                    <w:snapToGrid w:val="0"/>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p>
              </w:tc>
              <w:tc>
                <w:tcPr>
                  <w:tcW w:w="2995" w:type="pct"/>
                  <w:gridSpan w:val="3"/>
                  <w:shd w:val="clear" w:color="auto" w:fill="auto"/>
                  <w:noWrap w:val="0"/>
                  <w:vAlign w:val="center"/>
                </w:tcPr>
                <w:p w14:paraId="757604F7">
                  <w:pPr>
                    <w:pStyle w:val="12"/>
                    <w:wordWrap w:val="0"/>
                    <w:ind w:firstLine="0" w:firstLineChars="0"/>
                    <w:rPr>
                      <w:rFonts w:hint="default"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氟化物</w:t>
                  </w:r>
                </w:p>
              </w:tc>
              <w:tc>
                <w:tcPr>
                  <w:tcW w:w="1731" w:type="dxa"/>
                  <w:shd w:val="clear" w:color="auto" w:fill="auto"/>
                  <w:noWrap w:val="0"/>
                  <w:vAlign w:val="center"/>
                </w:tcPr>
                <w:p w14:paraId="0641003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0.6853 </w:t>
                  </w:r>
                </w:p>
              </w:tc>
            </w:tr>
            <w:tr w14:paraId="466FF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95" w:type="pct"/>
                  <w:gridSpan w:val="2"/>
                  <w:vMerge w:val="continue"/>
                  <w:noWrap w:val="0"/>
                  <w:vAlign w:val="center"/>
                </w:tcPr>
                <w:p w14:paraId="40697553">
                  <w:pPr>
                    <w:snapToGrid w:val="0"/>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p>
              </w:tc>
              <w:tc>
                <w:tcPr>
                  <w:tcW w:w="2995" w:type="pct"/>
                  <w:gridSpan w:val="3"/>
                  <w:shd w:val="clear" w:color="auto" w:fill="auto"/>
                  <w:noWrap w:val="0"/>
                  <w:vAlign w:val="center"/>
                </w:tcPr>
                <w:p w14:paraId="325B93A6">
                  <w:pPr>
                    <w:pStyle w:val="12"/>
                    <w:wordWrap w:val="0"/>
                    <w:ind w:firstLine="0" w:firstLineChars="0"/>
                    <w:rPr>
                      <w:rFonts w:hint="default"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二噁英</w:t>
                  </w:r>
                </w:p>
              </w:tc>
              <w:tc>
                <w:tcPr>
                  <w:tcW w:w="1731" w:type="dxa"/>
                  <w:shd w:val="clear" w:color="auto" w:fill="auto"/>
                  <w:noWrap w:val="0"/>
                  <w:vAlign w:val="center"/>
                </w:tcPr>
                <w:p w14:paraId="68A0F90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t>2.51</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E-09</w:t>
                  </w:r>
                </w:p>
              </w:tc>
            </w:tr>
            <w:tr w14:paraId="5E0C0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95" w:type="pct"/>
                  <w:gridSpan w:val="2"/>
                  <w:vMerge w:val="continue"/>
                  <w:noWrap w:val="0"/>
                  <w:vAlign w:val="center"/>
                </w:tcPr>
                <w:p w14:paraId="1FEF497E">
                  <w:pPr>
                    <w:snapToGrid w:val="0"/>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p>
              </w:tc>
              <w:tc>
                <w:tcPr>
                  <w:tcW w:w="2995" w:type="pct"/>
                  <w:gridSpan w:val="3"/>
                  <w:shd w:val="clear" w:color="auto" w:fill="auto"/>
                  <w:noWrap w:val="0"/>
                  <w:vAlign w:val="center"/>
                </w:tcPr>
                <w:p w14:paraId="2C169561">
                  <w:pPr>
                    <w:pStyle w:val="12"/>
                    <w:wordWrap w:val="0"/>
                    <w:ind w:firstLine="0" w:firstLineChars="0"/>
                    <w:rPr>
                      <w:rFonts w:hint="default" w:ascii="Times New Roman" w:hAnsi="Times New Roman"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VOCs</w:t>
                  </w:r>
                </w:p>
              </w:tc>
              <w:tc>
                <w:tcPr>
                  <w:tcW w:w="1731" w:type="dxa"/>
                  <w:shd w:val="clear" w:color="auto" w:fill="auto"/>
                  <w:noWrap w:val="0"/>
                  <w:vAlign w:val="center"/>
                </w:tcPr>
                <w:p w14:paraId="31B9E01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t>0.2694</w:t>
                  </w:r>
                </w:p>
              </w:tc>
            </w:tr>
            <w:tr w14:paraId="6A611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000" w:type="pct"/>
                  <w:gridSpan w:val="6"/>
                  <w:noWrap w:val="0"/>
                  <w:vAlign w:val="center"/>
                </w:tcPr>
                <w:p w14:paraId="255F0D70">
                  <w:pPr>
                    <w:snapToGrid w:val="0"/>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有组织排放总计</w:t>
                  </w:r>
                </w:p>
              </w:tc>
            </w:tr>
            <w:tr w14:paraId="7276D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95" w:type="pct"/>
                  <w:gridSpan w:val="2"/>
                  <w:vMerge w:val="restart"/>
                  <w:noWrap w:val="0"/>
                  <w:vAlign w:val="center"/>
                </w:tcPr>
                <w:p w14:paraId="5B023100">
                  <w:pPr>
                    <w:snapToGrid w:val="0"/>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有组织排放总计</w:t>
                  </w:r>
                </w:p>
              </w:tc>
              <w:tc>
                <w:tcPr>
                  <w:tcW w:w="2995" w:type="pct"/>
                  <w:gridSpan w:val="3"/>
                  <w:shd w:val="clear" w:color="auto" w:fill="auto"/>
                  <w:noWrap w:val="0"/>
                  <w:vAlign w:val="center"/>
                </w:tcPr>
                <w:p w14:paraId="79496AE3">
                  <w:pPr>
                    <w:pStyle w:val="12"/>
                    <w:wordWrap w:val="0"/>
                    <w:ind w:firstLine="0" w:firstLineChars="0"/>
                    <w:rPr>
                      <w:rFonts w:hint="default"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颗粒物</w:t>
                  </w:r>
                </w:p>
              </w:tc>
              <w:tc>
                <w:tcPr>
                  <w:tcW w:w="1731" w:type="dxa"/>
                  <w:shd w:val="clear" w:color="auto" w:fill="auto"/>
                  <w:noWrap w:val="0"/>
                  <w:vAlign w:val="center"/>
                </w:tcPr>
                <w:p w14:paraId="69F75B63">
                  <w:pPr>
                    <w:keepNext w:val="0"/>
                    <w:keepLines w:val="0"/>
                    <w:widowControl/>
                    <w:suppressLineNumbers w:val="0"/>
                    <w:spacing w:line="240" w:lineRule="auto"/>
                    <w:ind w:firstLine="0" w:firstLineChars="0"/>
                    <w:jc w:val="center"/>
                    <w:textAlignment w:val="center"/>
                    <w:rPr>
                      <w:rFonts w:hint="default" w:ascii="Times New Roman" w:hAnsi="Times New Roman" w:eastAsia="等线" w:cs="Times New Roman"/>
                      <w:b w:val="0"/>
                      <w:bCs w:val="0"/>
                      <w:color w:val="000000" w:themeColor="text1"/>
                      <w:kern w:val="0"/>
                      <w:sz w:val="21"/>
                      <w:szCs w:val="21"/>
                      <w:lang w:val="en-US" w:eastAsia="zh-CN" w:bidi="ar-SA"/>
                      <w14:textFill>
                        <w14:solidFill>
                          <w14:schemeClr w14:val="tx1"/>
                        </w14:solidFill>
                      </w14:textFill>
                    </w:rPr>
                  </w:pPr>
                  <w:r>
                    <w:rPr>
                      <w:rFonts w:hint="eastAsia"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t>0.0597</w:t>
                  </w:r>
                </w:p>
              </w:tc>
            </w:tr>
            <w:tr w14:paraId="180A9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95" w:type="pct"/>
                  <w:gridSpan w:val="2"/>
                  <w:vMerge w:val="continue"/>
                  <w:noWrap w:val="0"/>
                  <w:vAlign w:val="center"/>
                </w:tcPr>
                <w:p w14:paraId="363C36D7">
                  <w:pPr>
                    <w:snapToGrid w:val="0"/>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p>
              </w:tc>
              <w:tc>
                <w:tcPr>
                  <w:tcW w:w="2995" w:type="pct"/>
                  <w:gridSpan w:val="3"/>
                  <w:shd w:val="clear" w:color="auto" w:fill="auto"/>
                  <w:noWrap w:val="0"/>
                  <w:vAlign w:val="center"/>
                </w:tcPr>
                <w:p w14:paraId="3C5998E6">
                  <w:pPr>
                    <w:pStyle w:val="12"/>
                    <w:wordWrap w:val="0"/>
                    <w:ind w:firstLine="0" w:firstLineChars="0"/>
                    <w:rPr>
                      <w:rFonts w:hint="default"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二氧化硫</w:t>
                  </w:r>
                </w:p>
              </w:tc>
              <w:tc>
                <w:tcPr>
                  <w:tcW w:w="1731" w:type="dxa"/>
                  <w:shd w:val="clear" w:color="auto" w:fill="auto"/>
                  <w:noWrap w:val="0"/>
                  <w:vAlign w:val="center"/>
                </w:tcPr>
                <w:p w14:paraId="1EA0471E">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1.0340 </w:t>
                  </w:r>
                </w:p>
              </w:tc>
            </w:tr>
            <w:tr w14:paraId="1C77E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95" w:type="pct"/>
                  <w:gridSpan w:val="2"/>
                  <w:vMerge w:val="continue"/>
                  <w:noWrap w:val="0"/>
                  <w:vAlign w:val="center"/>
                </w:tcPr>
                <w:p w14:paraId="5AE9851E">
                  <w:pPr>
                    <w:snapToGrid w:val="0"/>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p>
              </w:tc>
              <w:tc>
                <w:tcPr>
                  <w:tcW w:w="2995" w:type="pct"/>
                  <w:gridSpan w:val="3"/>
                  <w:shd w:val="clear" w:color="auto" w:fill="auto"/>
                  <w:noWrap w:val="0"/>
                  <w:vAlign w:val="center"/>
                </w:tcPr>
                <w:p w14:paraId="66AE2149">
                  <w:pPr>
                    <w:pStyle w:val="12"/>
                    <w:wordWrap w:val="0"/>
                    <w:ind w:firstLine="0" w:firstLineChars="0"/>
                    <w:rPr>
                      <w:rFonts w:hint="default"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氮氧化物</w:t>
                  </w:r>
                </w:p>
              </w:tc>
              <w:tc>
                <w:tcPr>
                  <w:tcW w:w="1731" w:type="dxa"/>
                  <w:shd w:val="clear" w:color="auto" w:fill="auto"/>
                  <w:noWrap w:val="0"/>
                  <w:vAlign w:val="center"/>
                </w:tcPr>
                <w:p w14:paraId="09023351">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0.2257 </w:t>
                  </w:r>
                </w:p>
              </w:tc>
            </w:tr>
            <w:tr w14:paraId="352D7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95" w:type="pct"/>
                  <w:gridSpan w:val="2"/>
                  <w:vMerge w:val="continue"/>
                  <w:noWrap w:val="0"/>
                  <w:vAlign w:val="center"/>
                </w:tcPr>
                <w:p w14:paraId="07E0E4F1">
                  <w:pPr>
                    <w:snapToGrid w:val="0"/>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p>
              </w:tc>
              <w:tc>
                <w:tcPr>
                  <w:tcW w:w="2995" w:type="pct"/>
                  <w:gridSpan w:val="3"/>
                  <w:shd w:val="clear" w:color="auto" w:fill="auto"/>
                  <w:noWrap w:val="0"/>
                  <w:vAlign w:val="center"/>
                </w:tcPr>
                <w:p w14:paraId="6FD54571">
                  <w:pPr>
                    <w:pStyle w:val="12"/>
                    <w:wordWrap w:val="0"/>
                    <w:ind w:firstLine="0" w:firstLineChars="0"/>
                    <w:rPr>
                      <w:rFonts w:hint="default"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氟化物</w:t>
                  </w:r>
                </w:p>
              </w:tc>
              <w:tc>
                <w:tcPr>
                  <w:tcW w:w="1731" w:type="dxa"/>
                  <w:shd w:val="clear" w:color="auto" w:fill="auto"/>
                  <w:noWrap w:val="0"/>
                  <w:vAlign w:val="center"/>
                </w:tcPr>
                <w:p w14:paraId="36EC7CF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0.6853 </w:t>
                  </w:r>
                </w:p>
              </w:tc>
            </w:tr>
            <w:tr w14:paraId="4940B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95" w:type="pct"/>
                  <w:gridSpan w:val="2"/>
                  <w:vMerge w:val="continue"/>
                  <w:noWrap w:val="0"/>
                  <w:vAlign w:val="center"/>
                </w:tcPr>
                <w:p w14:paraId="5E906400">
                  <w:pPr>
                    <w:snapToGrid w:val="0"/>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p>
              </w:tc>
              <w:tc>
                <w:tcPr>
                  <w:tcW w:w="2995" w:type="pct"/>
                  <w:gridSpan w:val="3"/>
                  <w:shd w:val="clear" w:color="auto" w:fill="auto"/>
                  <w:noWrap w:val="0"/>
                  <w:vAlign w:val="center"/>
                </w:tcPr>
                <w:p w14:paraId="6B1806FC">
                  <w:pPr>
                    <w:pStyle w:val="12"/>
                    <w:wordWrap w:val="0"/>
                    <w:ind w:firstLine="0" w:firstLineChars="0"/>
                    <w:rPr>
                      <w:rFonts w:hint="default"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二噁英</w:t>
                  </w:r>
                </w:p>
              </w:tc>
              <w:tc>
                <w:tcPr>
                  <w:tcW w:w="1731" w:type="dxa"/>
                  <w:shd w:val="clear" w:color="auto" w:fill="auto"/>
                  <w:noWrap w:val="0"/>
                  <w:vAlign w:val="center"/>
                </w:tcPr>
                <w:p w14:paraId="0C3687E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t>2.51</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E-09</w:t>
                  </w:r>
                </w:p>
              </w:tc>
            </w:tr>
            <w:tr w14:paraId="3ACCE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95" w:type="pct"/>
                  <w:gridSpan w:val="2"/>
                  <w:vMerge w:val="continue"/>
                  <w:noWrap w:val="0"/>
                  <w:vAlign w:val="center"/>
                </w:tcPr>
                <w:p w14:paraId="1237AA1D">
                  <w:pPr>
                    <w:snapToGrid w:val="0"/>
                    <w:spacing w:line="240" w:lineRule="auto"/>
                    <w:ind w:firstLine="0" w:firstLineChars="0"/>
                    <w:jc w:val="center"/>
                    <w:rPr>
                      <w:rFonts w:hint="default" w:ascii="Times New Roman" w:hAnsi="Times New Roman" w:cs="Times New Roman"/>
                      <w:color w:val="000000" w:themeColor="text1"/>
                      <w:sz w:val="21"/>
                      <w:szCs w:val="21"/>
                      <w14:textFill>
                        <w14:solidFill>
                          <w14:schemeClr w14:val="tx1"/>
                        </w14:solidFill>
                      </w14:textFill>
                    </w:rPr>
                  </w:pPr>
                </w:p>
              </w:tc>
              <w:tc>
                <w:tcPr>
                  <w:tcW w:w="2995" w:type="pct"/>
                  <w:gridSpan w:val="3"/>
                  <w:shd w:val="clear" w:color="auto" w:fill="auto"/>
                  <w:noWrap w:val="0"/>
                  <w:vAlign w:val="center"/>
                </w:tcPr>
                <w:p w14:paraId="3FDF6A2E">
                  <w:pPr>
                    <w:pStyle w:val="12"/>
                    <w:wordWrap w:val="0"/>
                    <w:ind w:firstLine="0" w:firstLineChars="0"/>
                    <w:rPr>
                      <w:rFonts w:hint="default" w:ascii="Times New Roman" w:hAnsi="Times New Roman"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VOCs</w:t>
                  </w:r>
                </w:p>
              </w:tc>
              <w:tc>
                <w:tcPr>
                  <w:tcW w:w="1731" w:type="dxa"/>
                  <w:shd w:val="clear" w:color="auto" w:fill="auto"/>
                  <w:noWrap w:val="0"/>
                  <w:vAlign w:val="center"/>
                </w:tcPr>
                <w:p w14:paraId="1A1991D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t>0.2694</w:t>
                  </w:r>
                </w:p>
              </w:tc>
            </w:tr>
          </w:tbl>
          <w:p w14:paraId="10BD60FC">
            <w:pPr>
              <w:spacing w:before="156" w:beforeLines="50" w:line="240" w:lineRule="auto"/>
              <w:ind w:firstLine="0" w:firstLineChars="0"/>
              <w:jc w:val="center"/>
              <w:rPr>
                <w:rFonts w:hint="default" w:ascii="Times New Roman" w:hAnsi="Times New Roman" w:cs="Times New Roman"/>
                <w:b/>
                <w:bCs/>
                <w:color w:val="000000" w:themeColor="text1"/>
                <w:kern w:val="10"/>
                <w:sz w:val="21"/>
                <w:szCs w:val="21"/>
                <w14:textFill>
                  <w14:solidFill>
                    <w14:schemeClr w14:val="tx1"/>
                  </w14:solidFill>
                </w14:textFill>
              </w:rPr>
            </w:pPr>
            <w:r>
              <w:rPr>
                <w:rFonts w:hint="default" w:ascii="Times New Roman" w:hAnsi="Times New Roman" w:cs="Times New Roman"/>
                <w:b/>
                <w:bCs/>
                <w:color w:val="000000" w:themeColor="text1"/>
                <w:kern w:val="10"/>
                <w:sz w:val="21"/>
                <w:szCs w:val="21"/>
                <w14:textFill>
                  <w14:solidFill>
                    <w14:schemeClr w14:val="tx1"/>
                  </w14:solidFill>
                </w14:textFill>
              </w:rPr>
              <w:t>表</w:t>
            </w:r>
            <w:r>
              <w:rPr>
                <w:rFonts w:hint="eastAsia" w:cs="Times New Roman"/>
                <w:b/>
                <w:bCs/>
                <w:color w:val="000000" w:themeColor="text1"/>
                <w:kern w:val="10"/>
                <w:sz w:val="21"/>
                <w:szCs w:val="21"/>
                <w:lang w:val="en-US" w:eastAsia="zh-CN"/>
                <w14:textFill>
                  <w14:solidFill>
                    <w14:schemeClr w14:val="tx1"/>
                  </w14:solidFill>
                </w14:textFill>
              </w:rPr>
              <w:t>4-6</w:t>
            </w:r>
            <w:r>
              <w:rPr>
                <w:rFonts w:hint="default" w:ascii="Times New Roman" w:hAnsi="Times New Roman" w:cs="Times New Roman"/>
                <w:b/>
                <w:bCs/>
                <w:color w:val="000000" w:themeColor="text1"/>
                <w:kern w:val="10"/>
                <w:sz w:val="21"/>
                <w:szCs w:val="21"/>
                <w:lang w:val="en-US" w:eastAsia="zh-CN"/>
                <w14:textFill>
                  <w14:solidFill>
                    <w14:schemeClr w14:val="tx1"/>
                  </w14:solidFill>
                </w14:textFill>
              </w:rPr>
              <w:t xml:space="preserve"> </w:t>
            </w:r>
            <w:r>
              <w:rPr>
                <w:rFonts w:hint="default" w:ascii="Times New Roman" w:hAnsi="Times New Roman" w:cs="Times New Roman"/>
                <w:b/>
                <w:bCs/>
                <w:color w:val="000000" w:themeColor="text1"/>
                <w:kern w:val="10"/>
                <w:sz w:val="21"/>
                <w:szCs w:val="21"/>
                <w14:textFill>
                  <w14:solidFill>
                    <w14:schemeClr w14:val="tx1"/>
                  </w14:solidFill>
                </w14:textFill>
              </w:rPr>
              <w:t>大气污染物无组织排放量核算表</w:t>
            </w:r>
          </w:p>
          <w:tbl>
            <w:tblPr>
              <w:tblStyle w:val="26"/>
              <w:tblW w:w="94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1"/>
              <w:gridCol w:w="994"/>
              <w:gridCol w:w="741"/>
              <w:gridCol w:w="796"/>
              <w:gridCol w:w="1379"/>
              <w:gridCol w:w="1943"/>
              <w:gridCol w:w="1814"/>
              <w:gridCol w:w="1102"/>
            </w:tblGrid>
            <w:tr w14:paraId="4DF6D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403" w:type="pct"/>
                  <w:vMerge w:val="restart"/>
                  <w:noWrap w:val="0"/>
                  <w:vAlign w:val="center"/>
                </w:tcPr>
                <w:p w14:paraId="400D251E">
                  <w:pPr>
                    <w:adjustRightInd w:val="0"/>
                    <w:snapToGrid w:val="0"/>
                    <w:spacing w:line="240" w:lineRule="auto"/>
                    <w:ind w:firstLine="0" w:firstLineChars="0"/>
                    <w:jc w:val="center"/>
                    <w:rPr>
                      <w:rFonts w:hint="default" w:ascii="Times New Roman" w:hAnsi="Times New Roman" w:cs="Times New Roman"/>
                      <w:b/>
                      <w:color w:val="000000" w:themeColor="text1"/>
                      <w:sz w:val="21"/>
                      <w:szCs w:val="21"/>
                      <w14:textFill>
                        <w14:solidFill>
                          <w14:schemeClr w14:val="tx1"/>
                        </w14:solidFill>
                      </w14:textFill>
                    </w:rPr>
                  </w:pPr>
                  <w:r>
                    <w:rPr>
                      <w:rFonts w:hint="default" w:ascii="Times New Roman" w:hAnsi="Times New Roman" w:cs="Times New Roman"/>
                      <w:b/>
                      <w:color w:val="000000" w:themeColor="text1"/>
                      <w:sz w:val="21"/>
                      <w:szCs w:val="21"/>
                      <w14:textFill>
                        <w14:solidFill>
                          <w14:schemeClr w14:val="tx1"/>
                        </w14:solidFill>
                      </w14:textFill>
                    </w:rPr>
                    <w:t>序号</w:t>
                  </w:r>
                </w:p>
              </w:tc>
              <w:tc>
                <w:tcPr>
                  <w:tcW w:w="574" w:type="pct"/>
                  <w:vMerge w:val="restart"/>
                  <w:noWrap w:val="0"/>
                  <w:vAlign w:val="center"/>
                </w:tcPr>
                <w:p w14:paraId="7CD50488">
                  <w:pPr>
                    <w:adjustRightInd w:val="0"/>
                    <w:snapToGrid w:val="0"/>
                    <w:spacing w:line="240" w:lineRule="auto"/>
                    <w:ind w:firstLine="0" w:firstLineChars="0"/>
                    <w:jc w:val="center"/>
                    <w:rPr>
                      <w:rFonts w:hint="default" w:ascii="Times New Roman" w:hAnsi="Times New Roman" w:cs="Times New Roman"/>
                      <w:b/>
                      <w:color w:val="000000" w:themeColor="text1"/>
                      <w:sz w:val="21"/>
                      <w:szCs w:val="21"/>
                      <w14:textFill>
                        <w14:solidFill>
                          <w14:schemeClr w14:val="tx1"/>
                        </w14:solidFill>
                      </w14:textFill>
                    </w:rPr>
                  </w:pPr>
                  <w:r>
                    <w:rPr>
                      <w:rFonts w:hint="default" w:ascii="Times New Roman" w:hAnsi="Times New Roman" w:cs="Times New Roman"/>
                      <w:b/>
                      <w:color w:val="000000" w:themeColor="text1"/>
                      <w:sz w:val="21"/>
                      <w:szCs w:val="21"/>
                      <w14:textFill>
                        <w14:solidFill>
                          <w14:schemeClr w14:val="tx1"/>
                        </w14:solidFill>
                      </w14:textFill>
                    </w:rPr>
                    <w:t>产污设施名称</w:t>
                  </w:r>
                </w:p>
              </w:tc>
              <w:tc>
                <w:tcPr>
                  <w:tcW w:w="440" w:type="pct"/>
                  <w:vMerge w:val="restart"/>
                  <w:noWrap w:val="0"/>
                  <w:vAlign w:val="center"/>
                </w:tcPr>
                <w:p w14:paraId="780ADF9D">
                  <w:pPr>
                    <w:adjustRightInd w:val="0"/>
                    <w:snapToGrid w:val="0"/>
                    <w:spacing w:line="240" w:lineRule="auto"/>
                    <w:ind w:firstLine="0" w:firstLineChars="0"/>
                    <w:jc w:val="center"/>
                    <w:rPr>
                      <w:rFonts w:hint="default" w:ascii="Times New Roman" w:hAnsi="Times New Roman" w:cs="Times New Roman"/>
                      <w:b/>
                      <w:bCs/>
                      <w:color w:val="000000" w:themeColor="text1"/>
                      <w:sz w:val="21"/>
                      <w:szCs w:val="21"/>
                      <w14:textFill>
                        <w14:solidFill>
                          <w14:schemeClr w14:val="tx1"/>
                        </w14:solidFill>
                      </w14:textFill>
                    </w:rPr>
                  </w:pPr>
                  <w:r>
                    <w:rPr>
                      <w:rFonts w:hint="default" w:ascii="Times New Roman" w:hAnsi="Times New Roman" w:cs="Times New Roman"/>
                      <w:b/>
                      <w:bCs/>
                      <w:color w:val="000000" w:themeColor="text1"/>
                      <w:sz w:val="21"/>
                      <w:szCs w:val="21"/>
                      <w14:textFill>
                        <w14:solidFill>
                          <w14:schemeClr w14:val="tx1"/>
                        </w14:solidFill>
                      </w14:textFill>
                    </w:rPr>
                    <w:t>产污环节</w:t>
                  </w:r>
                </w:p>
              </w:tc>
              <w:tc>
                <w:tcPr>
                  <w:tcW w:w="469" w:type="pct"/>
                  <w:vMerge w:val="restart"/>
                  <w:noWrap w:val="0"/>
                  <w:vAlign w:val="center"/>
                </w:tcPr>
                <w:p w14:paraId="147C9045">
                  <w:pPr>
                    <w:adjustRightInd w:val="0"/>
                    <w:snapToGrid w:val="0"/>
                    <w:spacing w:line="240" w:lineRule="auto"/>
                    <w:ind w:firstLine="0" w:firstLineChars="0"/>
                    <w:jc w:val="center"/>
                    <w:rPr>
                      <w:rFonts w:hint="default" w:ascii="Times New Roman" w:hAnsi="Times New Roman" w:cs="Times New Roman"/>
                      <w:b/>
                      <w:bCs/>
                      <w:color w:val="000000" w:themeColor="text1"/>
                      <w:sz w:val="21"/>
                      <w:szCs w:val="21"/>
                      <w14:textFill>
                        <w14:solidFill>
                          <w14:schemeClr w14:val="tx1"/>
                        </w14:solidFill>
                      </w14:textFill>
                    </w:rPr>
                  </w:pPr>
                  <w:r>
                    <w:rPr>
                      <w:rFonts w:hint="default" w:ascii="Times New Roman" w:hAnsi="Times New Roman" w:cs="Times New Roman"/>
                      <w:b/>
                      <w:bCs/>
                      <w:color w:val="000000" w:themeColor="text1"/>
                      <w:sz w:val="21"/>
                      <w:szCs w:val="21"/>
                      <w14:textFill>
                        <w14:solidFill>
                          <w14:schemeClr w14:val="tx1"/>
                        </w14:solidFill>
                      </w14:textFill>
                    </w:rPr>
                    <w:t>污染物种类</w:t>
                  </w:r>
                </w:p>
              </w:tc>
              <w:tc>
                <w:tcPr>
                  <w:tcW w:w="778" w:type="pct"/>
                  <w:vMerge w:val="restart"/>
                  <w:noWrap w:val="0"/>
                  <w:vAlign w:val="center"/>
                </w:tcPr>
                <w:p w14:paraId="3F5C635D">
                  <w:pPr>
                    <w:adjustRightInd w:val="0"/>
                    <w:snapToGrid w:val="0"/>
                    <w:spacing w:line="240" w:lineRule="auto"/>
                    <w:ind w:firstLine="0" w:firstLineChars="0"/>
                    <w:jc w:val="center"/>
                    <w:rPr>
                      <w:rFonts w:hint="default" w:ascii="Times New Roman" w:hAnsi="Times New Roman" w:cs="Times New Roman"/>
                      <w:b/>
                      <w:bCs/>
                      <w:color w:val="000000" w:themeColor="text1"/>
                      <w:sz w:val="21"/>
                      <w:szCs w:val="21"/>
                      <w14:textFill>
                        <w14:solidFill>
                          <w14:schemeClr w14:val="tx1"/>
                        </w14:solidFill>
                      </w14:textFill>
                    </w:rPr>
                  </w:pPr>
                  <w:r>
                    <w:rPr>
                      <w:rFonts w:hint="default" w:ascii="Times New Roman" w:hAnsi="Times New Roman" w:cs="Times New Roman"/>
                      <w:b/>
                      <w:bCs/>
                      <w:color w:val="000000" w:themeColor="text1"/>
                      <w:sz w:val="21"/>
                      <w:szCs w:val="21"/>
                      <w14:textFill>
                        <w14:solidFill>
                          <w14:schemeClr w14:val="tx1"/>
                        </w14:solidFill>
                      </w14:textFill>
                    </w:rPr>
                    <w:t>主要污染防治措施</w:t>
                  </w:r>
                </w:p>
              </w:tc>
              <w:tc>
                <w:tcPr>
                  <w:tcW w:w="1702" w:type="pct"/>
                  <w:gridSpan w:val="2"/>
                  <w:noWrap w:val="0"/>
                  <w:vAlign w:val="center"/>
                </w:tcPr>
                <w:p w14:paraId="34D1957D">
                  <w:pPr>
                    <w:adjustRightInd w:val="0"/>
                    <w:snapToGrid w:val="0"/>
                    <w:spacing w:line="240" w:lineRule="auto"/>
                    <w:ind w:firstLine="0" w:firstLineChars="0"/>
                    <w:jc w:val="center"/>
                    <w:rPr>
                      <w:rFonts w:hint="default" w:ascii="Times New Roman" w:hAnsi="Times New Roman" w:cs="Times New Roman"/>
                      <w:b/>
                      <w:bCs/>
                      <w:color w:val="000000" w:themeColor="text1"/>
                      <w:sz w:val="21"/>
                      <w:szCs w:val="21"/>
                      <w14:textFill>
                        <w14:solidFill>
                          <w14:schemeClr w14:val="tx1"/>
                        </w14:solidFill>
                      </w14:textFill>
                    </w:rPr>
                  </w:pPr>
                  <w:r>
                    <w:rPr>
                      <w:rFonts w:hint="default" w:ascii="Times New Roman" w:hAnsi="Times New Roman" w:cs="Times New Roman"/>
                      <w:b/>
                      <w:bCs/>
                      <w:color w:val="000000" w:themeColor="text1"/>
                      <w:sz w:val="21"/>
                      <w:szCs w:val="21"/>
                      <w14:textFill>
                        <w14:solidFill>
                          <w14:schemeClr w14:val="tx1"/>
                        </w14:solidFill>
                      </w14:textFill>
                    </w:rPr>
                    <w:t>国家或地方污染物排放标准</w:t>
                  </w:r>
                </w:p>
              </w:tc>
              <w:tc>
                <w:tcPr>
                  <w:tcW w:w="631" w:type="pct"/>
                  <w:vMerge w:val="restart"/>
                  <w:noWrap w:val="0"/>
                  <w:vAlign w:val="center"/>
                </w:tcPr>
                <w:p w14:paraId="235A8A33">
                  <w:pPr>
                    <w:adjustRightInd w:val="0"/>
                    <w:snapToGrid w:val="0"/>
                    <w:spacing w:line="240" w:lineRule="auto"/>
                    <w:ind w:firstLine="0" w:firstLineChars="0"/>
                    <w:jc w:val="center"/>
                    <w:rPr>
                      <w:rFonts w:hint="default" w:ascii="Times New Roman" w:hAnsi="Times New Roman" w:cs="Times New Roman"/>
                      <w:b/>
                      <w:bCs/>
                      <w:color w:val="000000" w:themeColor="text1"/>
                      <w:sz w:val="21"/>
                      <w:szCs w:val="21"/>
                      <w14:textFill>
                        <w14:solidFill>
                          <w14:schemeClr w14:val="tx1"/>
                        </w14:solidFill>
                      </w14:textFill>
                    </w:rPr>
                  </w:pPr>
                  <w:r>
                    <w:rPr>
                      <w:rFonts w:hint="default" w:ascii="Times New Roman" w:hAnsi="Times New Roman" w:cs="Times New Roman"/>
                      <w:b/>
                      <w:bCs/>
                      <w:color w:val="000000" w:themeColor="text1"/>
                      <w:sz w:val="21"/>
                      <w:szCs w:val="21"/>
                      <w14:textFill>
                        <w14:solidFill>
                          <w14:schemeClr w14:val="tx1"/>
                        </w14:solidFill>
                      </w14:textFill>
                    </w:rPr>
                    <w:t>排放量（</w:t>
                  </w:r>
                  <w:r>
                    <w:rPr>
                      <w:rFonts w:hint="default" w:ascii="Times New Roman" w:hAnsi="Times New Roman" w:cs="Times New Roman"/>
                      <w:b/>
                      <w:bCs/>
                      <w:color w:val="000000" w:themeColor="text1"/>
                      <w:sz w:val="21"/>
                      <w:szCs w:val="21"/>
                      <w:lang w:val="en-US" w:eastAsia="zh-CN"/>
                      <w14:textFill>
                        <w14:solidFill>
                          <w14:schemeClr w14:val="tx1"/>
                        </w14:solidFill>
                      </w14:textFill>
                    </w:rPr>
                    <w:t>t</w:t>
                  </w:r>
                  <w:r>
                    <w:rPr>
                      <w:rFonts w:hint="default" w:ascii="Times New Roman" w:hAnsi="Times New Roman" w:cs="Times New Roman"/>
                      <w:b/>
                      <w:bCs/>
                      <w:color w:val="000000" w:themeColor="text1"/>
                      <w:sz w:val="21"/>
                      <w:szCs w:val="21"/>
                      <w14:textFill>
                        <w14:solidFill>
                          <w14:schemeClr w14:val="tx1"/>
                        </w14:solidFill>
                      </w14:textFill>
                    </w:rPr>
                    <w:t>/a）</w:t>
                  </w:r>
                </w:p>
              </w:tc>
            </w:tr>
            <w:tr w14:paraId="566DC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403" w:type="pct"/>
                  <w:vMerge w:val="continue"/>
                  <w:noWrap w:val="0"/>
                  <w:vAlign w:val="center"/>
                </w:tcPr>
                <w:p w14:paraId="52EC056D">
                  <w:pPr>
                    <w:adjustRightInd w:val="0"/>
                    <w:snapToGrid w:val="0"/>
                    <w:spacing w:line="240" w:lineRule="auto"/>
                    <w:ind w:firstLine="0" w:firstLineChars="0"/>
                    <w:jc w:val="center"/>
                    <w:rPr>
                      <w:rFonts w:hint="default" w:ascii="Times New Roman" w:hAnsi="Times New Roman" w:cs="Times New Roman"/>
                      <w:b/>
                      <w:color w:val="000000" w:themeColor="text1"/>
                      <w:sz w:val="21"/>
                      <w:szCs w:val="21"/>
                      <w14:textFill>
                        <w14:solidFill>
                          <w14:schemeClr w14:val="tx1"/>
                        </w14:solidFill>
                      </w14:textFill>
                    </w:rPr>
                  </w:pPr>
                </w:p>
              </w:tc>
              <w:tc>
                <w:tcPr>
                  <w:tcW w:w="574" w:type="pct"/>
                  <w:vMerge w:val="continue"/>
                  <w:noWrap w:val="0"/>
                  <w:vAlign w:val="center"/>
                </w:tcPr>
                <w:p w14:paraId="6AE60640">
                  <w:pPr>
                    <w:adjustRightInd w:val="0"/>
                    <w:snapToGrid w:val="0"/>
                    <w:spacing w:line="240" w:lineRule="auto"/>
                    <w:ind w:firstLine="0" w:firstLineChars="0"/>
                    <w:jc w:val="center"/>
                    <w:rPr>
                      <w:rFonts w:hint="default" w:ascii="Times New Roman" w:hAnsi="Times New Roman" w:cs="Times New Roman"/>
                      <w:b/>
                      <w:color w:val="000000" w:themeColor="text1"/>
                      <w:sz w:val="21"/>
                      <w:szCs w:val="21"/>
                      <w14:textFill>
                        <w14:solidFill>
                          <w14:schemeClr w14:val="tx1"/>
                        </w14:solidFill>
                      </w14:textFill>
                    </w:rPr>
                  </w:pPr>
                </w:p>
              </w:tc>
              <w:tc>
                <w:tcPr>
                  <w:tcW w:w="440" w:type="pct"/>
                  <w:vMerge w:val="continue"/>
                  <w:noWrap w:val="0"/>
                  <w:vAlign w:val="center"/>
                </w:tcPr>
                <w:p w14:paraId="688AFFA3">
                  <w:pPr>
                    <w:adjustRightInd w:val="0"/>
                    <w:snapToGrid w:val="0"/>
                    <w:spacing w:line="240" w:lineRule="auto"/>
                    <w:ind w:firstLine="0" w:firstLineChars="0"/>
                    <w:jc w:val="center"/>
                    <w:rPr>
                      <w:rFonts w:hint="default" w:ascii="Times New Roman" w:hAnsi="Times New Roman" w:cs="Times New Roman"/>
                      <w:b/>
                      <w:bCs/>
                      <w:color w:val="000000" w:themeColor="text1"/>
                      <w:sz w:val="21"/>
                      <w:szCs w:val="21"/>
                      <w14:textFill>
                        <w14:solidFill>
                          <w14:schemeClr w14:val="tx1"/>
                        </w14:solidFill>
                      </w14:textFill>
                    </w:rPr>
                  </w:pPr>
                </w:p>
              </w:tc>
              <w:tc>
                <w:tcPr>
                  <w:tcW w:w="469" w:type="pct"/>
                  <w:vMerge w:val="continue"/>
                  <w:noWrap w:val="0"/>
                  <w:vAlign w:val="center"/>
                </w:tcPr>
                <w:p w14:paraId="0C0C483F">
                  <w:pPr>
                    <w:adjustRightInd w:val="0"/>
                    <w:snapToGrid w:val="0"/>
                    <w:spacing w:line="240" w:lineRule="auto"/>
                    <w:ind w:firstLine="0" w:firstLineChars="0"/>
                    <w:jc w:val="center"/>
                    <w:rPr>
                      <w:rFonts w:hint="default" w:ascii="Times New Roman" w:hAnsi="Times New Roman" w:cs="Times New Roman"/>
                      <w:b/>
                      <w:bCs/>
                      <w:color w:val="000000" w:themeColor="text1"/>
                      <w:sz w:val="21"/>
                      <w:szCs w:val="21"/>
                      <w14:textFill>
                        <w14:solidFill>
                          <w14:schemeClr w14:val="tx1"/>
                        </w14:solidFill>
                      </w14:textFill>
                    </w:rPr>
                  </w:pPr>
                </w:p>
              </w:tc>
              <w:tc>
                <w:tcPr>
                  <w:tcW w:w="778" w:type="pct"/>
                  <w:vMerge w:val="continue"/>
                  <w:noWrap w:val="0"/>
                  <w:vAlign w:val="center"/>
                </w:tcPr>
                <w:p w14:paraId="03271C56">
                  <w:pPr>
                    <w:adjustRightInd w:val="0"/>
                    <w:snapToGrid w:val="0"/>
                    <w:spacing w:line="240" w:lineRule="auto"/>
                    <w:ind w:firstLine="0" w:firstLineChars="0"/>
                    <w:jc w:val="center"/>
                    <w:rPr>
                      <w:rFonts w:hint="default" w:ascii="Times New Roman" w:hAnsi="Times New Roman" w:cs="Times New Roman"/>
                      <w:b/>
                      <w:bCs/>
                      <w:color w:val="000000" w:themeColor="text1"/>
                      <w:sz w:val="21"/>
                      <w:szCs w:val="21"/>
                      <w14:textFill>
                        <w14:solidFill>
                          <w14:schemeClr w14:val="tx1"/>
                        </w14:solidFill>
                      </w14:textFill>
                    </w:rPr>
                  </w:pPr>
                </w:p>
              </w:tc>
              <w:tc>
                <w:tcPr>
                  <w:tcW w:w="695" w:type="pct"/>
                  <w:noWrap w:val="0"/>
                  <w:vAlign w:val="center"/>
                </w:tcPr>
                <w:p w14:paraId="09403C4B">
                  <w:pPr>
                    <w:adjustRightInd w:val="0"/>
                    <w:snapToGrid w:val="0"/>
                    <w:spacing w:line="240" w:lineRule="auto"/>
                    <w:ind w:firstLine="0" w:firstLineChars="0"/>
                    <w:jc w:val="center"/>
                    <w:rPr>
                      <w:rFonts w:hint="default" w:ascii="Times New Roman" w:hAnsi="Times New Roman" w:cs="Times New Roman"/>
                      <w:b/>
                      <w:bCs/>
                      <w:color w:val="000000" w:themeColor="text1"/>
                      <w:sz w:val="21"/>
                      <w:szCs w:val="21"/>
                      <w14:textFill>
                        <w14:solidFill>
                          <w14:schemeClr w14:val="tx1"/>
                        </w14:solidFill>
                      </w14:textFill>
                    </w:rPr>
                  </w:pPr>
                  <w:r>
                    <w:rPr>
                      <w:rFonts w:hint="default" w:ascii="Times New Roman" w:hAnsi="Times New Roman" w:cs="Times New Roman"/>
                      <w:b/>
                      <w:bCs/>
                      <w:color w:val="000000" w:themeColor="text1"/>
                      <w:sz w:val="21"/>
                      <w:szCs w:val="21"/>
                      <w14:textFill>
                        <w14:solidFill>
                          <w14:schemeClr w14:val="tx1"/>
                        </w14:solidFill>
                      </w14:textFill>
                    </w:rPr>
                    <w:t>名称</w:t>
                  </w:r>
                </w:p>
              </w:tc>
              <w:tc>
                <w:tcPr>
                  <w:tcW w:w="1006" w:type="pct"/>
                  <w:noWrap w:val="0"/>
                  <w:vAlign w:val="center"/>
                </w:tcPr>
                <w:p w14:paraId="7D60B687">
                  <w:pPr>
                    <w:adjustRightInd w:val="0"/>
                    <w:snapToGrid w:val="0"/>
                    <w:spacing w:line="240" w:lineRule="auto"/>
                    <w:ind w:firstLine="0" w:firstLineChars="0"/>
                    <w:jc w:val="center"/>
                    <w:rPr>
                      <w:rFonts w:hint="default" w:ascii="Times New Roman" w:hAnsi="Times New Roman" w:cs="Times New Roman"/>
                      <w:b/>
                      <w:bCs/>
                      <w:color w:val="000000" w:themeColor="text1"/>
                      <w:sz w:val="21"/>
                      <w:szCs w:val="21"/>
                      <w14:textFill>
                        <w14:solidFill>
                          <w14:schemeClr w14:val="tx1"/>
                        </w14:solidFill>
                      </w14:textFill>
                    </w:rPr>
                  </w:pPr>
                  <w:r>
                    <w:rPr>
                      <w:rFonts w:hint="default" w:ascii="Times New Roman" w:hAnsi="Times New Roman" w:cs="Times New Roman"/>
                      <w:b/>
                      <w:bCs/>
                      <w:color w:val="000000" w:themeColor="text1"/>
                      <w:sz w:val="21"/>
                      <w:szCs w:val="21"/>
                      <w14:textFill>
                        <w14:solidFill>
                          <w14:schemeClr w14:val="tx1"/>
                        </w14:solidFill>
                      </w14:textFill>
                    </w:rPr>
                    <w:t>浓度限值mg/Nm</w:t>
                  </w:r>
                  <w:r>
                    <w:rPr>
                      <w:rFonts w:hint="default" w:ascii="Times New Roman" w:hAnsi="Times New Roman" w:cs="Times New Roman"/>
                      <w:b/>
                      <w:bCs/>
                      <w:color w:val="000000" w:themeColor="text1"/>
                      <w:sz w:val="21"/>
                      <w:szCs w:val="21"/>
                      <w:vertAlign w:val="superscript"/>
                      <w14:textFill>
                        <w14:solidFill>
                          <w14:schemeClr w14:val="tx1"/>
                        </w14:solidFill>
                      </w14:textFill>
                    </w:rPr>
                    <w:t>3</w:t>
                  </w:r>
                </w:p>
              </w:tc>
              <w:tc>
                <w:tcPr>
                  <w:tcW w:w="631" w:type="pct"/>
                  <w:vMerge w:val="continue"/>
                  <w:noWrap w:val="0"/>
                  <w:vAlign w:val="center"/>
                </w:tcPr>
                <w:p w14:paraId="2C4EC73B">
                  <w:pPr>
                    <w:adjustRightInd w:val="0"/>
                    <w:snapToGrid w:val="0"/>
                    <w:spacing w:line="240" w:lineRule="auto"/>
                    <w:ind w:firstLine="0" w:firstLineChars="0"/>
                    <w:jc w:val="center"/>
                    <w:rPr>
                      <w:rFonts w:hint="default" w:ascii="Times New Roman" w:hAnsi="Times New Roman" w:cs="Times New Roman"/>
                      <w:b/>
                      <w:bCs/>
                      <w:color w:val="000000" w:themeColor="text1"/>
                      <w:sz w:val="21"/>
                      <w:szCs w:val="21"/>
                      <w14:textFill>
                        <w14:solidFill>
                          <w14:schemeClr w14:val="tx1"/>
                        </w14:solidFill>
                      </w14:textFill>
                    </w:rPr>
                  </w:pPr>
                </w:p>
              </w:tc>
            </w:tr>
            <w:tr w14:paraId="20FCE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403" w:type="pct"/>
                  <w:noWrap w:val="0"/>
                  <w:vAlign w:val="center"/>
                </w:tcPr>
                <w:p w14:paraId="2F5083EA">
                  <w:pPr>
                    <w:adjustRightInd w:val="0"/>
                    <w:snapToGrid w:val="0"/>
                    <w:spacing w:line="240" w:lineRule="auto"/>
                    <w:ind w:firstLine="0" w:firstLineChars="0"/>
                    <w:jc w:val="center"/>
                    <w:rPr>
                      <w:rFonts w:hint="default" w:ascii="Times New Roman" w:hAnsi="Times New Roman" w:cs="Times New Roman"/>
                      <w:bCs/>
                      <w:color w:val="000000" w:themeColor="text1"/>
                      <w:sz w:val="21"/>
                      <w:szCs w:val="21"/>
                      <w14:textFill>
                        <w14:solidFill>
                          <w14:schemeClr w14:val="tx1"/>
                        </w14:solidFill>
                      </w14:textFill>
                    </w:rPr>
                  </w:pPr>
                  <w:r>
                    <w:rPr>
                      <w:rFonts w:hint="default" w:ascii="Times New Roman" w:hAnsi="Times New Roman" w:cs="Times New Roman"/>
                      <w:bCs/>
                      <w:color w:val="000000" w:themeColor="text1"/>
                      <w:sz w:val="21"/>
                      <w:szCs w:val="21"/>
                      <w14:textFill>
                        <w14:solidFill>
                          <w14:schemeClr w14:val="tx1"/>
                        </w14:solidFill>
                      </w14:textFill>
                    </w:rPr>
                    <w:t>1</w:t>
                  </w:r>
                </w:p>
              </w:tc>
              <w:tc>
                <w:tcPr>
                  <w:tcW w:w="574" w:type="pct"/>
                  <w:shd w:val="clear" w:color="auto" w:fill="auto"/>
                  <w:noWrap w:val="0"/>
                  <w:vAlign w:val="center"/>
                </w:tcPr>
                <w:p w14:paraId="73A097A5">
                  <w:pPr>
                    <w:pStyle w:val="12"/>
                    <w:spacing w:line="240" w:lineRule="auto"/>
                    <w:ind w:firstLine="0" w:firstLineChars="0"/>
                    <w:rPr>
                      <w:rFonts w:hint="default"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预处理药剂投加</w:t>
                  </w:r>
                </w:p>
              </w:tc>
              <w:tc>
                <w:tcPr>
                  <w:tcW w:w="440" w:type="pct"/>
                  <w:shd w:val="clear" w:color="auto" w:fill="auto"/>
                  <w:noWrap w:val="0"/>
                  <w:vAlign w:val="center"/>
                </w:tcPr>
                <w:p w14:paraId="620D50A5">
                  <w:pPr>
                    <w:adjustRightInd w:val="0"/>
                    <w:snapToGrid w:val="0"/>
                    <w:spacing w:line="240" w:lineRule="auto"/>
                    <w:ind w:firstLine="0" w:firstLineChars="0"/>
                    <w:jc w:val="cente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b w:val="0"/>
                      <w:bCs/>
                      <w:color w:val="000000" w:themeColor="text1"/>
                      <w:sz w:val="21"/>
                      <w:szCs w:val="21"/>
                      <w:lang w:val="en-US" w:eastAsia="zh-CN"/>
                      <w14:textFill>
                        <w14:solidFill>
                          <w14:schemeClr w14:val="tx1"/>
                        </w14:solidFill>
                      </w14:textFill>
                    </w:rPr>
                    <w:t>投料</w:t>
                  </w:r>
                </w:p>
              </w:tc>
              <w:tc>
                <w:tcPr>
                  <w:tcW w:w="469" w:type="pct"/>
                  <w:shd w:val="clear" w:color="auto" w:fill="auto"/>
                  <w:noWrap w:val="0"/>
                  <w:vAlign w:val="center"/>
                </w:tcPr>
                <w:p w14:paraId="606616F3">
                  <w:pPr>
                    <w:pStyle w:val="12"/>
                    <w:spacing w:line="240" w:lineRule="auto"/>
                    <w:ind w:firstLine="0" w:firstLineChars="0"/>
                    <w:rPr>
                      <w:rFonts w:hint="default"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颗粒物</w:t>
                  </w:r>
                </w:p>
              </w:tc>
              <w:tc>
                <w:tcPr>
                  <w:tcW w:w="778" w:type="pct"/>
                  <w:shd w:val="clear" w:color="auto" w:fill="auto"/>
                  <w:noWrap w:val="0"/>
                  <w:vAlign w:val="center"/>
                </w:tcPr>
                <w:p w14:paraId="4451C3EF">
                  <w:pPr>
                    <w:pStyle w:val="12"/>
                    <w:spacing w:line="240" w:lineRule="auto"/>
                    <w:ind w:firstLine="0" w:firstLineChars="0"/>
                    <w:rPr>
                      <w:rFonts w:hint="default"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投料口围挡+喷淋+车间密闭</w:t>
                  </w:r>
                </w:p>
              </w:tc>
              <w:tc>
                <w:tcPr>
                  <w:tcW w:w="695" w:type="pct"/>
                  <w:vMerge w:val="restart"/>
                  <w:shd w:val="clear" w:color="auto" w:fill="auto"/>
                  <w:noWrap w:val="0"/>
                  <w:vAlign w:val="center"/>
                </w:tcPr>
                <w:p w14:paraId="29731E51">
                  <w:pPr>
                    <w:adjustRightInd w:val="0"/>
                    <w:snapToGrid w:val="0"/>
                    <w:spacing w:line="240" w:lineRule="auto"/>
                    <w:ind w:firstLine="0" w:firstLineChars="0"/>
                    <w:jc w:val="center"/>
                    <w:rPr>
                      <w:rFonts w:hint="default" w:ascii="Times New Roman" w:hAnsi="Times New Roman" w:cs="Times New Roman"/>
                      <w:b w:val="0"/>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kern w:val="2"/>
                      <w:sz w:val="21"/>
                      <w:szCs w:val="20"/>
                      <w:lang w:val="en-US" w:eastAsia="zh-CN" w:bidi="ar-SA"/>
                      <w14:textFill>
                        <w14:solidFill>
                          <w14:schemeClr w14:val="tx1"/>
                        </w14:solidFill>
                      </w14:textFill>
                    </w:rPr>
                    <w:t>《砖瓦工业大气污染物排放标准》</w:t>
                  </w:r>
                  <w:r>
                    <w:rPr>
                      <w:rFonts w:hint="eastAsia" w:ascii="Times New Roman" w:hAnsi="Times New Roman" w:eastAsia="宋体" w:cs="Times New Roman"/>
                      <w:bCs/>
                      <w:color w:val="000000" w:themeColor="text1"/>
                      <w:kern w:val="2"/>
                      <w:sz w:val="21"/>
                      <w:szCs w:val="20"/>
                      <w:lang w:val="en-US" w:eastAsia="zh-CN" w:bidi="ar-SA"/>
                      <w14:textFill>
                        <w14:solidFill>
                          <w14:schemeClr w14:val="tx1"/>
                        </w14:solidFill>
                      </w14:textFill>
                    </w:rPr>
                    <w:t>（</w:t>
                  </w:r>
                  <w:r>
                    <w:rPr>
                      <w:rFonts w:hint="default" w:ascii="Times New Roman" w:hAnsi="Times New Roman" w:eastAsia="宋体" w:cs="Times New Roman"/>
                      <w:bCs/>
                      <w:color w:val="000000" w:themeColor="text1"/>
                      <w:kern w:val="2"/>
                      <w:sz w:val="21"/>
                      <w:szCs w:val="20"/>
                      <w:lang w:val="en-US" w:eastAsia="zh-CN" w:bidi="ar-SA"/>
                      <w14:textFill>
                        <w14:solidFill>
                          <w14:schemeClr w14:val="tx1"/>
                        </w14:solidFill>
                      </w14:textFill>
                    </w:rPr>
                    <w:t>GB29620-2013）</w:t>
                  </w:r>
                </w:p>
              </w:tc>
              <w:tc>
                <w:tcPr>
                  <w:tcW w:w="1006" w:type="pct"/>
                  <w:shd w:val="clear" w:color="auto" w:fill="auto"/>
                  <w:noWrap w:val="0"/>
                  <w:vAlign w:val="center"/>
                </w:tcPr>
                <w:p w14:paraId="7933645C">
                  <w:pPr>
                    <w:adjustRightInd w:val="0"/>
                    <w:snapToGrid w:val="0"/>
                    <w:spacing w:line="240" w:lineRule="auto"/>
                    <w:ind w:firstLine="0" w:firstLineChars="0"/>
                    <w:jc w:val="cente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b w:val="0"/>
                      <w:bCs/>
                      <w:color w:val="000000" w:themeColor="text1"/>
                      <w:kern w:val="2"/>
                      <w:sz w:val="21"/>
                      <w:szCs w:val="21"/>
                      <w:lang w:val="en-US" w:eastAsia="zh-CN" w:bidi="ar-SA"/>
                      <w14:textFill>
                        <w14:solidFill>
                          <w14:schemeClr w14:val="tx1"/>
                        </w14:solidFill>
                      </w14:textFill>
                    </w:rPr>
                    <w:t>1.0</w:t>
                  </w:r>
                </w:p>
              </w:tc>
              <w:tc>
                <w:tcPr>
                  <w:tcW w:w="631" w:type="pct"/>
                  <w:shd w:val="clear" w:color="auto" w:fill="auto"/>
                  <w:noWrap w:val="0"/>
                  <w:vAlign w:val="center"/>
                </w:tcPr>
                <w:p w14:paraId="61ACAF31">
                  <w:pPr>
                    <w:pStyle w:val="12"/>
                    <w:spacing w:line="240" w:lineRule="auto"/>
                    <w:ind w:firstLine="0" w:firstLineChars="0"/>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eastAsia" w:ascii="Times New Roman" w:hAnsi="Times New Roman" w:eastAsia="等线" w:cs="Times New Roman"/>
                      <w:b w:val="0"/>
                      <w:bCs w:val="0"/>
                      <w:color w:val="000000" w:themeColor="text1"/>
                      <w:szCs w:val="21"/>
                      <w:lang w:val="en-US" w:eastAsia="zh-CN"/>
                      <w14:textFill>
                        <w14:solidFill>
                          <w14:schemeClr w14:val="tx1"/>
                        </w14:solidFill>
                      </w14:textFill>
                    </w:rPr>
                    <w:t>0.0222</w:t>
                  </w:r>
                </w:p>
              </w:tc>
            </w:tr>
            <w:tr w14:paraId="6CDE2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403" w:type="pct"/>
                  <w:noWrap w:val="0"/>
                  <w:vAlign w:val="center"/>
                </w:tcPr>
                <w:p w14:paraId="6AAB9D89">
                  <w:pPr>
                    <w:adjustRightInd w:val="0"/>
                    <w:snapToGrid w:val="0"/>
                    <w:spacing w:line="240" w:lineRule="auto"/>
                    <w:ind w:firstLine="0" w:firstLineChars="0"/>
                    <w:jc w:val="center"/>
                    <w:rPr>
                      <w:rFonts w:hint="default" w:ascii="Times New Roman" w:hAnsi="Times New Roman" w:cs="Times New Roman"/>
                      <w:bCs/>
                      <w:color w:val="000000" w:themeColor="text1"/>
                      <w:sz w:val="21"/>
                      <w:szCs w:val="21"/>
                      <w14:textFill>
                        <w14:solidFill>
                          <w14:schemeClr w14:val="tx1"/>
                        </w14:solidFill>
                      </w14:textFill>
                    </w:rPr>
                  </w:pPr>
                  <w:r>
                    <w:rPr>
                      <w:rFonts w:hint="default" w:ascii="Times New Roman" w:hAnsi="Times New Roman" w:cs="Times New Roman"/>
                      <w:bCs/>
                      <w:color w:val="000000" w:themeColor="text1"/>
                      <w:sz w:val="21"/>
                      <w:szCs w:val="21"/>
                      <w14:textFill>
                        <w14:solidFill>
                          <w14:schemeClr w14:val="tx1"/>
                        </w14:solidFill>
                      </w14:textFill>
                    </w:rPr>
                    <w:t>2</w:t>
                  </w:r>
                </w:p>
              </w:tc>
              <w:tc>
                <w:tcPr>
                  <w:tcW w:w="574" w:type="pct"/>
                  <w:shd w:val="clear" w:color="auto" w:fill="auto"/>
                  <w:noWrap w:val="0"/>
                  <w:vAlign w:val="center"/>
                </w:tcPr>
                <w:p w14:paraId="49AF91C7">
                  <w:pPr>
                    <w:pStyle w:val="12"/>
                    <w:spacing w:line="240" w:lineRule="auto"/>
                    <w:ind w:firstLine="0" w:firstLineChars="0"/>
                    <w:rPr>
                      <w:rFonts w:hint="default"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2号厂房</w:t>
                  </w:r>
                </w:p>
              </w:tc>
              <w:tc>
                <w:tcPr>
                  <w:tcW w:w="440" w:type="pct"/>
                  <w:shd w:val="clear" w:color="auto" w:fill="auto"/>
                  <w:noWrap w:val="0"/>
                  <w:vAlign w:val="center"/>
                </w:tcPr>
                <w:p w14:paraId="275CF50F">
                  <w:pPr>
                    <w:widowControl/>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b w:val="0"/>
                      <w:bCs/>
                      <w:color w:val="000000" w:themeColor="text1"/>
                      <w:sz w:val="21"/>
                      <w:szCs w:val="21"/>
                      <w:lang w:val="en-US" w:eastAsia="zh-CN"/>
                      <w14:textFill>
                        <w14:solidFill>
                          <w14:schemeClr w14:val="tx1"/>
                        </w14:solidFill>
                      </w14:textFill>
                    </w:rPr>
                    <w:t>储存</w:t>
                  </w:r>
                </w:p>
              </w:tc>
              <w:tc>
                <w:tcPr>
                  <w:tcW w:w="469" w:type="pct"/>
                  <w:shd w:val="clear" w:color="auto" w:fill="auto"/>
                  <w:noWrap w:val="0"/>
                  <w:vAlign w:val="center"/>
                </w:tcPr>
                <w:p w14:paraId="2D6E4778">
                  <w:pPr>
                    <w:pStyle w:val="12"/>
                    <w:spacing w:line="240" w:lineRule="auto"/>
                    <w:ind w:firstLine="0" w:firstLineChars="0"/>
                    <w:rPr>
                      <w:rFonts w:hint="default"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臭气浓度</w:t>
                  </w:r>
                </w:p>
              </w:tc>
              <w:tc>
                <w:tcPr>
                  <w:tcW w:w="778" w:type="pct"/>
                  <w:shd w:val="clear" w:color="auto" w:fill="auto"/>
                  <w:noWrap w:val="0"/>
                  <w:vAlign w:val="center"/>
                </w:tcPr>
                <w:p w14:paraId="5AF78DBE">
                  <w:pPr>
                    <w:pStyle w:val="12"/>
                    <w:spacing w:line="240" w:lineRule="auto"/>
                    <w:ind w:firstLine="0" w:firstLineChars="0"/>
                    <w:rPr>
                      <w:rFonts w:hint="default"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池体加盖+喷洒除臭剂+车间密闭</w:t>
                  </w:r>
                </w:p>
              </w:tc>
              <w:tc>
                <w:tcPr>
                  <w:tcW w:w="695" w:type="pct"/>
                  <w:vMerge w:val="continue"/>
                  <w:noWrap w:val="0"/>
                  <w:vAlign w:val="center"/>
                </w:tcPr>
                <w:p w14:paraId="1C026C7D">
                  <w:pPr>
                    <w:adjustRightInd w:val="0"/>
                    <w:snapToGrid w:val="0"/>
                    <w:spacing w:line="240" w:lineRule="auto"/>
                    <w:ind w:firstLine="0" w:firstLineChars="0"/>
                    <w:jc w:val="center"/>
                    <w:rPr>
                      <w:rFonts w:hint="default" w:ascii="Times New Roman" w:hAnsi="Times New Roman" w:cs="Times New Roman"/>
                      <w:b w:val="0"/>
                      <w:bCs/>
                      <w:color w:val="000000" w:themeColor="text1"/>
                      <w:sz w:val="21"/>
                      <w:szCs w:val="21"/>
                      <w14:textFill>
                        <w14:solidFill>
                          <w14:schemeClr w14:val="tx1"/>
                        </w14:solidFill>
                      </w14:textFill>
                    </w:rPr>
                  </w:pPr>
                </w:p>
              </w:tc>
              <w:tc>
                <w:tcPr>
                  <w:tcW w:w="1006" w:type="pct"/>
                  <w:shd w:val="clear" w:color="auto" w:fill="auto"/>
                  <w:noWrap w:val="0"/>
                  <w:vAlign w:val="center"/>
                </w:tcPr>
                <w:p w14:paraId="77C67627">
                  <w:pPr>
                    <w:adjustRightInd w:val="0"/>
                    <w:snapToGrid w:val="0"/>
                    <w:spacing w:line="240" w:lineRule="auto"/>
                    <w:ind w:firstLine="0" w:firstLineChars="0"/>
                    <w:jc w:val="cente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b w:val="0"/>
                      <w:bCs/>
                      <w:color w:val="000000" w:themeColor="text1"/>
                      <w:sz w:val="21"/>
                      <w:szCs w:val="21"/>
                      <w:lang w:val="en-US" w:eastAsia="zh-CN"/>
                      <w14:textFill>
                        <w14:solidFill>
                          <w14:schemeClr w14:val="tx1"/>
                        </w14:solidFill>
                      </w14:textFill>
                    </w:rPr>
                    <w:t>20</w:t>
                  </w:r>
                </w:p>
              </w:tc>
              <w:tc>
                <w:tcPr>
                  <w:tcW w:w="631" w:type="pct"/>
                  <w:shd w:val="clear" w:color="auto" w:fill="auto"/>
                  <w:noWrap w:val="0"/>
                  <w:vAlign w:val="center"/>
                </w:tcPr>
                <w:p w14:paraId="1E534797">
                  <w:pPr>
                    <w:pStyle w:val="12"/>
                    <w:spacing w:line="240" w:lineRule="auto"/>
                    <w:ind w:firstLine="0" w:firstLineChars="0"/>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b w:val="0"/>
                      <w:bCs w:val="0"/>
                      <w:color w:val="000000" w:themeColor="text1"/>
                      <w:lang w:val="en-US" w:eastAsia="zh-CN"/>
                      <w14:textFill>
                        <w14:solidFill>
                          <w14:schemeClr w14:val="tx1"/>
                        </w14:solidFill>
                      </w14:textFill>
                    </w:rPr>
                    <w:t>/</w:t>
                  </w:r>
                </w:p>
              </w:tc>
            </w:tr>
            <w:tr w14:paraId="550AF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403" w:type="pct"/>
                  <w:noWrap w:val="0"/>
                  <w:vAlign w:val="center"/>
                </w:tcPr>
                <w:p w14:paraId="561E54EC">
                  <w:pPr>
                    <w:widowControl/>
                    <w:spacing w:line="240" w:lineRule="auto"/>
                    <w:ind w:firstLine="0" w:firstLineChars="0"/>
                    <w:jc w:val="center"/>
                    <w:textAlignment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3</w:t>
                  </w:r>
                </w:p>
              </w:tc>
              <w:tc>
                <w:tcPr>
                  <w:tcW w:w="574" w:type="pct"/>
                  <w:shd w:val="clear" w:color="auto" w:fill="auto"/>
                  <w:noWrap w:val="0"/>
                  <w:vAlign w:val="center"/>
                </w:tcPr>
                <w:p w14:paraId="6273BC16">
                  <w:pPr>
                    <w:pStyle w:val="12"/>
                    <w:spacing w:line="240" w:lineRule="auto"/>
                    <w:ind w:firstLine="0" w:firstLineChars="0"/>
                    <w:rPr>
                      <w:rFonts w:hint="default"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3号厂房</w:t>
                  </w:r>
                </w:p>
              </w:tc>
              <w:tc>
                <w:tcPr>
                  <w:tcW w:w="440" w:type="pct"/>
                  <w:shd w:val="clear" w:color="auto" w:fill="auto"/>
                  <w:noWrap w:val="0"/>
                  <w:vAlign w:val="center"/>
                </w:tcPr>
                <w:p w14:paraId="69717C1D">
                  <w:pPr>
                    <w:widowControl/>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b w:val="0"/>
                      <w:bCs/>
                      <w:color w:val="000000" w:themeColor="text1"/>
                      <w:sz w:val="21"/>
                      <w:szCs w:val="21"/>
                      <w:lang w:val="en-US" w:eastAsia="zh-CN"/>
                      <w14:textFill>
                        <w14:solidFill>
                          <w14:schemeClr w14:val="tx1"/>
                        </w14:solidFill>
                      </w14:textFill>
                    </w:rPr>
                    <w:t>储存</w:t>
                  </w:r>
                </w:p>
              </w:tc>
              <w:tc>
                <w:tcPr>
                  <w:tcW w:w="469" w:type="pct"/>
                  <w:shd w:val="clear" w:color="auto" w:fill="auto"/>
                  <w:noWrap w:val="0"/>
                  <w:vAlign w:val="center"/>
                </w:tcPr>
                <w:p w14:paraId="37425075">
                  <w:pPr>
                    <w:pStyle w:val="12"/>
                    <w:spacing w:line="240" w:lineRule="auto"/>
                    <w:ind w:firstLine="0" w:firstLineChars="0"/>
                    <w:rPr>
                      <w:rFonts w:hint="default"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臭气浓度</w:t>
                  </w:r>
                </w:p>
              </w:tc>
              <w:tc>
                <w:tcPr>
                  <w:tcW w:w="778" w:type="pct"/>
                  <w:shd w:val="clear" w:color="auto" w:fill="auto"/>
                  <w:noWrap w:val="0"/>
                  <w:vAlign w:val="center"/>
                </w:tcPr>
                <w:p w14:paraId="2C9F1EA1">
                  <w:pPr>
                    <w:pStyle w:val="12"/>
                    <w:spacing w:line="240" w:lineRule="auto"/>
                    <w:ind w:firstLine="0" w:firstLineChars="0"/>
                    <w:rPr>
                      <w:rFonts w:hint="default"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喷洒除臭剂+车间密闭</w:t>
                  </w:r>
                </w:p>
              </w:tc>
              <w:tc>
                <w:tcPr>
                  <w:tcW w:w="695" w:type="pct"/>
                  <w:vMerge w:val="continue"/>
                  <w:noWrap w:val="0"/>
                  <w:vAlign w:val="center"/>
                </w:tcPr>
                <w:p w14:paraId="16AEA936">
                  <w:pPr>
                    <w:widowControl/>
                    <w:spacing w:line="240" w:lineRule="auto"/>
                    <w:ind w:firstLine="0" w:firstLineChars="0"/>
                    <w:jc w:val="center"/>
                    <w:textAlignment w:val="cente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p>
              </w:tc>
              <w:tc>
                <w:tcPr>
                  <w:tcW w:w="1006" w:type="pct"/>
                  <w:shd w:val="clear" w:color="auto" w:fill="auto"/>
                  <w:noWrap w:val="0"/>
                  <w:vAlign w:val="center"/>
                </w:tcPr>
                <w:p w14:paraId="2BABACAF">
                  <w:pPr>
                    <w:adjustRightInd w:val="0"/>
                    <w:snapToGrid w:val="0"/>
                    <w:spacing w:line="240" w:lineRule="auto"/>
                    <w:ind w:firstLine="0" w:firstLineChars="0"/>
                    <w:jc w:val="cente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b w:val="0"/>
                      <w:bCs/>
                      <w:color w:val="000000" w:themeColor="text1"/>
                      <w:sz w:val="21"/>
                      <w:szCs w:val="21"/>
                      <w:lang w:val="en-US" w:eastAsia="zh-CN"/>
                      <w14:textFill>
                        <w14:solidFill>
                          <w14:schemeClr w14:val="tx1"/>
                        </w14:solidFill>
                      </w14:textFill>
                    </w:rPr>
                    <w:t>20</w:t>
                  </w:r>
                </w:p>
              </w:tc>
              <w:tc>
                <w:tcPr>
                  <w:tcW w:w="631" w:type="pct"/>
                  <w:shd w:val="clear" w:color="auto" w:fill="auto"/>
                  <w:noWrap w:val="0"/>
                  <w:vAlign w:val="center"/>
                </w:tcPr>
                <w:p w14:paraId="7F545604">
                  <w:pPr>
                    <w:pStyle w:val="12"/>
                    <w:spacing w:line="240" w:lineRule="auto"/>
                    <w:ind w:firstLine="0" w:firstLineChars="0"/>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b w:val="0"/>
                      <w:bCs w:val="0"/>
                      <w:color w:val="000000" w:themeColor="text1"/>
                      <w:lang w:val="en-US" w:eastAsia="zh-CN"/>
                      <w14:textFill>
                        <w14:solidFill>
                          <w14:schemeClr w14:val="tx1"/>
                        </w14:solidFill>
                      </w14:textFill>
                    </w:rPr>
                    <w:t>/</w:t>
                  </w:r>
                </w:p>
              </w:tc>
            </w:tr>
            <w:tr w14:paraId="3B71E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403" w:type="pct"/>
                  <w:noWrap w:val="0"/>
                  <w:vAlign w:val="center"/>
                </w:tcPr>
                <w:p w14:paraId="00C841AE">
                  <w:pPr>
                    <w:widowControl/>
                    <w:spacing w:line="240" w:lineRule="auto"/>
                    <w:ind w:firstLine="0" w:firstLineChars="0"/>
                    <w:jc w:val="center"/>
                    <w:textAlignment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4</w:t>
                  </w:r>
                </w:p>
              </w:tc>
              <w:tc>
                <w:tcPr>
                  <w:tcW w:w="574" w:type="pct"/>
                  <w:shd w:val="clear" w:color="auto" w:fill="auto"/>
                  <w:noWrap w:val="0"/>
                  <w:vAlign w:val="center"/>
                </w:tcPr>
                <w:p w14:paraId="06C924DB">
                  <w:pPr>
                    <w:pStyle w:val="12"/>
                    <w:spacing w:line="240" w:lineRule="auto"/>
                    <w:ind w:firstLine="0" w:firstLineChars="0"/>
                    <w:rPr>
                      <w:rFonts w:hint="default"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水泥筒仓</w:t>
                  </w:r>
                </w:p>
              </w:tc>
              <w:tc>
                <w:tcPr>
                  <w:tcW w:w="440" w:type="pct"/>
                  <w:shd w:val="clear" w:color="auto" w:fill="auto"/>
                  <w:noWrap w:val="0"/>
                  <w:vAlign w:val="center"/>
                </w:tcPr>
                <w:p w14:paraId="578E3BB7">
                  <w:pPr>
                    <w:widowControl/>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b w:val="0"/>
                      <w:bCs/>
                      <w:color w:val="000000" w:themeColor="text1"/>
                      <w:sz w:val="21"/>
                      <w:szCs w:val="21"/>
                      <w:lang w:val="en-US" w:eastAsia="zh-CN"/>
                      <w14:textFill>
                        <w14:solidFill>
                          <w14:schemeClr w14:val="tx1"/>
                        </w14:solidFill>
                      </w14:textFill>
                    </w:rPr>
                    <w:t>储存</w:t>
                  </w:r>
                </w:p>
              </w:tc>
              <w:tc>
                <w:tcPr>
                  <w:tcW w:w="469" w:type="pct"/>
                  <w:shd w:val="clear" w:color="auto" w:fill="auto"/>
                  <w:noWrap w:val="0"/>
                  <w:vAlign w:val="center"/>
                </w:tcPr>
                <w:p w14:paraId="19185D9A">
                  <w:pPr>
                    <w:pStyle w:val="12"/>
                    <w:spacing w:line="240" w:lineRule="auto"/>
                    <w:ind w:firstLine="0" w:firstLineChars="0"/>
                    <w:rPr>
                      <w:rFonts w:hint="default"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颗粒物</w:t>
                  </w:r>
                </w:p>
              </w:tc>
              <w:tc>
                <w:tcPr>
                  <w:tcW w:w="778" w:type="pct"/>
                  <w:shd w:val="clear" w:color="auto" w:fill="auto"/>
                  <w:noWrap w:val="0"/>
                  <w:vAlign w:val="center"/>
                </w:tcPr>
                <w:p w14:paraId="61E08D38">
                  <w:pPr>
                    <w:pStyle w:val="12"/>
                    <w:spacing w:line="240" w:lineRule="auto"/>
                    <w:ind w:firstLine="0" w:firstLineChars="0"/>
                    <w:rPr>
                      <w:rFonts w:hint="default"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筒仓自带布袋除尘+车间密闭</w:t>
                  </w:r>
                </w:p>
              </w:tc>
              <w:tc>
                <w:tcPr>
                  <w:tcW w:w="695" w:type="pct"/>
                  <w:vMerge w:val="continue"/>
                  <w:noWrap w:val="0"/>
                  <w:vAlign w:val="center"/>
                </w:tcPr>
                <w:p w14:paraId="775E88FC">
                  <w:pPr>
                    <w:widowControl/>
                    <w:spacing w:line="240" w:lineRule="auto"/>
                    <w:ind w:firstLine="0" w:firstLineChars="0"/>
                    <w:jc w:val="center"/>
                    <w:textAlignment w:val="center"/>
                    <w:rPr>
                      <w:rFonts w:hint="default" w:ascii="Times New Roman" w:hAnsi="Times New Roman" w:cs="Times New Roman"/>
                      <w:b w:val="0"/>
                      <w:bCs/>
                      <w:color w:val="000000" w:themeColor="text1"/>
                      <w:sz w:val="21"/>
                      <w:szCs w:val="21"/>
                      <w:lang w:val="en-US" w:eastAsia="zh-CN"/>
                      <w14:textFill>
                        <w14:solidFill>
                          <w14:schemeClr w14:val="tx1"/>
                        </w14:solidFill>
                      </w14:textFill>
                    </w:rPr>
                  </w:pPr>
                </w:p>
              </w:tc>
              <w:tc>
                <w:tcPr>
                  <w:tcW w:w="1006" w:type="pct"/>
                  <w:shd w:val="clear" w:color="auto" w:fill="auto"/>
                  <w:noWrap w:val="0"/>
                  <w:vAlign w:val="center"/>
                </w:tcPr>
                <w:p w14:paraId="034BFAB8">
                  <w:pPr>
                    <w:adjustRightInd w:val="0"/>
                    <w:snapToGrid w:val="0"/>
                    <w:spacing w:line="240" w:lineRule="auto"/>
                    <w:ind w:firstLine="0" w:firstLineChars="0"/>
                    <w:jc w:val="cente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b w:val="0"/>
                      <w:bCs/>
                      <w:color w:val="000000" w:themeColor="text1"/>
                      <w:sz w:val="21"/>
                      <w:szCs w:val="21"/>
                      <w:lang w:val="en-US" w:eastAsia="zh-CN"/>
                      <w14:textFill>
                        <w14:solidFill>
                          <w14:schemeClr w14:val="tx1"/>
                        </w14:solidFill>
                      </w14:textFill>
                    </w:rPr>
                    <w:t>1.0</w:t>
                  </w:r>
                </w:p>
              </w:tc>
              <w:tc>
                <w:tcPr>
                  <w:tcW w:w="631" w:type="pct"/>
                  <w:shd w:val="clear" w:color="auto" w:fill="auto"/>
                  <w:noWrap w:val="0"/>
                  <w:vAlign w:val="center"/>
                </w:tcPr>
                <w:p w14:paraId="771D4A8F">
                  <w:pPr>
                    <w:pStyle w:val="12"/>
                    <w:spacing w:line="240" w:lineRule="auto"/>
                    <w:ind w:firstLine="0" w:firstLineChars="0"/>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eastAsia" w:eastAsia="等线" w:cs="Times New Roman"/>
                      <w:b w:val="0"/>
                      <w:bCs w:val="0"/>
                      <w:color w:val="000000" w:themeColor="text1"/>
                      <w:szCs w:val="21"/>
                      <w:lang w:val="en-US" w:eastAsia="zh-CN"/>
                      <w14:textFill>
                        <w14:solidFill>
                          <w14:schemeClr w14:val="tx1"/>
                        </w14:solidFill>
                      </w14:textFill>
                    </w:rPr>
                    <w:t>0.1056</w:t>
                  </w:r>
                </w:p>
              </w:tc>
            </w:tr>
            <w:tr w14:paraId="64B38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403" w:type="pct"/>
                  <w:noWrap w:val="0"/>
                  <w:vAlign w:val="center"/>
                </w:tcPr>
                <w:p w14:paraId="2842A605">
                  <w:pPr>
                    <w:widowControl/>
                    <w:spacing w:line="240" w:lineRule="auto"/>
                    <w:ind w:firstLine="0" w:firstLineChars="0"/>
                    <w:jc w:val="center"/>
                    <w:textAlignment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5</w:t>
                  </w:r>
                </w:p>
              </w:tc>
              <w:tc>
                <w:tcPr>
                  <w:tcW w:w="574" w:type="pct"/>
                  <w:shd w:val="clear" w:color="auto" w:fill="auto"/>
                  <w:noWrap w:val="0"/>
                  <w:vAlign w:val="center"/>
                </w:tcPr>
                <w:p w14:paraId="480483C8">
                  <w:pPr>
                    <w:pStyle w:val="12"/>
                    <w:spacing w:line="240" w:lineRule="auto"/>
                    <w:ind w:firstLine="0" w:firstLineChars="0"/>
                    <w:rPr>
                      <w:rFonts w:hint="default"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水稳层骨料</w:t>
                  </w: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仓</w:t>
                  </w:r>
                </w:p>
              </w:tc>
              <w:tc>
                <w:tcPr>
                  <w:tcW w:w="440" w:type="pct"/>
                  <w:shd w:val="clear" w:color="auto" w:fill="auto"/>
                  <w:noWrap w:val="0"/>
                  <w:vAlign w:val="center"/>
                </w:tcPr>
                <w:p w14:paraId="67963B91">
                  <w:pPr>
                    <w:widowControl/>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b w:val="0"/>
                      <w:bCs/>
                      <w:color w:val="000000" w:themeColor="text1"/>
                      <w:sz w:val="21"/>
                      <w:szCs w:val="21"/>
                      <w:lang w:val="en-US" w:eastAsia="zh-CN"/>
                      <w14:textFill>
                        <w14:solidFill>
                          <w14:schemeClr w14:val="tx1"/>
                        </w14:solidFill>
                      </w14:textFill>
                    </w:rPr>
                    <w:t>储存</w:t>
                  </w:r>
                </w:p>
              </w:tc>
              <w:tc>
                <w:tcPr>
                  <w:tcW w:w="469" w:type="pct"/>
                  <w:shd w:val="clear" w:color="auto" w:fill="auto"/>
                  <w:noWrap w:val="0"/>
                  <w:vAlign w:val="center"/>
                </w:tcPr>
                <w:p w14:paraId="527F711F">
                  <w:pPr>
                    <w:pStyle w:val="12"/>
                    <w:spacing w:line="240" w:lineRule="auto"/>
                    <w:ind w:firstLine="0" w:firstLineChars="0"/>
                    <w:rPr>
                      <w:rFonts w:hint="default"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颗粒物</w:t>
                  </w:r>
                </w:p>
              </w:tc>
              <w:tc>
                <w:tcPr>
                  <w:tcW w:w="778" w:type="pct"/>
                  <w:shd w:val="clear" w:color="auto" w:fill="auto"/>
                  <w:noWrap w:val="0"/>
                  <w:vAlign w:val="center"/>
                </w:tcPr>
                <w:p w14:paraId="073238DE">
                  <w:pPr>
                    <w:pStyle w:val="12"/>
                    <w:spacing w:line="240" w:lineRule="auto"/>
                    <w:ind w:firstLine="0" w:firstLineChars="0"/>
                    <w:rPr>
                      <w:rFonts w:hint="default"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筒仓自带布袋除尘+车间密闭</w:t>
                  </w:r>
                </w:p>
              </w:tc>
              <w:tc>
                <w:tcPr>
                  <w:tcW w:w="695" w:type="pct"/>
                  <w:vMerge w:val="continue"/>
                  <w:noWrap w:val="0"/>
                  <w:vAlign w:val="center"/>
                </w:tcPr>
                <w:p w14:paraId="750613AE">
                  <w:pPr>
                    <w:widowControl/>
                    <w:spacing w:line="240" w:lineRule="auto"/>
                    <w:ind w:firstLine="0" w:firstLineChars="0"/>
                    <w:jc w:val="center"/>
                    <w:textAlignment w:val="center"/>
                    <w:rPr>
                      <w:rFonts w:hint="default" w:ascii="Times New Roman" w:hAnsi="Times New Roman" w:cs="Times New Roman"/>
                      <w:b w:val="0"/>
                      <w:bCs/>
                      <w:color w:val="000000" w:themeColor="text1"/>
                      <w:sz w:val="21"/>
                      <w:szCs w:val="21"/>
                      <w:lang w:val="en-US" w:eastAsia="zh-CN"/>
                      <w14:textFill>
                        <w14:solidFill>
                          <w14:schemeClr w14:val="tx1"/>
                        </w14:solidFill>
                      </w14:textFill>
                    </w:rPr>
                  </w:pPr>
                </w:p>
              </w:tc>
              <w:tc>
                <w:tcPr>
                  <w:tcW w:w="1006" w:type="pct"/>
                  <w:shd w:val="clear" w:color="auto" w:fill="auto"/>
                  <w:noWrap w:val="0"/>
                  <w:vAlign w:val="center"/>
                </w:tcPr>
                <w:p w14:paraId="502BBE48">
                  <w:pPr>
                    <w:adjustRightInd w:val="0"/>
                    <w:snapToGrid w:val="0"/>
                    <w:spacing w:line="240" w:lineRule="auto"/>
                    <w:ind w:firstLine="0" w:firstLineChars="0"/>
                    <w:jc w:val="cente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b w:val="0"/>
                      <w:bCs/>
                      <w:color w:val="000000" w:themeColor="text1"/>
                      <w:sz w:val="21"/>
                      <w:szCs w:val="21"/>
                      <w:lang w:val="en-US" w:eastAsia="zh-CN"/>
                      <w14:textFill>
                        <w14:solidFill>
                          <w14:schemeClr w14:val="tx1"/>
                        </w14:solidFill>
                      </w14:textFill>
                    </w:rPr>
                    <w:t>1.0</w:t>
                  </w:r>
                </w:p>
              </w:tc>
              <w:tc>
                <w:tcPr>
                  <w:tcW w:w="631" w:type="pct"/>
                  <w:shd w:val="clear" w:color="auto" w:fill="auto"/>
                  <w:noWrap w:val="0"/>
                  <w:vAlign w:val="center"/>
                </w:tcPr>
                <w:p w14:paraId="75C231B6">
                  <w:pPr>
                    <w:pStyle w:val="12"/>
                    <w:spacing w:line="240" w:lineRule="auto"/>
                    <w:ind w:firstLine="0" w:firstLineChars="0"/>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eastAsia" w:eastAsia="等线" w:cs="Times New Roman"/>
                      <w:b w:val="0"/>
                      <w:bCs w:val="0"/>
                      <w:color w:val="000000" w:themeColor="text1"/>
                      <w:szCs w:val="21"/>
                      <w:lang w:val="en-US" w:eastAsia="zh-CN"/>
                      <w14:textFill>
                        <w14:solidFill>
                          <w14:schemeClr w14:val="tx1"/>
                        </w14:solidFill>
                      </w14:textFill>
                    </w:rPr>
                    <w:t>0.0018</w:t>
                  </w:r>
                </w:p>
              </w:tc>
            </w:tr>
            <w:tr w14:paraId="267B2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403" w:type="pct"/>
                  <w:noWrap w:val="0"/>
                  <w:vAlign w:val="center"/>
                </w:tcPr>
                <w:p w14:paraId="701EF80E">
                  <w:pPr>
                    <w:widowControl/>
                    <w:spacing w:line="240" w:lineRule="auto"/>
                    <w:ind w:firstLine="0" w:firstLineChars="0"/>
                    <w:jc w:val="center"/>
                    <w:textAlignment w:val="center"/>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6</w:t>
                  </w:r>
                </w:p>
              </w:tc>
              <w:tc>
                <w:tcPr>
                  <w:tcW w:w="574" w:type="pct"/>
                  <w:shd w:val="clear" w:color="auto" w:fill="auto"/>
                  <w:noWrap w:val="0"/>
                  <w:vAlign w:val="center"/>
                </w:tcPr>
                <w:p w14:paraId="4334E993">
                  <w:pPr>
                    <w:pStyle w:val="12"/>
                    <w:spacing w:line="240" w:lineRule="auto"/>
                    <w:ind w:firstLine="0" w:firstLineChars="0"/>
                    <w:rPr>
                      <w:rFonts w:hint="default"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砂石堆存区</w:t>
                  </w:r>
                </w:p>
              </w:tc>
              <w:tc>
                <w:tcPr>
                  <w:tcW w:w="440" w:type="pct"/>
                  <w:shd w:val="clear" w:color="auto" w:fill="auto"/>
                  <w:noWrap w:val="0"/>
                  <w:vAlign w:val="center"/>
                </w:tcPr>
                <w:p w14:paraId="5EA95398">
                  <w:pPr>
                    <w:widowControl/>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b w:val="0"/>
                      <w:bCs/>
                      <w:color w:val="000000" w:themeColor="text1"/>
                      <w:sz w:val="21"/>
                      <w:szCs w:val="21"/>
                      <w:lang w:val="en-US" w:eastAsia="zh-CN"/>
                      <w14:textFill>
                        <w14:solidFill>
                          <w14:schemeClr w14:val="tx1"/>
                        </w14:solidFill>
                      </w14:textFill>
                    </w:rPr>
                    <w:t>储存</w:t>
                  </w:r>
                </w:p>
              </w:tc>
              <w:tc>
                <w:tcPr>
                  <w:tcW w:w="469" w:type="pct"/>
                  <w:shd w:val="clear" w:color="auto" w:fill="auto"/>
                  <w:noWrap w:val="0"/>
                  <w:vAlign w:val="center"/>
                </w:tcPr>
                <w:p w14:paraId="321A098B">
                  <w:pPr>
                    <w:pStyle w:val="12"/>
                    <w:spacing w:line="240" w:lineRule="auto"/>
                    <w:ind w:firstLine="0" w:firstLineChars="0"/>
                    <w:rPr>
                      <w:rFonts w:hint="default"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颗粒物</w:t>
                  </w:r>
                </w:p>
              </w:tc>
              <w:tc>
                <w:tcPr>
                  <w:tcW w:w="778" w:type="pct"/>
                  <w:shd w:val="clear" w:color="auto" w:fill="auto"/>
                  <w:noWrap w:val="0"/>
                  <w:vAlign w:val="center"/>
                </w:tcPr>
                <w:p w14:paraId="77A14A4B">
                  <w:pPr>
                    <w:pStyle w:val="12"/>
                    <w:spacing w:line="240" w:lineRule="auto"/>
                    <w:ind w:firstLine="0" w:firstLineChars="0"/>
                    <w:rPr>
                      <w:rFonts w:hint="default"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喷淋+车间沉降</w:t>
                  </w:r>
                </w:p>
              </w:tc>
              <w:tc>
                <w:tcPr>
                  <w:tcW w:w="695" w:type="pct"/>
                  <w:vMerge w:val="continue"/>
                  <w:noWrap w:val="0"/>
                  <w:vAlign w:val="center"/>
                </w:tcPr>
                <w:p w14:paraId="19874FB2">
                  <w:pPr>
                    <w:widowControl/>
                    <w:spacing w:line="240" w:lineRule="auto"/>
                    <w:ind w:firstLine="0" w:firstLineChars="0"/>
                    <w:jc w:val="center"/>
                    <w:textAlignment w:val="center"/>
                    <w:rPr>
                      <w:rFonts w:hint="default" w:ascii="Times New Roman" w:hAnsi="Times New Roman" w:cs="Times New Roman"/>
                      <w:b w:val="0"/>
                      <w:bCs/>
                      <w:color w:val="000000" w:themeColor="text1"/>
                      <w:sz w:val="21"/>
                      <w:szCs w:val="21"/>
                      <w:lang w:val="en-US" w:eastAsia="zh-CN"/>
                      <w14:textFill>
                        <w14:solidFill>
                          <w14:schemeClr w14:val="tx1"/>
                        </w14:solidFill>
                      </w14:textFill>
                    </w:rPr>
                  </w:pPr>
                </w:p>
              </w:tc>
              <w:tc>
                <w:tcPr>
                  <w:tcW w:w="1006" w:type="pct"/>
                  <w:shd w:val="clear" w:color="auto" w:fill="auto"/>
                  <w:noWrap w:val="0"/>
                  <w:vAlign w:val="center"/>
                </w:tcPr>
                <w:p w14:paraId="184C30F9">
                  <w:pPr>
                    <w:adjustRightInd w:val="0"/>
                    <w:snapToGrid w:val="0"/>
                    <w:spacing w:line="240" w:lineRule="auto"/>
                    <w:ind w:firstLine="0" w:firstLineChars="0"/>
                    <w:jc w:val="center"/>
                    <w:rPr>
                      <w:rFonts w:hint="default" w:ascii="Times New Roman" w:hAnsi="Times New Roman" w:eastAsia="宋体" w:cs="Times New Roman"/>
                      <w:b w:val="0"/>
                      <w:bCs/>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b w:val="0"/>
                      <w:bCs/>
                      <w:color w:val="000000" w:themeColor="text1"/>
                      <w:sz w:val="21"/>
                      <w:szCs w:val="21"/>
                      <w:lang w:val="en-US" w:eastAsia="zh-CN"/>
                      <w14:textFill>
                        <w14:solidFill>
                          <w14:schemeClr w14:val="tx1"/>
                        </w14:solidFill>
                      </w14:textFill>
                    </w:rPr>
                    <w:t>1.0</w:t>
                  </w:r>
                </w:p>
              </w:tc>
              <w:tc>
                <w:tcPr>
                  <w:tcW w:w="631" w:type="pct"/>
                  <w:shd w:val="clear" w:color="auto" w:fill="auto"/>
                  <w:noWrap w:val="0"/>
                  <w:vAlign w:val="center"/>
                </w:tcPr>
                <w:p w14:paraId="4F7CB0B7">
                  <w:pPr>
                    <w:pStyle w:val="12"/>
                    <w:spacing w:line="240" w:lineRule="auto"/>
                    <w:ind w:firstLine="0" w:firstLineChars="0"/>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b w:val="0"/>
                      <w:bCs w:val="0"/>
                      <w:color w:val="000000" w:themeColor="text1"/>
                      <w:lang w:val="en-US" w:eastAsia="zh-CN"/>
                      <w14:textFill>
                        <w14:solidFill>
                          <w14:schemeClr w14:val="tx1"/>
                        </w14:solidFill>
                      </w14:textFill>
                    </w:rPr>
                    <w:t>0.6909</w:t>
                  </w:r>
                </w:p>
              </w:tc>
            </w:tr>
            <w:tr w14:paraId="7E239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1417" w:type="pct"/>
                  <w:gridSpan w:val="3"/>
                  <w:noWrap w:val="0"/>
                  <w:vAlign w:val="center"/>
                </w:tcPr>
                <w:p w14:paraId="65A6533D">
                  <w:pPr>
                    <w:adjustRightInd w:val="0"/>
                    <w:snapToGrid w:val="0"/>
                    <w:spacing w:line="240" w:lineRule="auto"/>
                    <w:ind w:firstLine="0" w:firstLineChars="0"/>
                    <w:jc w:val="center"/>
                    <w:rPr>
                      <w:rFonts w:hint="default" w:ascii="Times New Roman" w:hAnsi="Times New Roman" w:cs="Times New Roman"/>
                      <w:bCs/>
                      <w:color w:val="000000" w:themeColor="text1"/>
                      <w:sz w:val="21"/>
                      <w:szCs w:val="21"/>
                      <w14:textFill>
                        <w14:solidFill>
                          <w14:schemeClr w14:val="tx1"/>
                        </w14:solidFill>
                      </w14:textFill>
                    </w:rPr>
                  </w:pPr>
                  <w:r>
                    <w:rPr>
                      <w:rFonts w:hint="default" w:ascii="Times New Roman" w:hAnsi="Times New Roman" w:cs="Times New Roman"/>
                      <w:bCs/>
                      <w:color w:val="000000" w:themeColor="text1"/>
                      <w:sz w:val="21"/>
                      <w:szCs w:val="21"/>
                      <w14:textFill>
                        <w14:solidFill>
                          <w14:schemeClr w14:val="tx1"/>
                        </w14:solidFill>
                      </w14:textFill>
                    </w:rPr>
                    <w:t>无组织排放总计</w:t>
                  </w:r>
                </w:p>
              </w:tc>
              <w:tc>
                <w:tcPr>
                  <w:tcW w:w="2950" w:type="pct"/>
                  <w:gridSpan w:val="4"/>
                  <w:noWrap w:val="0"/>
                  <w:vAlign w:val="center"/>
                </w:tcPr>
                <w:p w14:paraId="242CC8DF">
                  <w:pPr>
                    <w:widowControl/>
                    <w:spacing w:line="240" w:lineRule="auto"/>
                    <w:ind w:firstLine="0" w:firstLineChars="0"/>
                    <w:jc w:val="center"/>
                    <w:textAlignment w:val="center"/>
                    <w:rPr>
                      <w:rFonts w:hint="default" w:ascii="Times New Roman" w:hAnsi="Times New Roman" w:eastAsia="宋体" w:cs="Times New Roman"/>
                      <w:bCs/>
                      <w:color w:val="000000" w:themeColor="text1"/>
                      <w:sz w:val="21"/>
                      <w:szCs w:val="21"/>
                      <w:lang w:val="en-US" w:eastAsia="zh-CN"/>
                      <w14:textFill>
                        <w14:solidFill>
                          <w14:schemeClr w14:val="tx1"/>
                        </w14:solidFill>
                      </w14:textFill>
                    </w:rPr>
                  </w:pPr>
                  <w:r>
                    <w:rPr>
                      <w:rFonts w:hint="default" w:ascii="Times New Roman" w:hAnsi="Times New Roman" w:cs="Times New Roman"/>
                      <w:bCs/>
                      <w:color w:val="000000" w:themeColor="text1"/>
                      <w:sz w:val="21"/>
                      <w:szCs w:val="21"/>
                      <w:lang w:val="en-US" w:eastAsia="zh-CN"/>
                      <w14:textFill>
                        <w14:solidFill>
                          <w14:schemeClr w14:val="tx1"/>
                        </w14:solidFill>
                      </w14:textFill>
                    </w:rPr>
                    <w:t>颗粒物</w:t>
                  </w:r>
                </w:p>
              </w:tc>
              <w:tc>
                <w:tcPr>
                  <w:tcW w:w="631" w:type="pct"/>
                  <w:noWrap w:val="0"/>
                  <w:vAlign w:val="center"/>
                </w:tcPr>
                <w:p w14:paraId="35BE957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eastAsia" w:cs="Times New Roman"/>
                      <w:b w:val="0"/>
                      <w:bCs w:val="0"/>
                      <w:i w:val="0"/>
                      <w:iCs w:val="0"/>
                      <w:color w:val="000000" w:themeColor="text1"/>
                      <w:kern w:val="0"/>
                      <w:sz w:val="20"/>
                      <w:szCs w:val="20"/>
                      <w:u w:val="none"/>
                      <w:lang w:val="en-US" w:eastAsia="zh-CN" w:bidi="ar"/>
                      <w14:textFill>
                        <w14:solidFill>
                          <w14:schemeClr w14:val="tx1"/>
                        </w14:solidFill>
                      </w14:textFill>
                    </w:rPr>
                    <w:t>0.8205</w:t>
                  </w:r>
                </w:p>
              </w:tc>
            </w:tr>
          </w:tbl>
          <w:p w14:paraId="00741B09">
            <w:pPr>
              <w:spacing w:before="156" w:beforeLines="50" w:line="240" w:lineRule="auto"/>
              <w:jc w:val="center"/>
              <w:rPr>
                <w:rFonts w:hint="default" w:ascii="Times New Roman" w:hAnsi="Times New Roman" w:cs="Times New Roman"/>
                <w:b/>
                <w:bCs/>
                <w:color w:val="000000" w:themeColor="text1"/>
                <w:kern w:val="10"/>
                <w:sz w:val="21"/>
                <w:szCs w:val="21"/>
                <w14:textFill>
                  <w14:solidFill>
                    <w14:schemeClr w14:val="tx1"/>
                  </w14:solidFill>
                </w14:textFill>
              </w:rPr>
            </w:pPr>
            <w:r>
              <w:rPr>
                <w:rFonts w:hint="default" w:ascii="Times New Roman" w:hAnsi="Times New Roman" w:cs="Times New Roman"/>
                <w:b/>
                <w:bCs/>
                <w:color w:val="000000" w:themeColor="text1"/>
                <w:kern w:val="10"/>
                <w:sz w:val="21"/>
                <w:szCs w:val="21"/>
                <w14:textFill>
                  <w14:solidFill>
                    <w14:schemeClr w14:val="tx1"/>
                  </w14:solidFill>
                </w14:textFill>
              </w:rPr>
              <w:t>表</w:t>
            </w:r>
            <w:r>
              <w:rPr>
                <w:rFonts w:hint="eastAsia" w:cs="Times New Roman"/>
                <w:b/>
                <w:bCs/>
                <w:color w:val="000000" w:themeColor="text1"/>
                <w:kern w:val="10"/>
                <w:sz w:val="21"/>
                <w:szCs w:val="21"/>
                <w:lang w:val="en-US" w:eastAsia="zh-CN"/>
                <w14:textFill>
                  <w14:solidFill>
                    <w14:schemeClr w14:val="tx1"/>
                  </w14:solidFill>
                </w14:textFill>
              </w:rPr>
              <w:t>4-7</w:t>
            </w:r>
            <w:r>
              <w:rPr>
                <w:rFonts w:hint="default" w:ascii="Times New Roman" w:hAnsi="Times New Roman" w:cs="Times New Roman"/>
                <w:b/>
                <w:bCs/>
                <w:color w:val="000000" w:themeColor="text1"/>
                <w:kern w:val="10"/>
                <w:sz w:val="21"/>
                <w:szCs w:val="21"/>
                <w14:textFill>
                  <w14:solidFill>
                    <w14:schemeClr w14:val="tx1"/>
                  </w14:solidFill>
                </w14:textFill>
              </w:rPr>
              <w:t xml:space="preserve"> 大气污染物年排放量核算表</w:t>
            </w:r>
          </w:p>
          <w:tbl>
            <w:tblPr>
              <w:tblStyle w:val="26"/>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03"/>
              <w:gridCol w:w="3920"/>
              <w:gridCol w:w="4287"/>
            </w:tblGrid>
            <w:tr w14:paraId="13555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685" w:type="pct"/>
                  <w:noWrap w:val="0"/>
                  <w:vAlign w:val="center"/>
                </w:tcPr>
                <w:p w14:paraId="446B1BCD">
                  <w:pPr>
                    <w:autoSpaceDE w:val="0"/>
                    <w:autoSpaceDN w:val="0"/>
                    <w:spacing w:line="240" w:lineRule="auto"/>
                    <w:ind w:firstLine="0" w:firstLineChars="0"/>
                    <w:jc w:val="center"/>
                    <w:textAlignment w:val="center"/>
                    <w:rPr>
                      <w:rFonts w:hint="default" w:ascii="Times New Roman" w:hAnsi="Times New Roman" w:cs="Times New Roman"/>
                      <w:b/>
                      <w:bCs/>
                      <w:color w:val="000000" w:themeColor="text1"/>
                      <w:kern w:val="0"/>
                      <w:sz w:val="21"/>
                      <w:szCs w:val="21"/>
                      <w:lang w:bidi="ar"/>
                      <w14:textFill>
                        <w14:solidFill>
                          <w14:schemeClr w14:val="tx1"/>
                        </w14:solidFill>
                      </w14:textFill>
                    </w:rPr>
                  </w:pPr>
                  <w:r>
                    <w:rPr>
                      <w:rFonts w:hint="default" w:ascii="Times New Roman" w:hAnsi="Times New Roman" w:cs="Times New Roman"/>
                      <w:b/>
                      <w:bCs/>
                      <w:color w:val="000000" w:themeColor="text1"/>
                      <w:kern w:val="0"/>
                      <w:sz w:val="21"/>
                      <w:szCs w:val="21"/>
                      <w:lang w:bidi="ar"/>
                      <w14:textFill>
                        <w14:solidFill>
                          <w14:schemeClr w14:val="tx1"/>
                        </w14:solidFill>
                      </w14:textFill>
                    </w:rPr>
                    <w:t>序号</w:t>
                  </w:r>
                </w:p>
              </w:tc>
              <w:tc>
                <w:tcPr>
                  <w:tcW w:w="2060" w:type="pct"/>
                  <w:noWrap w:val="0"/>
                  <w:vAlign w:val="center"/>
                </w:tcPr>
                <w:p w14:paraId="634B47ED">
                  <w:pPr>
                    <w:autoSpaceDE w:val="0"/>
                    <w:autoSpaceDN w:val="0"/>
                    <w:spacing w:line="240" w:lineRule="auto"/>
                    <w:ind w:firstLine="0" w:firstLineChars="0"/>
                    <w:jc w:val="center"/>
                    <w:textAlignment w:val="center"/>
                    <w:rPr>
                      <w:rFonts w:hint="default" w:ascii="Times New Roman" w:hAnsi="Times New Roman" w:cs="Times New Roman"/>
                      <w:b/>
                      <w:bCs/>
                      <w:color w:val="000000" w:themeColor="text1"/>
                      <w:kern w:val="0"/>
                      <w:sz w:val="21"/>
                      <w:szCs w:val="21"/>
                      <w:lang w:bidi="ar"/>
                      <w14:textFill>
                        <w14:solidFill>
                          <w14:schemeClr w14:val="tx1"/>
                        </w14:solidFill>
                      </w14:textFill>
                    </w:rPr>
                  </w:pPr>
                  <w:r>
                    <w:rPr>
                      <w:rFonts w:hint="default" w:ascii="Times New Roman" w:hAnsi="Times New Roman" w:cs="Times New Roman"/>
                      <w:b/>
                      <w:bCs/>
                      <w:color w:val="000000" w:themeColor="text1"/>
                      <w:kern w:val="0"/>
                      <w:sz w:val="21"/>
                      <w:szCs w:val="21"/>
                      <w:lang w:bidi="ar"/>
                      <w14:textFill>
                        <w14:solidFill>
                          <w14:schemeClr w14:val="tx1"/>
                        </w14:solidFill>
                      </w14:textFill>
                    </w:rPr>
                    <w:t>污染物</w:t>
                  </w:r>
                </w:p>
              </w:tc>
              <w:tc>
                <w:tcPr>
                  <w:tcW w:w="2253" w:type="pct"/>
                  <w:noWrap w:val="0"/>
                  <w:vAlign w:val="center"/>
                </w:tcPr>
                <w:p w14:paraId="33D15F27">
                  <w:pPr>
                    <w:autoSpaceDE w:val="0"/>
                    <w:autoSpaceDN w:val="0"/>
                    <w:spacing w:line="240" w:lineRule="auto"/>
                    <w:ind w:firstLine="0" w:firstLineChars="0"/>
                    <w:jc w:val="center"/>
                    <w:textAlignment w:val="center"/>
                    <w:rPr>
                      <w:rFonts w:hint="default" w:ascii="Times New Roman" w:hAnsi="Times New Roman" w:cs="Times New Roman"/>
                      <w:b/>
                      <w:bCs/>
                      <w:color w:val="000000" w:themeColor="text1"/>
                      <w:kern w:val="0"/>
                      <w:sz w:val="21"/>
                      <w:szCs w:val="21"/>
                      <w:lang w:bidi="ar"/>
                      <w14:textFill>
                        <w14:solidFill>
                          <w14:schemeClr w14:val="tx1"/>
                        </w14:solidFill>
                      </w14:textFill>
                    </w:rPr>
                  </w:pPr>
                  <w:r>
                    <w:rPr>
                      <w:rFonts w:hint="default" w:ascii="Times New Roman" w:hAnsi="Times New Roman" w:cs="Times New Roman"/>
                      <w:b/>
                      <w:bCs/>
                      <w:color w:val="000000" w:themeColor="text1"/>
                      <w:kern w:val="0"/>
                      <w:sz w:val="21"/>
                      <w:szCs w:val="21"/>
                      <w:lang w:bidi="ar"/>
                      <w14:textFill>
                        <w14:solidFill>
                          <w14:schemeClr w14:val="tx1"/>
                        </w14:solidFill>
                      </w14:textFill>
                    </w:rPr>
                    <w:t>年排放量/（t/a）</w:t>
                  </w:r>
                </w:p>
              </w:tc>
            </w:tr>
            <w:tr w14:paraId="186F8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85" w:type="pct"/>
                  <w:noWrap w:val="0"/>
                  <w:vAlign w:val="center"/>
                </w:tcPr>
                <w:p w14:paraId="4EC71997">
                  <w:pPr>
                    <w:autoSpaceDE w:val="0"/>
                    <w:autoSpaceDN w:val="0"/>
                    <w:spacing w:line="240" w:lineRule="auto"/>
                    <w:ind w:firstLine="0" w:firstLineChars="0"/>
                    <w:jc w:val="center"/>
                    <w:textAlignment w:val="center"/>
                    <w:rPr>
                      <w:rFonts w:hint="default" w:ascii="Times New Roman" w:hAnsi="Times New Roman" w:cs="Times New Roman"/>
                      <w:color w:val="000000" w:themeColor="text1"/>
                      <w:kern w:val="0"/>
                      <w:sz w:val="21"/>
                      <w:szCs w:val="21"/>
                      <w:lang w:bidi="ar"/>
                      <w14:textFill>
                        <w14:solidFill>
                          <w14:schemeClr w14:val="tx1"/>
                        </w14:solidFill>
                      </w14:textFill>
                    </w:rPr>
                  </w:pPr>
                  <w:r>
                    <w:rPr>
                      <w:rFonts w:hint="default" w:ascii="Times New Roman" w:hAnsi="Times New Roman" w:cs="Times New Roman"/>
                      <w:color w:val="000000" w:themeColor="text1"/>
                      <w:kern w:val="0"/>
                      <w:sz w:val="21"/>
                      <w:szCs w:val="21"/>
                      <w:lang w:bidi="ar"/>
                      <w14:textFill>
                        <w14:solidFill>
                          <w14:schemeClr w14:val="tx1"/>
                        </w14:solidFill>
                      </w14:textFill>
                    </w:rPr>
                    <w:t>1</w:t>
                  </w:r>
                </w:p>
              </w:tc>
              <w:tc>
                <w:tcPr>
                  <w:tcW w:w="2060" w:type="pct"/>
                  <w:shd w:val="clear" w:color="auto" w:fill="auto"/>
                  <w:noWrap w:val="0"/>
                  <w:vAlign w:val="center"/>
                </w:tcPr>
                <w:p w14:paraId="61FF06EF">
                  <w:pPr>
                    <w:pStyle w:val="12"/>
                    <w:wordWrap w:val="0"/>
                    <w:ind w:firstLine="0" w:firstLineChars="0"/>
                    <w:rPr>
                      <w:rFonts w:hint="default"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颗粒物</w:t>
                  </w:r>
                </w:p>
              </w:tc>
              <w:tc>
                <w:tcPr>
                  <w:tcW w:w="2253" w:type="pct"/>
                  <w:shd w:val="clear" w:color="auto" w:fill="auto"/>
                  <w:noWrap w:val="0"/>
                  <w:vAlign w:val="center"/>
                </w:tcPr>
                <w:p w14:paraId="23B2B0D9">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t>0.8802</w:t>
                  </w:r>
                </w:p>
              </w:tc>
            </w:tr>
            <w:tr w14:paraId="38DF5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85" w:type="pct"/>
                  <w:noWrap w:val="0"/>
                  <w:vAlign w:val="center"/>
                </w:tcPr>
                <w:p w14:paraId="36F0608B">
                  <w:pPr>
                    <w:autoSpaceDE w:val="0"/>
                    <w:autoSpaceDN w:val="0"/>
                    <w:spacing w:line="240" w:lineRule="auto"/>
                    <w:ind w:firstLine="0" w:firstLineChars="0"/>
                    <w:jc w:val="center"/>
                    <w:textAlignment w:val="center"/>
                    <w:rPr>
                      <w:rFonts w:hint="default" w:ascii="Times New Roman" w:hAnsi="Times New Roman" w:cs="Times New Roman"/>
                      <w:color w:val="000000" w:themeColor="text1"/>
                      <w:kern w:val="0"/>
                      <w:sz w:val="21"/>
                      <w:szCs w:val="21"/>
                      <w:lang w:bidi="ar"/>
                      <w14:textFill>
                        <w14:solidFill>
                          <w14:schemeClr w14:val="tx1"/>
                        </w14:solidFill>
                      </w14:textFill>
                    </w:rPr>
                  </w:pPr>
                  <w:r>
                    <w:rPr>
                      <w:rFonts w:hint="default" w:ascii="Times New Roman" w:hAnsi="Times New Roman" w:cs="Times New Roman"/>
                      <w:color w:val="000000" w:themeColor="text1"/>
                      <w:kern w:val="0"/>
                      <w:sz w:val="21"/>
                      <w:szCs w:val="21"/>
                      <w:lang w:bidi="ar"/>
                      <w14:textFill>
                        <w14:solidFill>
                          <w14:schemeClr w14:val="tx1"/>
                        </w14:solidFill>
                      </w14:textFill>
                    </w:rPr>
                    <w:t>2</w:t>
                  </w:r>
                </w:p>
              </w:tc>
              <w:tc>
                <w:tcPr>
                  <w:tcW w:w="2060" w:type="pct"/>
                  <w:shd w:val="clear" w:color="auto" w:fill="auto"/>
                  <w:noWrap w:val="0"/>
                  <w:vAlign w:val="center"/>
                </w:tcPr>
                <w:p w14:paraId="228435A7">
                  <w:pPr>
                    <w:pStyle w:val="12"/>
                    <w:wordWrap w:val="0"/>
                    <w:ind w:firstLine="0" w:firstLineChars="0"/>
                    <w:rPr>
                      <w:rFonts w:hint="default"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二氧化硫</w:t>
                  </w:r>
                </w:p>
              </w:tc>
              <w:tc>
                <w:tcPr>
                  <w:tcW w:w="2253" w:type="pct"/>
                  <w:shd w:val="clear" w:color="auto" w:fill="auto"/>
                  <w:noWrap w:val="0"/>
                  <w:vAlign w:val="center"/>
                </w:tcPr>
                <w:p w14:paraId="4A62701B">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1.0340 </w:t>
                  </w:r>
                </w:p>
              </w:tc>
            </w:tr>
            <w:tr w14:paraId="104D8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85" w:type="pct"/>
                  <w:noWrap w:val="0"/>
                  <w:vAlign w:val="center"/>
                </w:tcPr>
                <w:p w14:paraId="0E322F78">
                  <w:pPr>
                    <w:autoSpaceDE w:val="0"/>
                    <w:autoSpaceDN w:val="0"/>
                    <w:spacing w:line="240" w:lineRule="auto"/>
                    <w:ind w:firstLine="0" w:firstLineChars="0"/>
                    <w:jc w:val="center"/>
                    <w:textAlignment w:val="center"/>
                    <w:rPr>
                      <w:rFonts w:hint="default" w:ascii="Times New Roman" w:hAnsi="Times New Roman" w:cs="Times New Roman"/>
                      <w:color w:val="000000" w:themeColor="text1"/>
                      <w:kern w:val="0"/>
                      <w:sz w:val="21"/>
                      <w:szCs w:val="21"/>
                      <w:lang w:bidi="ar"/>
                      <w14:textFill>
                        <w14:solidFill>
                          <w14:schemeClr w14:val="tx1"/>
                        </w14:solidFill>
                      </w14:textFill>
                    </w:rPr>
                  </w:pPr>
                  <w:r>
                    <w:rPr>
                      <w:rFonts w:hint="default" w:ascii="Times New Roman" w:hAnsi="Times New Roman" w:cs="Times New Roman"/>
                      <w:color w:val="000000" w:themeColor="text1"/>
                      <w:kern w:val="0"/>
                      <w:sz w:val="21"/>
                      <w:szCs w:val="21"/>
                      <w:lang w:bidi="ar"/>
                      <w14:textFill>
                        <w14:solidFill>
                          <w14:schemeClr w14:val="tx1"/>
                        </w14:solidFill>
                      </w14:textFill>
                    </w:rPr>
                    <w:t>3</w:t>
                  </w:r>
                </w:p>
              </w:tc>
              <w:tc>
                <w:tcPr>
                  <w:tcW w:w="2060" w:type="pct"/>
                  <w:shd w:val="clear" w:color="auto" w:fill="auto"/>
                  <w:noWrap w:val="0"/>
                  <w:vAlign w:val="center"/>
                </w:tcPr>
                <w:p w14:paraId="1572FF2A">
                  <w:pPr>
                    <w:pStyle w:val="12"/>
                    <w:wordWrap w:val="0"/>
                    <w:ind w:firstLine="0" w:firstLineChars="0"/>
                    <w:rPr>
                      <w:rFonts w:hint="default"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氮氧化物</w:t>
                  </w:r>
                </w:p>
              </w:tc>
              <w:tc>
                <w:tcPr>
                  <w:tcW w:w="2253" w:type="pct"/>
                  <w:shd w:val="clear" w:color="auto" w:fill="auto"/>
                  <w:noWrap w:val="0"/>
                  <w:vAlign w:val="center"/>
                </w:tcPr>
                <w:p w14:paraId="13DE7685">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0.2257 </w:t>
                  </w:r>
                </w:p>
              </w:tc>
            </w:tr>
            <w:tr w14:paraId="33CBF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85" w:type="pct"/>
                  <w:noWrap w:val="0"/>
                  <w:vAlign w:val="center"/>
                </w:tcPr>
                <w:p w14:paraId="6185F9B0">
                  <w:pPr>
                    <w:autoSpaceDE w:val="0"/>
                    <w:autoSpaceDN w:val="0"/>
                    <w:spacing w:line="240" w:lineRule="auto"/>
                    <w:ind w:firstLine="0" w:firstLineChars="0"/>
                    <w:jc w:val="center"/>
                    <w:textAlignment w:val="center"/>
                    <w:rPr>
                      <w:rFonts w:hint="default" w:ascii="Times New Roman" w:hAnsi="Times New Roman" w:cs="Times New Roman"/>
                      <w:color w:val="000000" w:themeColor="text1"/>
                      <w:kern w:val="0"/>
                      <w:sz w:val="21"/>
                      <w:szCs w:val="21"/>
                      <w:lang w:bidi="ar"/>
                      <w14:textFill>
                        <w14:solidFill>
                          <w14:schemeClr w14:val="tx1"/>
                        </w14:solidFill>
                      </w14:textFill>
                    </w:rPr>
                  </w:pPr>
                  <w:r>
                    <w:rPr>
                      <w:rFonts w:hint="default" w:ascii="Times New Roman" w:hAnsi="Times New Roman" w:cs="Times New Roman"/>
                      <w:color w:val="000000" w:themeColor="text1"/>
                      <w:kern w:val="0"/>
                      <w:sz w:val="21"/>
                      <w:szCs w:val="21"/>
                      <w:lang w:bidi="ar"/>
                      <w14:textFill>
                        <w14:solidFill>
                          <w14:schemeClr w14:val="tx1"/>
                        </w14:solidFill>
                      </w14:textFill>
                    </w:rPr>
                    <w:t>4</w:t>
                  </w:r>
                </w:p>
              </w:tc>
              <w:tc>
                <w:tcPr>
                  <w:tcW w:w="2060" w:type="pct"/>
                  <w:shd w:val="clear" w:color="auto" w:fill="auto"/>
                  <w:noWrap w:val="0"/>
                  <w:vAlign w:val="center"/>
                </w:tcPr>
                <w:p w14:paraId="4ABE9092">
                  <w:pPr>
                    <w:pStyle w:val="12"/>
                    <w:wordWrap w:val="0"/>
                    <w:ind w:firstLine="0" w:firstLineChars="0"/>
                    <w:rPr>
                      <w:rFonts w:hint="default"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氟化物</w:t>
                  </w:r>
                </w:p>
              </w:tc>
              <w:tc>
                <w:tcPr>
                  <w:tcW w:w="2253" w:type="pct"/>
                  <w:shd w:val="clear" w:color="auto" w:fill="auto"/>
                  <w:noWrap w:val="0"/>
                  <w:vAlign w:val="center"/>
                </w:tcPr>
                <w:p w14:paraId="3C73F63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0.6853 </w:t>
                  </w:r>
                </w:p>
              </w:tc>
            </w:tr>
            <w:tr w14:paraId="5EA13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85" w:type="pct"/>
                  <w:noWrap w:val="0"/>
                  <w:vAlign w:val="center"/>
                </w:tcPr>
                <w:p w14:paraId="7EA222B3">
                  <w:pPr>
                    <w:autoSpaceDE w:val="0"/>
                    <w:autoSpaceDN w:val="0"/>
                    <w:spacing w:line="240" w:lineRule="auto"/>
                    <w:ind w:firstLine="0" w:firstLineChars="0"/>
                    <w:jc w:val="center"/>
                    <w:textAlignment w:val="center"/>
                    <w:rPr>
                      <w:rFonts w:hint="default" w:ascii="Times New Roman" w:hAnsi="Times New Roman" w:cs="Times New Roman"/>
                      <w:color w:val="000000" w:themeColor="text1"/>
                      <w:kern w:val="0"/>
                      <w:sz w:val="21"/>
                      <w:szCs w:val="21"/>
                      <w:lang w:bidi="ar"/>
                      <w14:textFill>
                        <w14:solidFill>
                          <w14:schemeClr w14:val="tx1"/>
                        </w14:solidFill>
                      </w14:textFill>
                    </w:rPr>
                  </w:pPr>
                  <w:r>
                    <w:rPr>
                      <w:rFonts w:hint="default" w:ascii="Times New Roman" w:hAnsi="Times New Roman" w:cs="Times New Roman"/>
                      <w:color w:val="000000" w:themeColor="text1"/>
                      <w:kern w:val="0"/>
                      <w:sz w:val="21"/>
                      <w:szCs w:val="21"/>
                      <w:lang w:bidi="ar"/>
                      <w14:textFill>
                        <w14:solidFill>
                          <w14:schemeClr w14:val="tx1"/>
                        </w14:solidFill>
                      </w14:textFill>
                    </w:rPr>
                    <w:t>5</w:t>
                  </w:r>
                </w:p>
              </w:tc>
              <w:tc>
                <w:tcPr>
                  <w:tcW w:w="2060" w:type="pct"/>
                  <w:shd w:val="clear" w:color="auto" w:fill="auto"/>
                  <w:noWrap w:val="0"/>
                  <w:vAlign w:val="center"/>
                </w:tcPr>
                <w:p w14:paraId="67777F84">
                  <w:pPr>
                    <w:pStyle w:val="12"/>
                    <w:wordWrap w:val="0"/>
                    <w:ind w:firstLine="0" w:firstLineChars="0"/>
                    <w:rPr>
                      <w:rFonts w:hint="default"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二噁英</w:t>
                  </w:r>
                </w:p>
              </w:tc>
              <w:tc>
                <w:tcPr>
                  <w:tcW w:w="2253" w:type="pct"/>
                  <w:shd w:val="clear" w:color="auto" w:fill="auto"/>
                  <w:noWrap w:val="0"/>
                  <w:vAlign w:val="center"/>
                </w:tcPr>
                <w:p w14:paraId="3485951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bCs/>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t>2.51</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E-09</w:t>
                  </w:r>
                </w:p>
              </w:tc>
            </w:tr>
            <w:tr w14:paraId="347F2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85" w:type="pct"/>
                  <w:noWrap w:val="0"/>
                  <w:vAlign w:val="center"/>
                </w:tcPr>
                <w:p w14:paraId="625BD3B3">
                  <w:pPr>
                    <w:autoSpaceDE w:val="0"/>
                    <w:autoSpaceDN w:val="0"/>
                    <w:spacing w:line="240" w:lineRule="auto"/>
                    <w:ind w:firstLine="0" w:firstLineChars="0"/>
                    <w:jc w:val="center"/>
                    <w:textAlignment w:val="center"/>
                    <w:rPr>
                      <w:rFonts w:hint="eastAsia"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eastAsia" w:cs="Times New Roman"/>
                      <w:color w:val="000000" w:themeColor="text1"/>
                      <w:kern w:val="0"/>
                      <w:sz w:val="21"/>
                      <w:szCs w:val="21"/>
                      <w:lang w:val="en-US" w:eastAsia="zh-CN" w:bidi="ar"/>
                      <w14:textFill>
                        <w14:solidFill>
                          <w14:schemeClr w14:val="tx1"/>
                        </w14:solidFill>
                      </w14:textFill>
                    </w:rPr>
                    <w:t>6</w:t>
                  </w:r>
                </w:p>
              </w:tc>
              <w:tc>
                <w:tcPr>
                  <w:tcW w:w="2060" w:type="pct"/>
                  <w:shd w:val="clear" w:color="auto" w:fill="auto"/>
                  <w:noWrap w:val="0"/>
                  <w:vAlign w:val="center"/>
                </w:tcPr>
                <w:p w14:paraId="2DB4254A">
                  <w:pPr>
                    <w:pStyle w:val="12"/>
                    <w:wordWrap w:val="0"/>
                    <w:ind w:firstLine="0" w:firstLineChars="0"/>
                    <w:rPr>
                      <w:rFonts w:hint="default" w:ascii="Times New Roman" w:hAnsi="Times New Roman"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VOCs</w:t>
                  </w:r>
                </w:p>
              </w:tc>
              <w:tc>
                <w:tcPr>
                  <w:tcW w:w="2253" w:type="pct"/>
                  <w:shd w:val="clear" w:color="auto" w:fill="auto"/>
                  <w:noWrap w:val="0"/>
                  <w:vAlign w:val="center"/>
                </w:tcPr>
                <w:p w14:paraId="64400AB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t>0.2694</w:t>
                  </w:r>
                </w:p>
              </w:tc>
            </w:tr>
          </w:tbl>
          <w:p w14:paraId="45E93FF3">
            <w:pPr>
              <w:ind w:firstLine="482"/>
              <w:rPr>
                <w:rFonts w:hint="default" w:eastAsia="宋体" w:cs="Times New Roman"/>
                <w:b/>
                <w:color w:val="000000" w:themeColor="text1"/>
                <w:lang w:val="en-US" w:eastAsia="zh-CN"/>
                <w14:textFill>
                  <w14:solidFill>
                    <w14:schemeClr w14:val="tx1"/>
                  </w14:solidFill>
                </w14:textFill>
              </w:rPr>
            </w:pPr>
            <w:r>
              <w:rPr>
                <w:rFonts w:hint="eastAsia" w:cs="Times New Roman"/>
                <w:b/>
                <w:color w:val="000000" w:themeColor="text1"/>
                <w:lang w:eastAsia="zh-CN"/>
                <w14:textFill>
                  <w14:solidFill>
                    <w14:schemeClr w14:val="tx1"/>
                  </w14:solidFill>
                </w14:textFill>
              </w:rPr>
              <w:t>（</w:t>
            </w:r>
            <w:r>
              <w:rPr>
                <w:rFonts w:hint="eastAsia" w:cs="Times New Roman"/>
                <w:b/>
                <w:color w:val="000000" w:themeColor="text1"/>
                <w:lang w:val="en-US" w:eastAsia="zh-CN"/>
                <w14:textFill>
                  <w14:solidFill>
                    <w14:schemeClr w14:val="tx1"/>
                  </w14:solidFill>
                </w14:textFill>
              </w:rPr>
              <w:t>3</w:t>
            </w:r>
            <w:r>
              <w:rPr>
                <w:rFonts w:hint="eastAsia" w:cs="Times New Roman"/>
                <w:b/>
                <w:color w:val="000000" w:themeColor="text1"/>
                <w:lang w:eastAsia="zh-CN"/>
                <w14:textFill>
                  <w14:solidFill>
                    <w14:schemeClr w14:val="tx1"/>
                  </w14:solidFill>
                </w14:textFill>
              </w:rPr>
              <w:t>）</w:t>
            </w:r>
            <w:r>
              <w:rPr>
                <w:rFonts w:hint="eastAsia" w:cs="Times New Roman"/>
                <w:b/>
                <w:color w:val="000000" w:themeColor="text1"/>
                <w:lang w:val="en-US" w:eastAsia="zh-CN"/>
                <w14:textFill>
                  <w14:solidFill>
                    <w14:schemeClr w14:val="tx1"/>
                  </w14:solidFill>
                </w14:textFill>
              </w:rPr>
              <w:t>大气防护距离</w:t>
            </w:r>
          </w:p>
          <w:p w14:paraId="17E9FA19">
            <w:pPr>
              <w:pStyle w:val="66"/>
              <w:adjustRightInd w:val="0"/>
              <w:snapToGrid w:val="0"/>
              <w:spacing w:beforeLines="0"/>
              <w:ind w:firstLine="480"/>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根据《环境影响评价技术导则—大气环境》（HJ2.2-2018），对于项目厂界浓度满足大气污染物厂界浓度限值，但厂界外大气污染物短期贡献浓度超过环境质量浓度限值的，可以自厂界外设置一定范围的大气环境防护区域，以确保大气环境防护区域外的污染物贡献浓度满足环境质量标准。根据估算 模式的预测结果，正常工况下，本项目有组织排放及无组织排放下风向最大落地浓度占标率均小于10%，厂界外不存在短期贡献浓度超标点。</w:t>
            </w:r>
          </w:p>
          <w:p w14:paraId="7F82590F">
            <w:pPr>
              <w:spacing w:beforeLines="0"/>
              <w:ind w:firstLine="482"/>
              <w:rPr>
                <w:rFonts w:cs="Times New Roman"/>
                <w:b/>
                <w:color w:val="000000" w:themeColor="text1"/>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因此，本项目无需设置大气防护距离。</w:t>
            </w:r>
          </w:p>
          <w:p w14:paraId="068C9C5A">
            <w:pPr>
              <w:spacing w:beforeLines="0"/>
              <w:ind w:firstLine="482"/>
              <w:rPr>
                <w:rFonts w:hint="default" w:eastAsia="宋体" w:cs="Times New Roman"/>
                <w:b/>
                <w:color w:val="000000" w:themeColor="text1"/>
                <w:lang w:val="en-US" w:eastAsia="zh-CN"/>
                <w14:textFill>
                  <w14:solidFill>
                    <w14:schemeClr w14:val="tx1"/>
                  </w14:solidFill>
                </w14:textFill>
              </w:rPr>
            </w:pPr>
            <w:r>
              <w:rPr>
                <w:rFonts w:hint="eastAsia" w:cs="Times New Roman"/>
                <w:b/>
                <w:color w:val="000000" w:themeColor="text1"/>
                <w:lang w:eastAsia="zh-CN"/>
                <w14:textFill>
                  <w14:solidFill>
                    <w14:schemeClr w14:val="tx1"/>
                  </w14:solidFill>
                </w14:textFill>
              </w:rPr>
              <w:t>（</w:t>
            </w:r>
            <w:r>
              <w:rPr>
                <w:rFonts w:hint="eastAsia" w:cs="Times New Roman"/>
                <w:b/>
                <w:color w:val="000000" w:themeColor="text1"/>
                <w:lang w:val="en-US" w:eastAsia="zh-CN"/>
                <w14:textFill>
                  <w14:solidFill>
                    <w14:schemeClr w14:val="tx1"/>
                  </w14:solidFill>
                </w14:textFill>
              </w:rPr>
              <w:t>4</w:t>
            </w:r>
            <w:r>
              <w:rPr>
                <w:rFonts w:hint="eastAsia" w:cs="Times New Roman"/>
                <w:b/>
                <w:color w:val="000000" w:themeColor="text1"/>
                <w:lang w:eastAsia="zh-CN"/>
                <w14:textFill>
                  <w14:solidFill>
                    <w14:schemeClr w14:val="tx1"/>
                  </w14:solidFill>
                </w14:textFill>
              </w:rPr>
              <w:t>）</w:t>
            </w:r>
            <w:r>
              <w:rPr>
                <w:rFonts w:hint="eastAsia" w:cs="Times New Roman"/>
                <w:b/>
                <w:color w:val="000000" w:themeColor="text1"/>
                <w:lang w:val="en-US" w:eastAsia="zh-CN"/>
                <w14:textFill>
                  <w14:solidFill>
                    <w14:schemeClr w14:val="tx1"/>
                  </w14:solidFill>
                </w14:textFill>
              </w:rPr>
              <w:t>卫生防护距离</w:t>
            </w:r>
          </w:p>
          <w:p w14:paraId="37746DB0">
            <w:pPr>
              <w:overflowPunct w:val="0"/>
              <w:autoSpaceDE w:val="0"/>
              <w:autoSpaceDN w:val="0"/>
              <w:adjustRightInd w:val="0"/>
              <w:snapToGrid w:val="0"/>
              <w:spacing w:before="0" w:beforeLines="0"/>
              <w:ind w:firstLine="480" w:firstLineChars="200"/>
              <w:textAlignment w:val="baseline"/>
              <w:rPr>
                <w:rFonts w:hint="default" w:ascii="Times New Roman" w:hAnsi="Times New Roman" w:eastAsia="宋体" w:cs="Times New Roman"/>
                <w:color w:val="000000" w:themeColor="text1"/>
                <w:kern w:val="2"/>
                <w:sz w:val="24"/>
                <w:szCs w:val="24"/>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根据《大气有害物质无组织排放卫生防护距离推导技术导则》（GB/T39499-2020）</w:t>
            </w:r>
            <w:r>
              <w:rPr>
                <w:rFonts w:hint="eastAsia" w:ascii="Times New Roman" w:hAnsi="Times New Roman" w:cs="Times New Roman"/>
                <w:b w:val="0"/>
                <w:bCs w:val="0"/>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kern w:val="2"/>
                <w:sz w:val="24"/>
                <w:szCs w:val="24"/>
                <w:lang w:eastAsia="zh-CN"/>
                <w14:textFill>
                  <w14:solidFill>
                    <w14:schemeClr w14:val="tx1"/>
                  </w14:solidFill>
                </w14:textFill>
              </w:rPr>
              <w:t>本项目卫生防护距离为以</w:t>
            </w:r>
            <w:r>
              <w:rPr>
                <w:rFonts w:hint="default" w:ascii="Times New Roman" w:hAnsi="Times New Roman" w:eastAsia="宋体" w:cs="Times New Roman"/>
                <w:color w:val="000000" w:themeColor="text1"/>
                <w:kern w:val="2"/>
                <w:sz w:val="24"/>
                <w:szCs w:val="24"/>
                <w:lang w:val="en-US" w:eastAsia="zh-CN"/>
                <w14:textFill>
                  <w14:solidFill>
                    <w14:schemeClr w14:val="tx1"/>
                  </w14:solidFill>
                </w14:textFill>
              </w:rPr>
              <w:t>2号、3号厂房整体区域</w:t>
            </w:r>
            <w:r>
              <w:rPr>
                <w:rFonts w:hint="default" w:ascii="Times New Roman" w:hAnsi="Times New Roman" w:eastAsia="宋体" w:cs="Times New Roman"/>
                <w:color w:val="000000" w:themeColor="text1"/>
                <w:kern w:val="2"/>
                <w:sz w:val="24"/>
                <w:szCs w:val="24"/>
                <w:lang w:eastAsia="zh-CN"/>
                <w14:textFill>
                  <w14:solidFill>
                    <w14:schemeClr w14:val="tx1"/>
                  </w14:solidFill>
                </w14:textFill>
              </w:rPr>
              <w:t>边界</w:t>
            </w:r>
            <w:r>
              <w:rPr>
                <w:rFonts w:hint="default" w:ascii="Times New Roman" w:hAnsi="Times New Roman" w:cs="Times New Roman"/>
                <w:color w:val="000000" w:themeColor="text1"/>
                <w:kern w:val="2"/>
                <w:sz w:val="24"/>
                <w:szCs w:val="24"/>
                <w:lang w:val="en-US" w:eastAsia="zh-CN"/>
                <w14:textFill>
                  <w14:solidFill>
                    <w14:schemeClr w14:val="tx1"/>
                  </w14:solidFill>
                </w14:textFill>
              </w:rPr>
              <w:t>为起点</w:t>
            </w:r>
            <w:r>
              <w:rPr>
                <w:rFonts w:hint="default" w:ascii="Times New Roman" w:hAnsi="Times New Roman" w:eastAsia="宋体" w:cs="Times New Roman"/>
                <w:color w:val="000000" w:themeColor="text1"/>
                <w:kern w:val="2"/>
                <w:sz w:val="24"/>
                <w:szCs w:val="24"/>
                <w:lang w:eastAsia="zh-CN"/>
                <w14:textFill>
                  <w14:solidFill>
                    <w14:schemeClr w14:val="tx1"/>
                  </w14:solidFill>
                </w14:textFill>
              </w:rPr>
              <w:t>划定</w:t>
            </w:r>
            <w:r>
              <w:rPr>
                <w:rFonts w:hint="default" w:ascii="Times New Roman" w:hAnsi="Times New Roman" w:cs="Times New Roman"/>
                <w:color w:val="000000" w:themeColor="text1"/>
                <w:kern w:val="2"/>
                <w:sz w:val="24"/>
                <w:szCs w:val="24"/>
                <w:lang w:val="en-US" w:eastAsia="zh-CN"/>
                <w14:textFill>
                  <w14:solidFill>
                    <w14:schemeClr w14:val="tx1"/>
                  </w14:solidFill>
                </w14:textFill>
              </w:rPr>
              <w:t>50</w:t>
            </w:r>
            <w:r>
              <w:rPr>
                <w:rFonts w:hint="default" w:ascii="Times New Roman" w:hAnsi="Times New Roman" w:eastAsia="宋体" w:cs="Times New Roman"/>
                <w:color w:val="000000" w:themeColor="text1"/>
                <w:kern w:val="2"/>
                <w:sz w:val="24"/>
                <w:szCs w:val="24"/>
                <w:lang w:val="en-US" w:eastAsia="zh-CN"/>
                <w14:textFill>
                  <w14:solidFill>
                    <w14:schemeClr w14:val="tx1"/>
                  </w14:solidFill>
                </w14:textFill>
              </w:rPr>
              <w:t>m卫生防护距离包络线。本项目卫生防护距离图见附图</w:t>
            </w:r>
            <w:r>
              <w:rPr>
                <w:rFonts w:hint="default" w:ascii="Times New Roman" w:hAnsi="Times New Roman" w:cs="Times New Roman"/>
                <w:color w:val="000000" w:themeColor="text1"/>
                <w:kern w:val="2"/>
                <w:sz w:val="24"/>
                <w:szCs w:val="24"/>
                <w:lang w:val="en-US" w:eastAsia="zh-CN"/>
                <w14:textFill>
                  <w14:solidFill>
                    <w14:schemeClr w14:val="tx1"/>
                  </w14:solidFill>
                </w14:textFill>
              </w:rPr>
              <w:t>6</w:t>
            </w:r>
            <w:r>
              <w:rPr>
                <w:rFonts w:hint="default" w:ascii="Times New Roman" w:hAnsi="Times New Roman" w:eastAsia="宋体" w:cs="Times New Roman"/>
                <w:color w:val="000000" w:themeColor="text1"/>
                <w:kern w:val="2"/>
                <w:sz w:val="24"/>
                <w:szCs w:val="24"/>
                <w:lang w:val="en-US" w:eastAsia="zh-CN"/>
                <w14:textFill>
                  <w14:solidFill>
                    <w14:schemeClr w14:val="tx1"/>
                  </w14:solidFill>
                </w14:textFill>
              </w:rPr>
              <w:t>。</w:t>
            </w:r>
          </w:p>
          <w:p w14:paraId="08BF3073">
            <w:pPr>
              <w:overflowPunct w:val="0"/>
              <w:autoSpaceDE w:val="0"/>
              <w:autoSpaceDN w:val="0"/>
              <w:adjustRightInd w:val="0"/>
              <w:snapToGrid w:val="0"/>
              <w:spacing w:before="0" w:beforeLines="0"/>
              <w:ind w:firstLine="480" w:firstLineChars="200"/>
              <w:textAlignment w:val="baseline"/>
              <w:rPr>
                <w:rFonts w:cs="Times New Roman"/>
                <w:b/>
                <w:color w:val="000000" w:themeColor="text1"/>
                <w14:textFill>
                  <w14:solidFill>
                    <w14:schemeClr w14:val="tx1"/>
                  </w14:solidFill>
                </w14:textFill>
              </w:rPr>
            </w:pPr>
            <w:r>
              <w:rPr>
                <w:rFonts w:hint="default" w:ascii="Times New Roman" w:hAnsi="Times New Roman" w:eastAsia="宋体" w:cs="Times New Roman"/>
                <w:color w:val="000000" w:themeColor="text1"/>
                <w:kern w:val="0"/>
                <w:sz w:val="24"/>
                <w:szCs w:val="24"/>
                <w14:textFill>
                  <w14:solidFill>
                    <w14:schemeClr w14:val="tx1"/>
                  </w14:solidFill>
                </w14:textFill>
              </w:rPr>
              <w:t>根据现场踏勘情况及总平面布置图</w:t>
            </w:r>
            <w:r>
              <w:rPr>
                <w:rFonts w:hint="default" w:ascii="Times New Roman" w:hAnsi="Times New Roman" w:eastAsia="宋体" w:cs="Times New Roman"/>
                <w:color w:val="000000" w:themeColor="text1"/>
                <w:kern w:val="0"/>
                <w:sz w:val="24"/>
                <w:szCs w:val="24"/>
                <w:lang w:eastAsia="zh-CN"/>
                <w14:textFill>
                  <w14:solidFill>
                    <w14:schemeClr w14:val="tx1"/>
                  </w14:solidFill>
                </w14:textFill>
              </w:rPr>
              <w:t>、</w:t>
            </w:r>
            <w:r>
              <w:rPr>
                <w:rFonts w:hint="default" w:ascii="Times New Roman" w:hAnsi="Times New Roman" w:eastAsia="宋体" w:cs="Times New Roman"/>
                <w:color w:val="000000" w:themeColor="text1"/>
                <w:kern w:val="0"/>
                <w:sz w:val="24"/>
                <w:szCs w:val="24"/>
                <w14:textFill>
                  <w14:solidFill>
                    <w14:schemeClr w14:val="tx1"/>
                  </w14:solidFill>
                </w14:textFill>
              </w:rPr>
              <w:t>项目外环境关系可知，本项目</w:t>
            </w:r>
            <w:r>
              <w:rPr>
                <w:rFonts w:hint="default" w:ascii="Times New Roman" w:hAnsi="Times New Roman" w:cs="Times New Roman"/>
                <w:color w:val="000000" w:themeColor="text1"/>
                <w:kern w:val="0"/>
                <w:sz w:val="24"/>
                <w:szCs w:val="24"/>
                <w:lang w:val="en-US" w:eastAsia="zh-CN"/>
                <w14:textFill>
                  <w14:solidFill>
                    <w14:schemeClr w14:val="tx1"/>
                  </w14:solidFill>
                </w14:textFill>
              </w:rPr>
              <w:t>5</w:t>
            </w:r>
            <w:r>
              <w:rPr>
                <w:rFonts w:hint="default" w:ascii="Times New Roman" w:hAnsi="Times New Roman" w:eastAsia="宋体" w:cs="Times New Roman"/>
                <w:color w:val="000000" w:themeColor="text1"/>
                <w:kern w:val="0"/>
                <w:sz w:val="24"/>
                <w:szCs w:val="24"/>
                <w:lang w:val="en-US" w:eastAsia="zh-CN"/>
                <w14:textFill>
                  <w14:solidFill>
                    <w14:schemeClr w14:val="tx1"/>
                  </w14:solidFill>
                </w14:textFill>
              </w:rPr>
              <w:t>0</w:t>
            </w:r>
            <w:r>
              <w:rPr>
                <w:rFonts w:hint="default" w:ascii="Times New Roman" w:hAnsi="Times New Roman" w:eastAsia="宋体" w:cs="Times New Roman"/>
                <w:color w:val="000000" w:themeColor="text1"/>
                <w:kern w:val="0"/>
                <w:sz w:val="24"/>
                <w:szCs w:val="24"/>
                <w14:textFill>
                  <w14:solidFill>
                    <w14:schemeClr w14:val="tx1"/>
                  </w14:solidFill>
                </w14:textFill>
              </w:rPr>
              <w:t>m卫生防护距离内无环境敏感</w:t>
            </w:r>
            <w:r>
              <w:rPr>
                <w:rFonts w:hint="default" w:ascii="Times New Roman" w:hAnsi="Times New Roman" w:eastAsia="宋体" w:cs="Times New Roman"/>
                <w:color w:val="000000" w:themeColor="text1"/>
                <w:kern w:val="0"/>
                <w:sz w:val="24"/>
                <w:szCs w:val="24"/>
                <w:lang w:eastAsia="zh-CN"/>
                <w14:textFill>
                  <w14:solidFill>
                    <w14:schemeClr w14:val="tx1"/>
                  </w14:solidFill>
                </w14:textFill>
              </w:rPr>
              <w:t>保护</w:t>
            </w:r>
            <w:r>
              <w:rPr>
                <w:rFonts w:hint="default" w:ascii="Times New Roman" w:hAnsi="Times New Roman" w:eastAsia="宋体" w:cs="Times New Roman"/>
                <w:color w:val="000000" w:themeColor="text1"/>
                <w:kern w:val="0"/>
                <w:sz w:val="24"/>
                <w:szCs w:val="24"/>
                <w14:textFill>
                  <w14:solidFill>
                    <w14:schemeClr w14:val="tx1"/>
                  </w14:solidFill>
                </w14:textFill>
              </w:rPr>
              <w:t>目标</w:t>
            </w:r>
            <w:r>
              <w:rPr>
                <w:rFonts w:hint="default" w:ascii="Times New Roman" w:hAnsi="Times New Roman" w:eastAsia="宋体" w:cs="Times New Roman"/>
                <w:color w:val="000000" w:themeColor="text1"/>
                <w:kern w:val="0"/>
                <w:sz w:val="24"/>
                <w:szCs w:val="24"/>
                <w:lang w:eastAsia="zh-CN"/>
                <w14:textFill>
                  <w14:solidFill>
                    <w14:schemeClr w14:val="tx1"/>
                  </w14:solidFill>
                </w14:textFill>
              </w:rPr>
              <w:t>、不涉及食品及医药加工企业</w:t>
            </w:r>
            <w:r>
              <w:rPr>
                <w:rFonts w:hint="default" w:ascii="Times New Roman" w:hAnsi="Times New Roman" w:eastAsia="宋体" w:cs="Times New Roman"/>
                <w:color w:val="000000" w:themeColor="text1"/>
                <w:kern w:val="0"/>
                <w:sz w:val="24"/>
                <w:szCs w:val="24"/>
                <w14:textFill>
                  <w14:solidFill>
                    <w14:schemeClr w14:val="tx1"/>
                  </w14:solidFill>
                </w14:textFill>
              </w:rPr>
              <w:t>。同时，评价要求项目建成后，该卫生防护距离范围内禁止新建居民住宅、医院、学校等民用设施和食品、医药等对大气环境质量要求较高企业。建设单位应切实加强环境管理，尽可能减少</w:t>
            </w:r>
            <w:r>
              <w:rPr>
                <w:rFonts w:hint="default" w:ascii="Times New Roman" w:hAnsi="Times New Roman" w:eastAsia="宋体" w:cs="Times New Roman"/>
                <w:color w:val="000000" w:themeColor="text1"/>
                <w:kern w:val="0"/>
                <w:sz w:val="24"/>
                <w:szCs w:val="24"/>
                <w:lang w:eastAsia="zh-CN"/>
                <w14:textFill>
                  <w14:solidFill>
                    <w14:schemeClr w14:val="tx1"/>
                  </w14:solidFill>
                </w14:textFill>
              </w:rPr>
              <w:t>有机废气、</w:t>
            </w:r>
            <w:r>
              <w:rPr>
                <w:rFonts w:hint="default" w:ascii="Times New Roman" w:hAnsi="Times New Roman" w:eastAsia="宋体" w:cs="Times New Roman"/>
                <w:color w:val="000000" w:themeColor="text1"/>
                <w:kern w:val="0"/>
                <w:sz w:val="24"/>
                <w:szCs w:val="24"/>
                <w14:textFill>
                  <w14:solidFill>
                    <w14:schemeClr w14:val="tx1"/>
                  </w14:solidFill>
                </w14:textFill>
              </w:rPr>
              <w:t>粉尘对周边居民的影响。</w:t>
            </w:r>
          </w:p>
          <w:p w14:paraId="4D18DD12">
            <w:pPr>
              <w:ind w:firstLine="482"/>
              <w:rPr>
                <w:rFonts w:hint="default" w:eastAsia="宋体" w:cs="Times New Roman"/>
                <w:b/>
                <w:color w:val="000000" w:themeColor="text1"/>
                <w:lang w:val="en-US" w:eastAsia="zh-CN"/>
                <w14:textFill>
                  <w14:solidFill>
                    <w14:schemeClr w14:val="tx1"/>
                  </w14:solidFill>
                </w14:textFill>
              </w:rPr>
            </w:pPr>
            <w:r>
              <w:rPr>
                <w:rFonts w:hint="eastAsia" w:cs="Times New Roman"/>
                <w:b/>
                <w:color w:val="000000" w:themeColor="text1"/>
                <w:lang w:eastAsia="zh-CN"/>
                <w14:textFill>
                  <w14:solidFill>
                    <w14:schemeClr w14:val="tx1"/>
                  </w14:solidFill>
                </w14:textFill>
              </w:rPr>
              <w:t>（</w:t>
            </w:r>
            <w:r>
              <w:rPr>
                <w:rFonts w:hint="eastAsia" w:cs="Times New Roman"/>
                <w:b/>
                <w:color w:val="000000" w:themeColor="text1"/>
                <w:lang w:val="en-US" w:eastAsia="zh-CN"/>
                <w14:textFill>
                  <w14:solidFill>
                    <w14:schemeClr w14:val="tx1"/>
                  </w14:solidFill>
                </w14:textFill>
              </w:rPr>
              <w:t>5</w:t>
            </w:r>
            <w:r>
              <w:rPr>
                <w:rFonts w:hint="eastAsia" w:cs="Times New Roman"/>
                <w:b/>
                <w:color w:val="000000" w:themeColor="text1"/>
                <w:lang w:eastAsia="zh-CN"/>
                <w14:textFill>
                  <w14:solidFill>
                    <w14:schemeClr w14:val="tx1"/>
                  </w14:solidFill>
                </w14:textFill>
              </w:rPr>
              <w:t>）</w:t>
            </w:r>
            <w:r>
              <w:rPr>
                <w:rFonts w:hint="eastAsia" w:cs="Times New Roman"/>
                <w:b/>
                <w:color w:val="000000" w:themeColor="text1"/>
                <w:lang w:val="en-US" w:eastAsia="zh-CN"/>
                <w14:textFill>
                  <w14:solidFill>
                    <w14:schemeClr w14:val="tx1"/>
                  </w14:solidFill>
                </w14:textFill>
              </w:rPr>
              <w:t>废气排放口基本情况</w:t>
            </w:r>
          </w:p>
          <w:p w14:paraId="44782803">
            <w:pPr>
              <w:adjustRightInd w:val="0"/>
              <w:snapToGrid w:val="0"/>
              <w:ind w:firstLine="440" w:firstLineChars="200"/>
              <w:rPr>
                <w:rFonts w:hint="default" w:ascii="Times New Roman" w:hAnsi="Times New Roman" w:cs="Times New Roman"/>
                <w:bCs/>
                <w:color w:val="000000" w:themeColor="text1"/>
                <w:spacing w:val="-10"/>
                <w14:textFill>
                  <w14:solidFill>
                    <w14:schemeClr w14:val="tx1"/>
                  </w14:solidFill>
                </w14:textFill>
              </w:rPr>
            </w:pPr>
            <w:r>
              <w:rPr>
                <w:rFonts w:hint="default" w:ascii="Times New Roman" w:hAnsi="Times New Roman" w:cs="Times New Roman"/>
                <w:bCs/>
                <w:color w:val="000000" w:themeColor="text1"/>
                <w:spacing w:val="-10"/>
                <w14:textFill>
                  <w14:solidFill>
                    <w14:schemeClr w14:val="tx1"/>
                  </w14:solidFill>
                </w14:textFill>
              </w:rPr>
              <w:t>本项目营运期废气排放口基本情况</w:t>
            </w:r>
            <w:r>
              <w:rPr>
                <w:rFonts w:hint="eastAsia" w:cs="Times New Roman"/>
                <w:bCs/>
                <w:color w:val="000000" w:themeColor="text1"/>
                <w:spacing w:val="-10"/>
                <w:lang w:eastAsia="zh-CN"/>
                <w14:textFill>
                  <w14:solidFill>
                    <w14:schemeClr w14:val="tx1"/>
                  </w14:solidFill>
                </w14:textFill>
              </w:rPr>
              <w:t>如下</w:t>
            </w:r>
            <w:r>
              <w:rPr>
                <w:rFonts w:hint="default" w:ascii="Times New Roman" w:hAnsi="Times New Roman" w:cs="Times New Roman"/>
                <w:bCs/>
                <w:color w:val="000000" w:themeColor="text1"/>
                <w:spacing w:val="-10"/>
                <w14:textFill>
                  <w14:solidFill>
                    <w14:schemeClr w14:val="tx1"/>
                  </w14:solidFill>
                </w14:textFill>
              </w:rPr>
              <w:t>所示。</w:t>
            </w:r>
          </w:p>
          <w:p w14:paraId="404117CB">
            <w:pPr>
              <w:adjustRightInd w:val="0"/>
              <w:snapToGrid w:val="0"/>
              <w:spacing w:line="276" w:lineRule="auto"/>
              <w:jc w:val="center"/>
              <w:rPr>
                <w:rFonts w:hint="default" w:ascii="Times New Roman" w:hAnsi="Times New Roman" w:cs="Times New Roman"/>
                <w:b/>
                <w:bCs/>
                <w:color w:val="000000" w:themeColor="text1"/>
                <w:sz w:val="21"/>
                <w:szCs w:val="21"/>
                <w14:textFill>
                  <w14:solidFill>
                    <w14:schemeClr w14:val="tx1"/>
                  </w14:solidFill>
                </w14:textFill>
              </w:rPr>
            </w:pPr>
            <w:bookmarkStart w:id="61" w:name="_Ref73125246"/>
            <w:r>
              <w:rPr>
                <w:rFonts w:hint="default" w:ascii="Times New Roman" w:hAnsi="Times New Roman" w:cs="Times New Roman"/>
                <w:b/>
                <w:bCs/>
                <w:color w:val="000000" w:themeColor="text1"/>
                <w:sz w:val="21"/>
                <w:szCs w:val="21"/>
                <w14:textFill>
                  <w14:solidFill>
                    <w14:schemeClr w14:val="tx1"/>
                  </w14:solidFill>
                </w14:textFill>
              </w:rPr>
              <w:t>表</w:t>
            </w:r>
            <w:r>
              <w:rPr>
                <w:rFonts w:hint="eastAsia" w:cs="Times New Roman"/>
                <w:b/>
                <w:bCs/>
                <w:color w:val="000000" w:themeColor="text1"/>
                <w:sz w:val="21"/>
                <w:szCs w:val="21"/>
                <w:lang w:val="en-US" w:eastAsia="zh-CN"/>
                <w14:textFill>
                  <w14:solidFill>
                    <w14:schemeClr w14:val="tx1"/>
                  </w14:solidFill>
                </w14:textFill>
              </w:rPr>
              <w:t>4-8</w:t>
            </w:r>
            <w:r>
              <w:rPr>
                <w:rFonts w:hint="default" w:ascii="Times New Roman" w:hAnsi="Times New Roman" w:cs="Times New Roman"/>
                <w:b/>
                <w:bCs/>
                <w:color w:val="000000" w:themeColor="text1"/>
                <w:sz w:val="21"/>
                <w:szCs w:val="21"/>
                <w14:textFill>
                  <w14:solidFill>
                    <w14:schemeClr w14:val="tx1"/>
                  </w14:solidFill>
                </w14:textFill>
              </w:rPr>
              <w:t xml:space="preserve">  营运期废气排放口基本情况</w:t>
            </w:r>
            <w:bookmarkEnd w:id="61"/>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6"/>
              <w:gridCol w:w="647"/>
              <w:gridCol w:w="1398"/>
              <w:gridCol w:w="883"/>
              <w:gridCol w:w="935"/>
              <w:gridCol w:w="794"/>
              <w:gridCol w:w="750"/>
              <w:gridCol w:w="703"/>
              <w:gridCol w:w="885"/>
              <w:gridCol w:w="870"/>
              <w:gridCol w:w="813"/>
            </w:tblGrid>
            <w:tr w14:paraId="61F5B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439" w:type="pct"/>
                  <w:vMerge w:val="restart"/>
                  <w:vAlign w:val="center"/>
                </w:tcPr>
                <w:p w14:paraId="496A7C15">
                  <w:pPr>
                    <w:pStyle w:val="45"/>
                    <w:wordWrap w:val="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排放口编号</w:t>
                  </w:r>
                </w:p>
              </w:tc>
              <w:tc>
                <w:tcPr>
                  <w:tcW w:w="340" w:type="pct"/>
                  <w:vMerge w:val="restart"/>
                  <w:vAlign w:val="center"/>
                </w:tcPr>
                <w:p w14:paraId="15270EC5">
                  <w:pPr>
                    <w:pStyle w:val="45"/>
                    <w:wordWrap w:val="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名称</w:t>
                  </w:r>
                </w:p>
              </w:tc>
              <w:tc>
                <w:tcPr>
                  <w:tcW w:w="734" w:type="pct"/>
                  <w:vMerge w:val="restart"/>
                  <w:vAlign w:val="center"/>
                </w:tcPr>
                <w:p w14:paraId="166E4694">
                  <w:pPr>
                    <w:pStyle w:val="45"/>
                    <w:wordWrap w:val="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种类</w:t>
                  </w:r>
                </w:p>
              </w:tc>
              <w:tc>
                <w:tcPr>
                  <w:tcW w:w="955" w:type="pct"/>
                  <w:gridSpan w:val="2"/>
                  <w:vAlign w:val="center"/>
                </w:tcPr>
                <w:p w14:paraId="2976F7E7">
                  <w:pPr>
                    <w:pStyle w:val="45"/>
                    <w:wordWrap w:val="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排放口地理坐标</w:t>
                  </w:r>
                </w:p>
              </w:tc>
              <w:tc>
                <w:tcPr>
                  <w:tcW w:w="417" w:type="pct"/>
                  <w:vMerge w:val="restart"/>
                  <w:vAlign w:val="center"/>
                </w:tcPr>
                <w:p w14:paraId="541132FB">
                  <w:pPr>
                    <w:pStyle w:val="45"/>
                    <w:wordWrap w:val="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排气筒高度m</w:t>
                  </w:r>
                </w:p>
              </w:tc>
              <w:tc>
                <w:tcPr>
                  <w:tcW w:w="394" w:type="pct"/>
                  <w:vMerge w:val="restart"/>
                  <w:vAlign w:val="center"/>
                </w:tcPr>
                <w:p w14:paraId="32DDADC3">
                  <w:pPr>
                    <w:pStyle w:val="45"/>
                    <w:wordWrap w:val="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排气筒内径m</w:t>
                  </w:r>
                </w:p>
              </w:tc>
              <w:tc>
                <w:tcPr>
                  <w:tcW w:w="369" w:type="pct"/>
                  <w:vMerge w:val="restart"/>
                  <w:vAlign w:val="center"/>
                </w:tcPr>
                <w:p w14:paraId="1509D84B">
                  <w:pPr>
                    <w:pStyle w:val="45"/>
                    <w:wordWrap w:val="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温度℃</w:t>
                  </w:r>
                </w:p>
              </w:tc>
              <w:tc>
                <w:tcPr>
                  <w:tcW w:w="465" w:type="pct"/>
                  <w:vMerge w:val="restart"/>
                  <w:vAlign w:val="center"/>
                </w:tcPr>
                <w:p w14:paraId="1299B3E6">
                  <w:pPr>
                    <w:pStyle w:val="45"/>
                    <w:wordWrap w:val="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烟气量m</w:t>
                  </w:r>
                  <w:r>
                    <w:rPr>
                      <w:rFonts w:hint="default" w:ascii="Times New Roman" w:hAnsi="Times New Roman" w:cs="Times New Roman"/>
                      <w:color w:val="000000" w:themeColor="text1"/>
                      <w:vertAlign w:val="superscript"/>
                      <w14:textFill>
                        <w14:solidFill>
                          <w14:schemeClr w14:val="tx1"/>
                        </w14:solidFill>
                      </w14:textFill>
                    </w:rPr>
                    <w:t>3</w:t>
                  </w:r>
                  <w:r>
                    <w:rPr>
                      <w:rFonts w:hint="default" w:ascii="Times New Roman" w:hAnsi="Times New Roman" w:cs="Times New Roman"/>
                      <w:color w:val="000000" w:themeColor="text1"/>
                      <w14:textFill>
                        <w14:solidFill>
                          <w14:schemeClr w14:val="tx1"/>
                        </w14:solidFill>
                      </w14:textFill>
                    </w:rPr>
                    <w:t>/h</w:t>
                  </w:r>
                </w:p>
              </w:tc>
              <w:tc>
                <w:tcPr>
                  <w:tcW w:w="457" w:type="pct"/>
                  <w:vMerge w:val="restart"/>
                  <w:vAlign w:val="center"/>
                </w:tcPr>
                <w:p w14:paraId="7D5FDEDD">
                  <w:pPr>
                    <w:pStyle w:val="45"/>
                    <w:wordWrap w:val="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排放口类型</w:t>
                  </w:r>
                </w:p>
              </w:tc>
              <w:tc>
                <w:tcPr>
                  <w:tcW w:w="427" w:type="pct"/>
                  <w:vMerge w:val="restart"/>
                  <w:vAlign w:val="center"/>
                </w:tcPr>
                <w:p w14:paraId="51BF8F3A">
                  <w:pPr>
                    <w:pStyle w:val="45"/>
                    <w:wordWrap w:val="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排放去向</w:t>
                  </w:r>
                </w:p>
              </w:tc>
            </w:tr>
            <w:tr w14:paraId="328C3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439" w:type="pct"/>
                  <w:vMerge w:val="continue"/>
                  <w:vAlign w:val="center"/>
                </w:tcPr>
                <w:p w14:paraId="391579E0">
                  <w:pPr>
                    <w:pStyle w:val="45"/>
                    <w:wordWrap w:val="0"/>
                    <w:rPr>
                      <w:rFonts w:hint="default" w:ascii="Times New Roman" w:hAnsi="Times New Roman" w:cs="Times New Roman"/>
                      <w:color w:val="000000" w:themeColor="text1"/>
                      <w14:textFill>
                        <w14:solidFill>
                          <w14:schemeClr w14:val="tx1"/>
                        </w14:solidFill>
                      </w14:textFill>
                    </w:rPr>
                  </w:pPr>
                </w:p>
              </w:tc>
              <w:tc>
                <w:tcPr>
                  <w:tcW w:w="340" w:type="pct"/>
                  <w:vMerge w:val="continue"/>
                  <w:vAlign w:val="center"/>
                </w:tcPr>
                <w:p w14:paraId="07F158E0">
                  <w:pPr>
                    <w:pStyle w:val="45"/>
                    <w:wordWrap w:val="0"/>
                    <w:rPr>
                      <w:rFonts w:hint="default" w:ascii="Times New Roman" w:hAnsi="Times New Roman" w:cs="Times New Roman"/>
                      <w:color w:val="000000" w:themeColor="text1"/>
                      <w14:textFill>
                        <w14:solidFill>
                          <w14:schemeClr w14:val="tx1"/>
                        </w14:solidFill>
                      </w14:textFill>
                    </w:rPr>
                  </w:pPr>
                </w:p>
              </w:tc>
              <w:tc>
                <w:tcPr>
                  <w:tcW w:w="734" w:type="pct"/>
                  <w:vMerge w:val="continue"/>
                  <w:vAlign w:val="center"/>
                </w:tcPr>
                <w:p w14:paraId="50EB3C53">
                  <w:pPr>
                    <w:pStyle w:val="45"/>
                    <w:wordWrap w:val="0"/>
                    <w:rPr>
                      <w:rFonts w:hint="default" w:ascii="Times New Roman" w:hAnsi="Times New Roman" w:cs="Times New Roman"/>
                      <w:color w:val="000000" w:themeColor="text1"/>
                      <w14:textFill>
                        <w14:solidFill>
                          <w14:schemeClr w14:val="tx1"/>
                        </w14:solidFill>
                      </w14:textFill>
                    </w:rPr>
                  </w:pPr>
                </w:p>
              </w:tc>
              <w:tc>
                <w:tcPr>
                  <w:tcW w:w="464" w:type="pct"/>
                  <w:vAlign w:val="center"/>
                </w:tcPr>
                <w:p w14:paraId="5AB49478">
                  <w:pPr>
                    <w:pStyle w:val="45"/>
                    <w:wordWrap w:val="0"/>
                    <w:rPr>
                      <w:rFonts w:hint="default" w:ascii="Times New Roman" w:hAnsi="Times New Roman" w:cs="Times New Roman"/>
                      <w:color w:val="000000" w:themeColor="text1"/>
                      <w14:textFill>
                        <w14:solidFill>
                          <w14:schemeClr w14:val="tx1"/>
                        </w14:solidFill>
                      </w14:textFill>
                    </w:rPr>
                  </w:pPr>
                  <w:bookmarkStart w:id="62" w:name="OLE_LINK148"/>
                  <w:r>
                    <w:rPr>
                      <w:rFonts w:hint="default" w:ascii="Times New Roman" w:hAnsi="Times New Roman" w:cs="Times New Roman"/>
                      <w:color w:val="000000" w:themeColor="text1"/>
                      <w14:textFill>
                        <w14:solidFill>
                          <w14:schemeClr w14:val="tx1"/>
                        </w14:solidFill>
                      </w14:textFill>
                    </w:rPr>
                    <w:t>经度</w:t>
                  </w:r>
                  <w:bookmarkEnd w:id="62"/>
                  <w:r>
                    <w:rPr>
                      <w:rFonts w:hint="default" w:ascii="Times New Roman" w:hAnsi="Times New Roman" w:cs="Times New Roman"/>
                      <w:color w:val="000000" w:themeColor="text1"/>
                      <w14:textFill>
                        <w14:solidFill>
                          <w14:schemeClr w14:val="tx1"/>
                        </w14:solidFill>
                      </w14:textFill>
                    </w:rPr>
                    <w:t>E°</w:t>
                  </w:r>
                </w:p>
              </w:tc>
              <w:tc>
                <w:tcPr>
                  <w:tcW w:w="491" w:type="pct"/>
                  <w:vAlign w:val="center"/>
                </w:tcPr>
                <w:p w14:paraId="2F2D60CE">
                  <w:pPr>
                    <w:pStyle w:val="45"/>
                    <w:wordWrap w:val="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纬度N°</w:t>
                  </w:r>
                </w:p>
              </w:tc>
              <w:tc>
                <w:tcPr>
                  <w:tcW w:w="417" w:type="pct"/>
                  <w:vMerge w:val="continue"/>
                  <w:vAlign w:val="center"/>
                </w:tcPr>
                <w:p w14:paraId="7AE78A96">
                  <w:pPr>
                    <w:pStyle w:val="45"/>
                    <w:wordWrap w:val="0"/>
                    <w:rPr>
                      <w:rFonts w:hint="default" w:ascii="Times New Roman" w:hAnsi="Times New Roman" w:cs="Times New Roman"/>
                      <w:color w:val="000000" w:themeColor="text1"/>
                      <w14:textFill>
                        <w14:solidFill>
                          <w14:schemeClr w14:val="tx1"/>
                        </w14:solidFill>
                      </w14:textFill>
                    </w:rPr>
                  </w:pPr>
                </w:p>
              </w:tc>
              <w:tc>
                <w:tcPr>
                  <w:tcW w:w="394" w:type="pct"/>
                  <w:vMerge w:val="continue"/>
                  <w:vAlign w:val="center"/>
                </w:tcPr>
                <w:p w14:paraId="1FBC8ED6">
                  <w:pPr>
                    <w:pStyle w:val="45"/>
                    <w:wordWrap w:val="0"/>
                    <w:rPr>
                      <w:rFonts w:hint="default" w:ascii="Times New Roman" w:hAnsi="Times New Roman" w:cs="Times New Roman"/>
                      <w:color w:val="000000" w:themeColor="text1"/>
                      <w14:textFill>
                        <w14:solidFill>
                          <w14:schemeClr w14:val="tx1"/>
                        </w14:solidFill>
                      </w14:textFill>
                    </w:rPr>
                  </w:pPr>
                </w:p>
              </w:tc>
              <w:tc>
                <w:tcPr>
                  <w:tcW w:w="369" w:type="pct"/>
                  <w:vMerge w:val="continue"/>
                  <w:vAlign w:val="center"/>
                </w:tcPr>
                <w:p w14:paraId="712EE411">
                  <w:pPr>
                    <w:pStyle w:val="45"/>
                    <w:wordWrap w:val="0"/>
                    <w:rPr>
                      <w:rFonts w:hint="default" w:ascii="Times New Roman" w:hAnsi="Times New Roman" w:cs="Times New Roman"/>
                      <w:color w:val="000000" w:themeColor="text1"/>
                      <w14:textFill>
                        <w14:solidFill>
                          <w14:schemeClr w14:val="tx1"/>
                        </w14:solidFill>
                      </w14:textFill>
                    </w:rPr>
                  </w:pPr>
                </w:p>
              </w:tc>
              <w:tc>
                <w:tcPr>
                  <w:tcW w:w="465" w:type="pct"/>
                  <w:vMerge w:val="continue"/>
                  <w:vAlign w:val="center"/>
                </w:tcPr>
                <w:p w14:paraId="1FA8D494">
                  <w:pPr>
                    <w:pStyle w:val="45"/>
                    <w:wordWrap w:val="0"/>
                    <w:rPr>
                      <w:rFonts w:hint="default" w:ascii="Times New Roman" w:hAnsi="Times New Roman" w:cs="Times New Roman"/>
                      <w:color w:val="000000" w:themeColor="text1"/>
                      <w14:textFill>
                        <w14:solidFill>
                          <w14:schemeClr w14:val="tx1"/>
                        </w14:solidFill>
                      </w14:textFill>
                    </w:rPr>
                  </w:pPr>
                </w:p>
              </w:tc>
              <w:tc>
                <w:tcPr>
                  <w:tcW w:w="457" w:type="pct"/>
                  <w:vMerge w:val="continue"/>
                  <w:vAlign w:val="center"/>
                </w:tcPr>
                <w:p w14:paraId="1FC0626A">
                  <w:pPr>
                    <w:pStyle w:val="45"/>
                    <w:wordWrap w:val="0"/>
                    <w:rPr>
                      <w:rFonts w:hint="default" w:ascii="Times New Roman" w:hAnsi="Times New Roman" w:cs="Times New Roman"/>
                      <w:color w:val="000000" w:themeColor="text1"/>
                      <w14:textFill>
                        <w14:solidFill>
                          <w14:schemeClr w14:val="tx1"/>
                        </w14:solidFill>
                      </w14:textFill>
                    </w:rPr>
                  </w:pPr>
                </w:p>
              </w:tc>
              <w:tc>
                <w:tcPr>
                  <w:tcW w:w="427" w:type="pct"/>
                  <w:vMerge w:val="continue"/>
                  <w:vAlign w:val="center"/>
                </w:tcPr>
                <w:p w14:paraId="70932FA9">
                  <w:pPr>
                    <w:pStyle w:val="45"/>
                    <w:wordWrap w:val="0"/>
                    <w:rPr>
                      <w:rFonts w:hint="default" w:ascii="Times New Roman" w:hAnsi="Times New Roman" w:cs="Times New Roman"/>
                      <w:color w:val="000000" w:themeColor="text1"/>
                      <w14:textFill>
                        <w14:solidFill>
                          <w14:schemeClr w14:val="tx1"/>
                        </w14:solidFill>
                      </w14:textFill>
                    </w:rPr>
                  </w:pPr>
                </w:p>
              </w:tc>
            </w:tr>
            <w:tr w14:paraId="080A4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9" w:type="pct"/>
                  <w:vAlign w:val="center"/>
                </w:tcPr>
                <w:p w14:paraId="2AED5344">
                  <w:pPr>
                    <w:pStyle w:val="12"/>
                    <w:wordWrap w:val="0"/>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14:textFill>
                        <w14:solidFill>
                          <w14:schemeClr w14:val="tx1"/>
                        </w14:solidFill>
                      </w14:textFill>
                    </w:rPr>
                    <w:t>DA001</w:t>
                  </w:r>
                </w:p>
              </w:tc>
              <w:tc>
                <w:tcPr>
                  <w:tcW w:w="340" w:type="pct"/>
                  <w:vAlign w:val="center"/>
                </w:tcPr>
                <w:p w14:paraId="6DA01332">
                  <w:pPr>
                    <w:pStyle w:val="12"/>
                    <w:wordWrap w:val="0"/>
                    <w:rPr>
                      <w:rFonts w:hint="default" w:ascii="Times New Roman" w:hAnsi="Times New Roman" w:eastAsia="宋体" w:cs="Times New Roman"/>
                      <w:b w:val="0"/>
                      <w:bCs w:val="0"/>
                      <w:color w:val="000000" w:themeColor="text1"/>
                      <w:lang w:val="en-US" w:eastAsia="zh-CN"/>
                      <w14:textFill>
                        <w14:solidFill>
                          <w14:schemeClr w14:val="tx1"/>
                        </w14:solidFill>
                      </w14:textFill>
                    </w:rPr>
                  </w:pPr>
                  <w:r>
                    <w:rPr>
                      <w:rFonts w:hint="default" w:ascii="Times New Roman" w:hAnsi="Times New Roman" w:cs="Times New Roman"/>
                      <w:b w:val="0"/>
                      <w:bCs w:val="0"/>
                      <w:color w:val="000000" w:themeColor="text1"/>
                      <w:lang w:val="en-US" w:eastAsia="zh-CN"/>
                      <w14:textFill>
                        <w14:solidFill>
                          <w14:schemeClr w14:val="tx1"/>
                        </w14:solidFill>
                      </w14:textFill>
                    </w:rPr>
                    <w:t>煅烧废气排放口</w:t>
                  </w:r>
                </w:p>
              </w:tc>
              <w:tc>
                <w:tcPr>
                  <w:tcW w:w="734" w:type="pct"/>
                  <w:vAlign w:val="center"/>
                </w:tcPr>
                <w:p w14:paraId="310D478C">
                  <w:pPr>
                    <w:pStyle w:val="12"/>
                    <w:wordWrap w:val="0"/>
                    <w:rPr>
                      <w:rFonts w:hint="default" w:ascii="Times New Roman" w:hAnsi="Times New Roman" w:eastAsia="宋体" w:cs="Times New Roman"/>
                      <w:b w:val="0"/>
                      <w:bCs w:val="0"/>
                      <w:color w:val="000000" w:themeColor="text1"/>
                      <w:lang w:val="en-US" w:eastAsia="zh-CN"/>
                      <w14:textFill>
                        <w14:solidFill>
                          <w14:schemeClr w14:val="tx1"/>
                        </w14:solidFill>
                      </w14:textFill>
                    </w:rPr>
                  </w:pPr>
                  <w:r>
                    <w:rPr>
                      <w:rFonts w:hint="default" w:ascii="Times New Roman" w:hAnsi="Times New Roman" w:cs="Times New Roman"/>
                      <w:b w:val="0"/>
                      <w:bCs w:val="0"/>
                      <w:color w:val="000000" w:themeColor="text1"/>
                      <w14:textFill>
                        <w14:solidFill>
                          <w14:schemeClr w14:val="tx1"/>
                        </w14:solidFill>
                      </w14:textFill>
                    </w:rPr>
                    <w:t>颗粒物、二氧化硫、氮氧化物</w:t>
                  </w:r>
                  <w:r>
                    <w:rPr>
                      <w:rFonts w:hint="default" w:ascii="Times New Roman" w:hAnsi="Times New Roman" w:cs="Times New Roman"/>
                      <w:b w:val="0"/>
                      <w:bCs w:val="0"/>
                      <w:color w:val="000000" w:themeColor="text1"/>
                      <w:lang w:eastAsia="zh-CN"/>
                      <w14:textFill>
                        <w14:solidFill>
                          <w14:schemeClr w14:val="tx1"/>
                        </w14:solidFill>
                      </w14:textFill>
                    </w:rPr>
                    <w:t>、</w:t>
                  </w:r>
                  <w:r>
                    <w:rPr>
                      <w:rFonts w:hint="default" w:ascii="Times New Roman" w:hAnsi="Times New Roman" w:cs="Times New Roman"/>
                      <w:b w:val="0"/>
                      <w:bCs w:val="0"/>
                      <w:color w:val="000000" w:themeColor="text1"/>
                      <w:lang w:val="en-US" w:eastAsia="zh-CN"/>
                      <w14:textFill>
                        <w14:solidFill>
                          <w14:schemeClr w14:val="tx1"/>
                        </w14:solidFill>
                      </w14:textFill>
                    </w:rPr>
                    <w:t>氟化物、二噁英</w:t>
                  </w:r>
                  <w:r>
                    <w:rPr>
                      <w:rFonts w:hint="eastAsia" w:cs="Times New Roman"/>
                      <w:b w:val="0"/>
                      <w:bCs w:val="0"/>
                      <w:color w:val="000000" w:themeColor="text1"/>
                      <w:lang w:val="en-US" w:eastAsia="zh-CN"/>
                      <w14:textFill>
                        <w14:solidFill>
                          <w14:schemeClr w14:val="tx1"/>
                        </w14:solidFill>
                      </w14:textFill>
                    </w:rPr>
                    <w:t>、臭气浓度、VOCs</w:t>
                  </w:r>
                </w:p>
              </w:tc>
              <w:tc>
                <w:tcPr>
                  <w:tcW w:w="464" w:type="pct"/>
                  <w:vAlign w:val="center"/>
                </w:tcPr>
                <w:p w14:paraId="42DBC911">
                  <w:pPr>
                    <w:pStyle w:val="12"/>
                    <w:wordWrap w:val="0"/>
                    <w:ind w:firstLine="0" w:firstLineChars="0"/>
                    <w:rPr>
                      <w:rFonts w:hint="default" w:ascii="Times New Roman" w:hAnsi="Times New Roman" w:eastAsia="宋体" w:cs="Times New Roman"/>
                      <w:b w:val="0"/>
                      <w:bCs w:val="0"/>
                      <w:color w:val="000000" w:themeColor="text1"/>
                      <w:lang w:val="en-US" w:eastAsia="zh-CN"/>
                      <w14:textFill>
                        <w14:solidFill>
                          <w14:schemeClr w14:val="tx1"/>
                        </w14:solidFill>
                      </w14:textFill>
                    </w:rPr>
                  </w:pPr>
                  <w:r>
                    <w:rPr>
                      <w:rFonts w:hint="default" w:ascii="Times New Roman" w:hAnsi="Times New Roman" w:eastAsia="宋体" w:cs="Times New Roman"/>
                      <w:b w:val="0"/>
                      <w:bCs w:val="0"/>
                      <w:color w:val="000000" w:themeColor="text1"/>
                      <w:lang w:val="en-US" w:eastAsia="zh-CN"/>
                      <w14:textFill>
                        <w14:solidFill>
                          <w14:schemeClr w14:val="tx1"/>
                        </w14:solidFill>
                      </w14:textFill>
                    </w:rPr>
                    <w:t>107.138606</w:t>
                  </w:r>
                </w:p>
              </w:tc>
              <w:tc>
                <w:tcPr>
                  <w:tcW w:w="491" w:type="pct"/>
                  <w:vAlign w:val="center"/>
                </w:tcPr>
                <w:p w14:paraId="04BD5FA1">
                  <w:pPr>
                    <w:pStyle w:val="12"/>
                    <w:wordWrap w:val="0"/>
                    <w:ind w:firstLine="0" w:firstLineChars="0"/>
                    <w:rPr>
                      <w:rFonts w:hint="default" w:ascii="Times New Roman" w:hAnsi="Times New Roman" w:eastAsia="宋体" w:cs="Times New Roman"/>
                      <w:b w:val="0"/>
                      <w:bCs w:val="0"/>
                      <w:color w:val="000000" w:themeColor="text1"/>
                      <w:lang w:val="en-US" w:eastAsia="zh-CN"/>
                      <w14:textFill>
                        <w14:solidFill>
                          <w14:schemeClr w14:val="tx1"/>
                        </w14:solidFill>
                      </w14:textFill>
                    </w:rPr>
                  </w:pPr>
                  <w:r>
                    <w:rPr>
                      <w:rFonts w:hint="default" w:ascii="Times New Roman" w:hAnsi="Times New Roman" w:eastAsia="宋体" w:cs="Times New Roman"/>
                      <w:b w:val="0"/>
                      <w:bCs w:val="0"/>
                      <w:color w:val="000000" w:themeColor="text1"/>
                      <w:lang w:val="en-US" w:eastAsia="zh-CN"/>
                      <w14:textFill>
                        <w14:solidFill>
                          <w14:schemeClr w14:val="tx1"/>
                        </w14:solidFill>
                      </w14:textFill>
                    </w:rPr>
                    <w:t>31.531731</w:t>
                  </w:r>
                </w:p>
              </w:tc>
              <w:tc>
                <w:tcPr>
                  <w:tcW w:w="417" w:type="pct"/>
                  <w:vAlign w:val="center"/>
                </w:tcPr>
                <w:p w14:paraId="700A5DC8">
                  <w:pPr>
                    <w:pStyle w:val="12"/>
                    <w:wordWrap w:val="0"/>
                    <w:rPr>
                      <w:rFonts w:hint="default" w:ascii="Times New Roman" w:hAnsi="Times New Roman" w:cs="Times New Roman"/>
                      <w:b w:val="0"/>
                      <w:bCs w:val="0"/>
                      <w:color w:val="000000" w:themeColor="text1"/>
                      <w14:textFill>
                        <w14:solidFill>
                          <w14:schemeClr w14:val="tx1"/>
                        </w14:solidFill>
                      </w14:textFill>
                    </w:rPr>
                  </w:pPr>
                  <w:bookmarkStart w:id="63" w:name="OLE_LINK147"/>
                  <w:bookmarkStart w:id="64" w:name="OLE_LINK146"/>
                  <w:r>
                    <w:rPr>
                      <w:rFonts w:hint="default" w:ascii="Times New Roman" w:hAnsi="Times New Roman" w:cs="Times New Roman"/>
                      <w:b w:val="0"/>
                      <w:bCs w:val="0"/>
                      <w:color w:val="000000" w:themeColor="text1"/>
                      <w:lang w:val="en-US" w:eastAsia="zh-CN"/>
                      <w14:textFill>
                        <w14:solidFill>
                          <w14:schemeClr w14:val="tx1"/>
                        </w14:solidFill>
                      </w14:textFill>
                    </w:rPr>
                    <w:t>25</w:t>
                  </w:r>
                  <w:r>
                    <w:rPr>
                      <w:rFonts w:hint="default" w:ascii="Times New Roman" w:hAnsi="Times New Roman" w:cs="Times New Roman"/>
                      <w:b w:val="0"/>
                      <w:bCs w:val="0"/>
                      <w:color w:val="000000" w:themeColor="text1"/>
                      <w14:textFill>
                        <w14:solidFill>
                          <w14:schemeClr w14:val="tx1"/>
                        </w14:solidFill>
                      </w14:textFill>
                    </w:rPr>
                    <w:t>m</w:t>
                  </w:r>
                  <w:bookmarkEnd w:id="63"/>
                  <w:bookmarkEnd w:id="64"/>
                </w:p>
              </w:tc>
              <w:tc>
                <w:tcPr>
                  <w:tcW w:w="394" w:type="pct"/>
                  <w:vAlign w:val="center"/>
                </w:tcPr>
                <w:p w14:paraId="58BCA7A2">
                  <w:pPr>
                    <w:pStyle w:val="12"/>
                    <w:wordWrap w:val="0"/>
                    <w:rPr>
                      <w:rFonts w:hint="default" w:ascii="Times New Roman" w:hAnsi="Times New Roman" w:eastAsia="宋体" w:cs="Times New Roman"/>
                      <w:b w:val="0"/>
                      <w:bCs w:val="0"/>
                      <w:color w:val="000000" w:themeColor="text1"/>
                      <w:lang w:val="en-US" w:eastAsia="zh-CN"/>
                      <w14:textFill>
                        <w14:solidFill>
                          <w14:schemeClr w14:val="tx1"/>
                        </w14:solidFill>
                      </w14:textFill>
                    </w:rPr>
                  </w:pPr>
                  <w:r>
                    <w:rPr>
                      <w:rFonts w:hint="default" w:ascii="Times New Roman" w:hAnsi="Times New Roman" w:cs="Times New Roman"/>
                      <w:b w:val="0"/>
                      <w:bCs w:val="0"/>
                      <w:color w:val="000000" w:themeColor="text1"/>
                      <w:lang w:val="en-US" w:eastAsia="zh-CN"/>
                      <w14:textFill>
                        <w14:solidFill>
                          <w14:schemeClr w14:val="tx1"/>
                        </w14:solidFill>
                      </w14:textFill>
                    </w:rPr>
                    <w:t>0.7</w:t>
                  </w:r>
                </w:p>
              </w:tc>
              <w:tc>
                <w:tcPr>
                  <w:tcW w:w="369" w:type="pct"/>
                  <w:vAlign w:val="center"/>
                </w:tcPr>
                <w:p w14:paraId="573B1492">
                  <w:pPr>
                    <w:pStyle w:val="12"/>
                    <w:wordWrap w:val="0"/>
                    <w:rPr>
                      <w:rFonts w:hint="default" w:ascii="Times New Roman" w:hAnsi="Times New Roman" w:eastAsia="宋体" w:cs="Times New Roman"/>
                      <w:b w:val="0"/>
                      <w:bCs w:val="0"/>
                      <w:color w:val="000000" w:themeColor="text1"/>
                      <w:lang w:val="en-US" w:eastAsia="zh-CN"/>
                      <w14:textFill>
                        <w14:solidFill>
                          <w14:schemeClr w14:val="tx1"/>
                        </w14:solidFill>
                      </w14:textFill>
                    </w:rPr>
                  </w:pPr>
                  <w:r>
                    <w:rPr>
                      <w:rFonts w:hint="eastAsia" w:cs="Times New Roman"/>
                      <w:b w:val="0"/>
                      <w:bCs w:val="0"/>
                      <w:color w:val="000000" w:themeColor="text1"/>
                      <w:lang w:val="en-US" w:eastAsia="zh-CN"/>
                      <w14:textFill>
                        <w14:solidFill>
                          <w14:schemeClr w14:val="tx1"/>
                        </w14:solidFill>
                      </w14:textFill>
                    </w:rPr>
                    <w:t>80</w:t>
                  </w:r>
                </w:p>
              </w:tc>
              <w:tc>
                <w:tcPr>
                  <w:tcW w:w="465" w:type="pct"/>
                  <w:vAlign w:val="center"/>
                </w:tcPr>
                <w:p w14:paraId="517ACEC6">
                  <w:pPr>
                    <w:pStyle w:val="12"/>
                    <w:wordWrap w:val="0"/>
                    <w:rPr>
                      <w:rFonts w:hint="default" w:ascii="Times New Roman" w:hAnsi="Times New Roman" w:eastAsia="宋体" w:cs="Times New Roman"/>
                      <w:b w:val="0"/>
                      <w:bCs w:val="0"/>
                      <w:color w:val="000000" w:themeColor="text1"/>
                      <w:lang w:val="en-US" w:eastAsia="zh-CN"/>
                      <w14:textFill>
                        <w14:solidFill>
                          <w14:schemeClr w14:val="tx1"/>
                        </w14:solidFill>
                      </w14:textFill>
                    </w:rPr>
                  </w:pPr>
                  <w:r>
                    <w:rPr>
                      <w:rFonts w:hint="default" w:ascii="Times New Roman" w:hAnsi="Times New Roman" w:cs="Times New Roman"/>
                      <w:b w:val="0"/>
                      <w:bCs w:val="0"/>
                      <w:color w:val="000000" w:themeColor="text1"/>
                      <w:lang w:val="en-US" w:eastAsia="zh-CN"/>
                      <w14:textFill>
                        <w14:solidFill>
                          <w14:schemeClr w14:val="tx1"/>
                        </w14:solidFill>
                      </w14:textFill>
                    </w:rPr>
                    <w:t>22500</w:t>
                  </w:r>
                </w:p>
              </w:tc>
              <w:tc>
                <w:tcPr>
                  <w:tcW w:w="457" w:type="pct"/>
                  <w:vAlign w:val="center"/>
                </w:tcPr>
                <w:p w14:paraId="5877D3EE">
                  <w:pPr>
                    <w:pStyle w:val="12"/>
                    <w:wordWrap w:val="0"/>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14:textFill>
                        <w14:solidFill>
                          <w14:schemeClr w14:val="tx1"/>
                        </w14:solidFill>
                      </w14:textFill>
                    </w:rPr>
                    <w:t>一般排放口</w:t>
                  </w:r>
                </w:p>
              </w:tc>
              <w:tc>
                <w:tcPr>
                  <w:tcW w:w="427" w:type="pct"/>
                  <w:vAlign w:val="center"/>
                </w:tcPr>
                <w:p w14:paraId="443DA901">
                  <w:pPr>
                    <w:pStyle w:val="12"/>
                    <w:wordWrap w:val="0"/>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14:textFill>
                        <w14:solidFill>
                          <w14:schemeClr w14:val="tx1"/>
                        </w14:solidFill>
                      </w14:textFill>
                    </w:rPr>
                    <w:t>大气环境</w:t>
                  </w:r>
                </w:p>
              </w:tc>
            </w:tr>
          </w:tbl>
          <w:p w14:paraId="2CDBCAC0">
            <w:pPr>
              <w:pStyle w:val="3"/>
              <w:numPr>
                <w:ilvl w:val="-1"/>
                <w:numId w:val="0"/>
              </w:numPr>
              <w:adjustRightInd w:val="0"/>
              <w:snapToGrid w:val="0"/>
              <w:ind w:left="0" w:firstLine="482" w:firstLineChars="200"/>
              <w:rPr>
                <w:rFonts w:hint="default" w:ascii="Times New Roman" w:hAnsi="Times New Roman" w:cs="Times New Roman"/>
                <w:color w:val="000000" w:themeColor="text1"/>
                <w14:textFill>
                  <w14:solidFill>
                    <w14:schemeClr w14:val="tx1"/>
                  </w14:solidFill>
                </w14:textFill>
              </w:rPr>
            </w:pPr>
            <w:bookmarkStart w:id="65" w:name="_Toc17043"/>
            <w:r>
              <w:rPr>
                <w:rFonts w:hint="eastAsia" w:ascii="Times New Roman" w:hAnsi="Times New Roman" w:cs="Times New Roman"/>
                <w:color w:val="000000" w:themeColor="text1"/>
                <w:lang w:eastAsia="zh-CN"/>
                <w14:textFill>
                  <w14:solidFill>
                    <w14:schemeClr w14:val="tx1"/>
                  </w14:solidFill>
                </w14:textFill>
              </w:rPr>
              <w:t>（</w:t>
            </w:r>
            <w:r>
              <w:rPr>
                <w:rFonts w:hint="eastAsia" w:ascii="Times New Roman" w:hAnsi="Times New Roman" w:cs="Times New Roman"/>
                <w:color w:val="000000" w:themeColor="text1"/>
                <w:lang w:val="en-US" w:eastAsia="zh-CN"/>
                <w14:textFill>
                  <w14:solidFill>
                    <w14:schemeClr w14:val="tx1"/>
                  </w14:solidFill>
                </w14:textFill>
              </w:rPr>
              <w:t>6</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监测要求</w:t>
            </w:r>
            <w:bookmarkEnd w:id="65"/>
          </w:p>
          <w:p w14:paraId="57182203">
            <w:pPr>
              <w:autoSpaceDE w:val="0"/>
              <w:autoSpaceDN w:val="0"/>
              <w:adjustRightInd w:val="0"/>
              <w:snapToGrid w:val="0"/>
              <w:ind w:firstLine="480" w:firstLineChars="200"/>
              <w:jc w:val="both"/>
              <w:rPr>
                <w:rFonts w:hint="default" w:ascii="Times New Roman" w:hAnsi="Times New Roman" w:cs="Times New Roman"/>
                <w:bCs/>
                <w:color w:val="000000" w:themeColor="text1"/>
                <w14:textFill>
                  <w14:solidFill>
                    <w14:schemeClr w14:val="tx1"/>
                  </w14:solidFill>
                </w14:textFill>
              </w:rPr>
            </w:pPr>
            <w:r>
              <w:rPr>
                <w:rFonts w:hint="default" w:ascii="Times New Roman" w:hAnsi="Times New Roman" w:cs="Times New Roman"/>
                <w:color w:val="000000" w:themeColor="text1"/>
                <w:kern w:val="0"/>
                <w14:textFill>
                  <w14:solidFill>
                    <w14:schemeClr w14:val="tx1"/>
                  </w14:solidFill>
                </w14:textFill>
              </w:rPr>
              <w:t>本项目运营期废气监测计划如下表。</w:t>
            </w:r>
          </w:p>
          <w:p w14:paraId="56CEA2A8">
            <w:pPr>
              <w:autoSpaceDE w:val="0"/>
              <w:autoSpaceDN w:val="0"/>
              <w:adjustRightInd w:val="0"/>
              <w:spacing w:line="240" w:lineRule="auto"/>
              <w:jc w:val="center"/>
              <w:rPr>
                <w:rFonts w:hint="default" w:ascii="Times New Roman" w:hAnsi="Times New Roman" w:cs="Times New Roman"/>
                <w:b/>
                <w:bCs/>
                <w:color w:val="000000" w:themeColor="text1"/>
                <w:sz w:val="21"/>
                <w:szCs w:val="21"/>
                <w14:textFill>
                  <w14:solidFill>
                    <w14:schemeClr w14:val="tx1"/>
                  </w14:solidFill>
                </w14:textFill>
              </w:rPr>
            </w:pPr>
            <w:r>
              <w:rPr>
                <w:rFonts w:hint="default" w:ascii="Times New Roman" w:hAnsi="Times New Roman" w:cs="Times New Roman"/>
                <w:b/>
                <w:bCs/>
                <w:color w:val="000000" w:themeColor="text1"/>
                <w:sz w:val="21"/>
                <w:szCs w:val="21"/>
                <w14:textFill>
                  <w14:solidFill>
                    <w14:schemeClr w14:val="tx1"/>
                  </w14:solidFill>
                </w14:textFill>
              </w:rPr>
              <w:t>表</w:t>
            </w:r>
            <w:r>
              <w:rPr>
                <w:rFonts w:hint="eastAsia" w:cs="Times New Roman"/>
                <w:b/>
                <w:bCs/>
                <w:color w:val="000000" w:themeColor="text1"/>
                <w:sz w:val="21"/>
                <w:szCs w:val="21"/>
                <w:lang w:val="en-US" w:eastAsia="zh-CN"/>
                <w14:textFill>
                  <w14:solidFill>
                    <w14:schemeClr w14:val="tx1"/>
                  </w14:solidFill>
                </w14:textFill>
              </w:rPr>
              <w:t xml:space="preserve">4-9 </w:t>
            </w:r>
            <w:r>
              <w:rPr>
                <w:rFonts w:hint="default" w:ascii="Times New Roman" w:hAnsi="Times New Roman" w:cs="Times New Roman"/>
                <w:b/>
                <w:bCs/>
                <w:color w:val="000000" w:themeColor="text1"/>
                <w:sz w:val="21"/>
                <w:szCs w:val="21"/>
                <w14:textFill>
                  <w14:solidFill>
                    <w14:schemeClr w14:val="tx1"/>
                  </w14:solidFill>
                </w14:textFill>
              </w:rPr>
              <w:t>监测计划一览表（污染源）</w:t>
            </w:r>
          </w:p>
          <w:tbl>
            <w:tblPr>
              <w:tblStyle w:val="26"/>
              <w:tblW w:w="9545" w:type="dxa"/>
              <w:jc w:val="center"/>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Layout w:type="autofit"/>
              <w:tblCellMar>
                <w:top w:w="0" w:type="dxa"/>
                <w:left w:w="108" w:type="dxa"/>
                <w:bottom w:w="0" w:type="dxa"/>
                <w:right w:w="108" w:type="dxa"/>
              </w:tblCellMar>
            </w:tblPr>
            <w:tblGrid>
              <w:gridCol w:w="844"/>
              <w:gridCol w:w="1603"/>
              <w:gridCol w:w="2220"/>
              <w:gridCol w:w="2733"/>
              <w:gridCol w:w="2145"/>
            </w:tblGrid>
            <w:tr w14:paraId="007EA5B8">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108" w:type="dxa"/>
                  <w:bottom w:w="0" w:type="dxa"/>
                  <w:right w:w="108" w:type="dxa"/>
                </w:tblCellMar>
              </w:tblPrEx>
              <w:trPr>
                <w:trHeight w:val="57" w:hRule="atLeast"/>
                <w:jc w:val="center"/>
              </w:trPr>
              <w:tc>
                <w:tcPr>
                  <w:tcW w:w="442" w:type="pct"/>
                  <w:tcBorders>
                    <w:tl2br w:val="nil"/>
                    <w:tr2bl w:val="nil"/>
                  </w:tcBorders>
                  <w:vAlign w:val="center"/>
                </w:tcPr>
                <w:p w14:paraId="32799539">
                  <w:pPr>
                    <w:pStyle w:val="45"/>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序号</w:t>
                  </w:r>
                </w:p>
              </w:tc>
              <w:tc>
                <w:tcPr>
                  <w:tcW w:w="839" w:type="pct"/>
                  <w:tcBorders>
                    <w:tl2br w:val="nil"/>
                    <w:tr2bl w:val="nil"/>
                  </w:tcBorders>
                  <w:vAlign w:val="center"/>
                </w:tcPr>
                <w:p w14:paraId="7D5E7CC7">
                  <w:pPr>
                    <w:pStyle w:val="45"/>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污染源</w:t>
                  </w:r>
                </w:p>
              </w:tc>
              <w:tc>
                <w:tcPr>
                  <w:tcW w:w="1162" w:type="pct"/>
                  <w:tcBorders>
                    <w:tl2br w:val="nil"/>
                    <w:tr2bl w:val="nil"/>
                  </w:tcBorders>
                  <w:vAlign w:val="center"/>
                </w:tcPr>
                <w:p w14:paraId="2CE5CCAA">
                  <w:pPr>
                    <w:pStyle w:val="45"/>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监测点位</w:t>
                  </w:r>
                </w:p>
              </w:tc>
              <w:tc>
                <w:tcPr>
                  <w:tcW w:w="1431" w:type="pct"/>
                  <w:tcBorders>
                    <w:tl2br w:val="nil"/>
                    <w:tr2bl w:val="nil"/>
                  </w:tcBorders>
                  <w:vAlign w:val="center"/>
                </w:tcPr>
                <w:p w14:paraId="06E95EAB">
                  <w:pPr>
                    <w:pStyle w:val="45"/>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监测因子</w:t>
                  </w:r>
                </w:p>
              </w:tc>
              <w:tc>
                <w:tcPr>
                  <w:tcW w:w="1123" w:type="pct"/>
                  <w:tcBorders>
                    <w:tl2br w:val="nil"/>
                    <w:tr2bl w:val="nil"/>
                  </w:tcBorders>
                  <w:vAlign w:val="center"/>
                </w:tcPr>
                <w:p w14:paraId="41E16F7B">
                  <w:pPr>
                    <w:pStyle w:val="45"/>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监测频次</w:t>
                  </w:r>
                </w:p>
              </w:tc>
            </w:tr>
            <w:tr w14:paraId="7F995946">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108" w:type="dxa"/>
                  <w:bottom w:w="0" w:type="dxa"/>
                  <w:right w:w="108" w:type="dxa"/>
                </w:tblCellMar>
              </w:tblPrEx>
              <w:trPr>
                <w:trHeight w:val="57" w:hRule="atLeast"/>
                <w:jc w:val="center"/>
              </w:trPr>
              <w:tc>
                <w:tcPr>
                  <w:tcW w:w="442" w:type="pct"/>
                  <w:vMerge w:val="restart"/>
                  <w:tcBorders>
                    <w:tl2br w:val="nil"/>
                    <w:tr2bl w:val="nil"/>
                  </w:tcBorders>
                  <w:vAlign w:val="center"/>
                </w:tcPr>
                <w:p w14:paraId="15A823C4">
                  <w:pPr>
                    <w:pStyle w:val="12"/>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14:textFill>
                        <w14:solidFill>
                          <w14:schemeClr w14:val="tx1"/>
                        </w14:solidFill>
                      </w14:textFill>
                    </w:rPr>
                    <w:t>1</w:t>
                  </w:r>
                </w:p>
              </w:tc>
              <w:tc>
                <w:tcPr>
                  <w:tcW w:w="839" w:type="pct"/>
                  <w:vMerge w:val="restart"/>
                  <w:tcBorders>
                    <w:tl2br w:val="nil"/>
                    <w:tr2bl w:val="nil"/>
                  </w:tcBorders>
                  <w:vAlign w:val="center"/>
                </w:tcPr>
                <w:p w14:paraId="6E70D837">
                  <w:pPr>
                    <w:pStyle w:val="12"/>
                    <w:rPr>
                      <w:rFonts w:hint="default" w:ascii="Times New Roman" w:hAnsi="Times New Roman" w:eastAsia="宋体" w:cs="Times New Roman"/>
                      <w:b w:val="0"/>
                      <w:bCs w:val="0"/>
                      <w:color w:val="000000" w:themeColor="text1"/>
                      <w:lang w:val="en-US" w:eastAsia="zh-CN"/>
                      <w14:textFill>
                        <w14:solidFill>
                          <w14:schemeClr w14:val="tx1"/>
                        </w14:solidFill>
                      </w14:textFill>
                    </w:rPr>
                  </w:pPr>
                  <w:r>
                    <w:rPr>
                      <w:rFonts w:hint="default" w:ascii="Times New Roman" w:hAnsi="Times New Roman" w:cs="Times New Roman"/>
                      <w:b w:val="0"/>
                      <w:bCs w:val="0"/>
                      <w:color w:val="000000" w:themeColor="text1"/>
                      <w:lang w:val="en-US" w:eastAsia="zh-CN"/>
                      <w14:textFill>
                        <w14:solidFill>
                          <w14:schemeClr w14:val="tx1"/>
                        </w14:solidFill>
                      </w14:textFill>
                    </w:rPr>
                    <w:t>煅烧废气</w:t>
                  </w:r>
                </w:p>
              </w:tc>
              <w:tc>
                <w:tcPr>
                  <w:tcW w:w="1162" w:type="pct"/>
                  <w:vMerge w:val="restart"/>
                  <w:tcBorders>
                    <w:tl2br w:val="nil"/>
                    <w:tr2bl w:val="nil"/>
                  </w:tcBorders>
                  <w:vAlign w:val="center"/>
                </w:tcPr>
                <w:p w14:paraId="7A239C4B">
                  <w:pPr>
                    <w:pStyle w:val="12"/>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14:textFill>
                        <w14:solidFill>
                          <w14:schemeClr w14:val="tx1"/>
                        </w14:solidFill>
                      </w14:textFill>
                    </w:rPr>
                    <w:t>排气筒（DA001）</w:t>
                  </w:r>
                </w:p>
              </w:tc>
              <w:tc>
                <w:tcPr>
                  <w:tcW w:w="1431" w:type="pct"/>
                  <w:tcBorders>
                    <w:tl2br w:val="nil"/>
                    <w:tr2bl w:val="nil"/>
                  </w:tcBorders>
                  <w:vAlign w:val="center"/>
                </w:tcPr>
                <w:p w14:paraId="432FD777">
                  <w:pPr>
                    <w:pStyle w:val="12"/>
                    <w:rPr>
                      <w:rFonts w:hint="default" w:ascii="Times New Roman" w:hAnsi="Times New Roman" w:eastAsia="宋体" w:cs="Times New Roman"/>
                      <w:b w:val="0"/>
                      <w:bCs w:val="0"/>
                      <w:color w:val="000000" w:themeColor="text1"/>
                      <w:lang w:val="en-US" w:eastAsia="zh-CN"/>
                      <w14:textFill>
                        <w14:solidFill>
                          <w14:schemeClr w14:val="tx1"/>
                        </w14:solidFill>
                      </w14:textFill>
                    </w:rPr>
                  </w:pPr>
                  <w:r>
                    <w:rPr>
                      <w:rFonts w:hint="default" w:ascii="Times New Roman" w:hAnsi="Times New Roman" w:cs="Times New Roman"/>
                      <w:b w:val="0"/>
                      <w:bCs w:val="0"/>
                      <w:color w:val="000000" w:themeColor="text1"/>
                      <w14:textFill>
                        <w14:solidFill>
                          <w14:schemeClr w14:val="tx1"/>
                        </w14:solidFill>
                      </w14:textFill>
                    </w:rPr>
                    <w:t>颗粒物</w:t>
                  </w:r>
                  <w:r>
                    <w:rPr>
                      <w:rFonts w:hint="default" w:ascii="Times New Roman" w:hAnsi="Times New Roman" w:cs="Times New Roman"/>
                      <w:b w:val="0"/>
                      <w:bCs w:val="0"/>
                      <w:color w:val="000000" w:themeColor="text1"/>
                      <w:lang w:eastAsia="zh-CN"/>
                      <w14:textFill>
                        <w14:solidFill>
                          <w14:schemeClr w14:val="tx1"/>
                        </w14:solidFill>
                      </w14:textFill>
                    </w:rPr>
                    <w:t>、</w:t>
                  </w:r>
                  <w:r>
                    <w:rPr>
                      <w:rFonts w:hint="default" w:ascii="Times New Roman" w:hAnsi="Times New Roman" w:cs="Times New Roman"/>
                      <w:b w:val="0"/>
                      <w:bCs w:val="0"/>
                      <w:color w:val="000000" w:themeColor="text1"/>
                      <w:lang w:val="en-US" w:eastAsia="zh-CN"/>
                      <w14:textFill>
                        <w14:solidFill>
                          <w14:schemeClr w14:val="tx1"/>
                        </w14:solidFill>
                      </w14:textFill>
                    </w:rPr>
                    <w:t>二氧化硫、氮氧化物</w:t>
                  </w:r>
                  <w:r>
                    <w:rPr>
                      <w:rFonts w:hint="eastAsia" w:cs="Times New Roman"/>
                      <w:b w:val="0"/>
                      <w:bCs w:val="0"/>
                      <w:color w:val="000000" w:themeColor="text1"/>
                      <w:lang w:val="en-US" w:eastAsia="zh-CN"/>
                      <w14:textFill>
                        <w14:solidFill>
                          <w14:schemeClr w14:val="tx1"/>
                        </w14:solidFill>
                      </w14:textFill>
                    </w:rPr>
                    <w:t>、臭气浓度、VOCs</w:t>
                  </w:r>
                </w:p>
              </w:tc>
              <w:tc>
                <w:tcPr>
                  <w:tcW w:w="1123" w:type="pct"/>
                  <w:tcBorders>
                    <w:tl2br w:val="nil"/>
                    <w:tr2bl w:val="nil"/>
                  </w:tcBorders>
                  <w:vAlign w:val="center"/>
                </w:tcPr>
                <w:p w14:paraId="1D69D191">
                  <w:pPr>
                    <w:pStyle w:val="12"/>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14:textFill>
                        <w14:solidFill>
                          <w14:schemeClr w14:val="tx1"/>
                        </w14:solidFill>
                      </w14:textFill>
                    </w:rPr>
                    <w:t>1次/</w:t>
                  </w:r>
                  <w:r>
                    <w:rPr>
                      <w:rFonts w:hint="default" w:ascii="Times New Roman" w:hAnsi="Times New Roman" w:cs="Times New Roman"/>
                      <w:b w:val="0"/>
                      <w:bCs w:val="0"/>
                      <w:color w:val="000000" w:themeColor="text1"/>
                      <w:lang w:val="en-US" w:eastAsia="zh-CN"/>
                      <w14:textFill>
                        <w14:solidFill>
                          <w14:schemeClr w14:val="tx1"/>
                        </w14:solidFill>
                      </w14:textFill>
                    </w:rPr>
                    <w:t>半</w:t>
                  </w:r>
                  <w:r>
                    <w:rPr>
                      <w:rFonts w:hint="default" w:ascii="Times New Roman" w:hAnsi="Times New Roman" w:cs="Times New Roman"/>
                      <w:b w:val="0"/>
                      <w:bCs w:val="0"/>
                      <w:color w:val="000000" w:themeColor="text1"/>
                      <w14:textFill>
                        <w14:solidFill>
                          <w14:schemeClr w14:val="tx1"/>
                        </w14:solidFill>
                      </w14:textFill>
                    </w:rPr>
                    <w:t>年</w:t>
                  </w:r>
                </w:p>
              </w:tc>
            </w:tr>
            <w:tr w14:paraId="504DD415">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108" w:type="dxa"/>
                  <w:bottom w:w="0" w:type="dxa"/>
                  <w:right w:w="108" w:type="dxa"/>
                </w:tblCellMar>
              </w:tblPrEx>
              <w:trPr>
                <w:trHeight w:val="57" w:hRule="atLeast"/>
                <w:jc w:val="center"/>
              </w:trPr>
              <w:tc>
                <w:tcPr>
                  <w:tcW w:w="442" w:type="pct"/>
                  <w:vMerge w:val="continue"/>
                  <w:tcBorders>
                    <w:tl2br w:val="nil"/>
                    <w:tr2bl w:val="nil"/>
                  </w:tcBorders>
                  <w:vAlign w:val="center"/>
                </w:tcPr>
                <w:p w14:paraId="0FC527E3">
                  <w:pPr>
                    <w:pStyle w:val="12"/>
                    <w:rPr>
                      <w:rFonts w:hint="default" w:ascii="Times New Roman" w:hAnsi="Times New Roman" w:cs="Times New Roman"/>
                      <w:b w:val="0"/>
                      <w:bCs w:val="0"/>
                      <w:color w:val="000000" w:themeColor="text1"/>
                      <w14:textFill>
                        <w14:solidFill>
                          <w14:schemeClr w14:val="tx1"/>
                        </w14:solidFill>
                      </w14:textFill>
                    </w:rPr>
                  </w:pPr>
                </w:p>
              </w:tc>
              <w:tc>
                <w:tcPr>
                  <w:tcW w:w="839" w:type="pct"/>
                  <w:vMerge w:val="continue"/>
                  <w:tcBorders>
                    <w:tl2br w:val="nil"/>
                    <w:tr2bl w:val="nil"/>
                  </w:tcBorders>
                  <w:vAlign w:val="center"/>
                </w:tcPr>
                <w:p w14:paraId="4DB1A488">
                  <w:pPr>
                    <w:pStyle w:val="12"/>
                    <w:rPr>
                      <w:rFonts w:hint="default" w:ascii="Times New Roman" w:hAnsi="Times New Roman" w:cs="Times New Roman"/>
                      <w:b w:val="0"/>
                      <w:bCs w:val="0"/>
                      <w:color w:val="000000" w:themeColor="text1"/>
                      <w14:textFill>
                        <w14:solidFill>
                          <w14:schemeClr w14:val="tx1"/>
                        </w14:solidFill>
                      </w14:textFill>
                    </w:rPr>
                  </w:pPr>
                </w:p>
              </w:tc>
              <w:tc>
                <w:tcPr>
                  <w:tcW w:w="1162" w:type="pct"/>
                  <w:vMerge w:val="continue"/>
                  <w:tcBorders>
                    <w:tl2br w:val="nil"/>
                    <w:tr2bl w:val="nil"/>
                  </w:tcBorders>
                  <w:vAlign w:val="center"/>
                </w:tcPr>
                <w:p w14:paraId="12020A13">
                  <w:pPr>
                    <w:pStyle w:val="12"/>
                    <w:rPr>
                      <w:rFonts w:hint="default" w:ascii="Times New Roman" w:hAnsi="Times New Roman" w:cs="Times New Roman"/>
                      <w:b w:val="0"/>
                      <w:bCs w:val="0"/>
                      <w:color w:val="000000" w:themeColor="text1"/>
                      <w14:textFill>
                        <w14:solidFill>
                          <w14:schemeClr w14:val="tx1"/>
                        </w14:solidFill>
                      </w14:textFill>
                    </w:rPr>
                  </w:pPr>
                </w:p>
              </w:tc>
              <w:tc>
                <w:tcPr>
                  <w:tcW w:w="1431" w:type="pct"/>
                  <w:tcBorders>
                    <w:tl2br w:val="nil"/>
                    <w:tr2bl w:val="nil"/>
                  </w:tcBorders>
                  <w:vAlign w:val="center"/>
                </w:tcPr>
                <w:p w14:paraId="324335D9">
                  <w:pPr>
                    <w:pStyle w:val="12"/>
                    <w:rPr>
                      <w:rFonts w:hint="default" w:ascii="Times New Roman" w:hAnsi="Times New Roman" w:eastAsia="宋体" w:cs="Times New Roman"/>
                      <w:b w:val="0"/>
                      <w:bCs w:val="0"/>
                      <w:color w:val="000000" w:themeColor="text1"/>
                      <w:lang w:val="en-US" w:eastAsia="zh-CN"/>
                      <w14:textFill>
                        <w14:solidFill>
                          <w14:schemeClr w14:val="tx1"/>
                        </w14:solidFill>
                      </w14:textFill>
                    </w:rPr>
                  </w:pPr>
                  <w:r>
                    <w:rPr>
                      <w:rFonts w:hint="default" w:ascii="Times New Roman" w:hAnsi="Times New Roman" w:cs="Times New Roman"/>
                      <w:b w:val="0"/>
                      <w:bCs w:val="0"/>
                      <w:color w:val="000000" w:themeColor="text1"/>
                      <w:lang w:val="en-US" w:eastAsia="zh-CN"/>
                      <w14:textFill>
                        <w14:solidFill>
                          <w14:schemeClr w14:val="tx1"/>
                        </w14:solidFill>
                      </w14:textFill>
                    </w:rPr>
                    <w:t>二噁英、氟化物</w:t>
                  </w:r>
                </w:p>
              </w:tc>
              <w:tc>
                <w:tcPr>
                  <w:tcW w:w="1123" w:type="pct"/>
                  <w:tcBorders>
                    <w:tl2br w:val="nil"/>
                    <w:tr2bl w:val="nil"/>
                  </w:tcBorders>
                  <w:vAlign w:val="center"/>
                </w:tcPr>
                <w:p w14:paraId="5C4A1484">
                  <w:pPr>
                    <w:pStyle w:val="12"/>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14:textFill>
                        <w14:solidFill>
                          <w14:schemeClr w14:val="tx1"/>
                        </w14:solidFill>
                      </w14:textFill>
                    </w:rPr>
                    <w:t>1次/年</w:t>
                  </w:r>
                </w:p>
              </w:tc>
            </w:tr>
            <w:tr w14:paraId="258C59F4">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108" w:type="dxa"/>
                  <w:bottom w:w="0" w:type="dxa"/>
                  <w:right w:w="108" w:type="dxa"/>
                </w:tblCellMar>
              </w:tblPrEx>
              <w:trPr>
                <w:trHeight w:val="57" w:hRule="atLeast"/>
                <w:jc w:val="center"/>
              </w:trPr>
              <w:tc>
                <w:tcPr>
                  <w:tcW w:w="442" w:type="pct"/>
                  <w:tcBorders>
                    <w:tl2br w:val="nil"/>
                    <w:tr2bl w:val="nil"/>
                  </w:tcBorders>
                  <w:vAlign w:val="center"/>
                </w:tcPr>
                <w:p w14:paraId="6B04106E">
                  <w:pPr>
                    <w:pStyle w:val="12"/>
                    <w:rPr>
                      <w:rFonts w:hint="default" w:ascii="Times New Roman" w:hAnsi="Times New Roman" w:eastAsia="宋体" w:cs="Times New Roman"/>
                      <w:b w:val="0"/>
                      <w:bCs w:val="0"/>
                      <w:color w:val="000000" w:themeColor="text1"/>
                      <w:lang w:eastAsia="zh-CN"/>
                      <w14:textFill>
                        <w14:solidFill>
                          <w14:schemeClr w14:val="tx1"/>
                        </w14:solidFill>
                      </w14:textFill>
                    </w:rPr>
                  </w:pPr>
                  <w:r>
                    <w:rPr>
                      <w:rFonts w:hint="eastAsia" w:cs="Times New Roman"/>
                      <w:b w:val="0"/>
                      <w:bCs w:val="0"/>
                      <w:color w:val="000000" w:themeColor="text1"/>
                      <w:lang w:val="en-US" w:eastAsia="zh-CN"/>
                      <w14:textFill>
                        <w14:solidFill>
                          <w14:schemeClr w14:val="tx1"/>
                        </w14:solidFill>
                      </w14:textFill>
                    </w:rPr>
                    <w:t>2</w:t>
                  </w:r>
                </w:p>
              </w:tc>
              <w:tc>
                <w:tcPr>
                  <w:tcW w:w="839" w:type="pct"/>
                  <w:vMerge w:val="restart"/>
                  <w:tcBorders>
                    <w:tl2br w:val="nil"/>
                    <w:tr2bl w:val="nil"/>
                  </w:tcBorders>
                  <w:vAlign w:val="center"/>
                </w:tcPr>
                <w:p w14:paraId="15F74F2A">
                  <w:pPr>
                    <w:pStyle w:val="12"/>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14:textFill>
                        <w14:solidFill>
                          <w14:schemeClr w14:val="tx1"/>
                        </w14:solidFill>
                      </w14:textFill>
                    </w:rPr>
                    <w:t>无组织</w:t>
                  </w:r>
                </w:p>
              </w:tc>
              <w:tc>
                <w:tcPr>
                  <w:tcW w:w="1162" w:type="pct"/>
                  <w:tcBorders>
                    <w:tl2br w:val="nil"/>
                    <w:tr2bl w:val="nil"/>
                  </w:tcBorders>
                  <w:vAlign w:val="center"/>
                </w:tcPr>
                <w:p w14:paraId="4BA4B3D5">
                  <w:pPr>
                    <w:pStyle w:val="12"/>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14:textFill>
                        <w14:solidFill>
                          <w14:schemeClr w14:val="tx1"/>
                        </w14:solidFill>
                      </w14:textFill>
                    </w:rPr>
                    <w:t>厂界</w:t>
                  </w:r>
                </w:p>
              </w:tc>
              <w:tc>
                <w:tcPr>
                  <w:tcW w:w="1431" w:type="pct"/>
                  <w:tcBorders>
                    <w:tl2br w:val="nil"/>
                    <w:tr2bl w:val="nil"/>
                  </w:tcBorders>
                  <w:vAlign w:val="center"/>
                </w:tcPr>
                <w:p w14:paraId="0893C75A">
                  <w:pPr>
                    <w:pStyle w:val="12"/>
                    <w:rPr>
                      <w:rFonts w:hint="default" w:ascii="Times New Roman" w:hAnsi="Times New Roman" w:eastAsia="宋体" w:cs="Times New Roman"/>
                      <w:b w:val="0"/>
                      <w:bCs w:val="0"/>
                      <w:color w:val="000000" w:themeColor="text1"/>
                      <w:lang w:val="en-US" w:eastAsia="zh-CN"/>
                      <w14:textFill>
                        <w14:solidFill>
                          <w14:schemeClr w14:val="tx1"/>
                        </w14:solidFill>
                      </w14:textFill>
                    </w:rPr>
                  </w:pPr>
                  <w:r>
                    <w:rPr>
                      <w:rFonts w:hint="default" w:ascii="Times New Roman" w:hAnsi="Times New Roman" w:cs="Times New Roman"/>
                      <w:b w:val="0"/>
                      <w:bCs w:val="0"/>
                      <w:color w:val="000000" w:themeColor="text1"/>
                      <w14:textFill>
                        <w14:solidFill>
                          <w14:schemeClr w14:val="tx1"/>
                        </w14:solidFill>
                      </w14:textFill>
                    </w:rPr>
                    <w:t>颗粒物</w:t>
                  </w:r>
                  <w:r>
                    <w:rPr>
                      <w:rFonts w:hint="default" w:ascii="Times New Roman" w:hAnsi="Times New Roman" w:cs="Times New Roman"/>
                      <w:b w:val="0"/>
                      <w:bCs w:val="0"/>
                      <w:color w:val="000000" w:themeColor="text1"/>
                      <w:lang w:eastAsia="zh-CN"/>
                      <w14:textFill>
                        <w14:solidFill>
                          <w14:schemeClr w14:val="tx1"/>
                        </w14:solidFill>
                      </w14:textFill>
                    </w:rPr>
                    <w:t>、</w:t>
                  </w:r>
                  <w:r>
                    <w:rPr>
                      <w:rFonts w:hint="default" w:ascii="Times New Roman" w:hAnsi="Times New Roman" w:cs="Times New Roman"/>
                      <w:b w:val="0"/>
                      <w:bCs w:val="0"/>
                      <w:color w:val="000000" w:themeColor="text1"/>
                      <w:lang w:val="en-US" w:eastAsia="zh-CN"/>
                      <w14:textFill>
                        <w14:solidFill>
                          <w14:schemeClr w14:val="tx1"/>
                        </w14:solidFill>
                      </w14:textFill>
                    </w:rPr>
                    <w:t>臭气浓度</w:t>
                  </w:r>
                </w:p>
              </w:tc>
              <w:tc>
                <w:tcPr>
                  <w:tcW w:w="1123" w:type="pct"/>
                  <w:tcBorders>
                    <w:tl2br w:val="nil"/>
                    <w:tr2bl w:val="nil"/>
                  </w:tcBorders>
                  <w:vAlign w:val="center"/>
                </w:tcPr>
                <w:p w14:paraId="28537A6C">
                  <w:pPr>
                    <w:pStyle w:val="12"/>
                    <w:rPr>
                      <w:rFonts w:hint="default" w:ascii="Times New Roman" w:hAnsi="Times New Roman" w:eastAsia="宋体" w:cs="Times New Roman"/>
                      <w:b w:val="0"/>
                      <w:bCs w:val="0"/>
                      <w:color w:val="000000" w:themeColor="text1"/>
                      <w:lang w:val="en-US" w:eastAsia="zh-CN"/>
                      <w14:textFill>
                        <w14:solidFill>
                          <w14:schemeClr w14:val="tx1"/>
                        </w14:solidFill>
                      </w14:textFill>
                    </w:rPr>
                  </w:pPr>
                  <w:r>
                    <w:rPr>
                      <w:rFonts w:hint="default" w:ascii="Times New Roman" w:hAnsi="Times New Roman" w:cs="Times New Roman"/>
                      <w:b w:val="0"/>
                      <w:bCs w:val="0"/>
                      <w:color w:val="000000" w:themeColor="text1"/>
                      <w14:textFill>
                        <w14:solidFill>
                          <w14:schemeClr w14:val="tx1"/>
                        </w14:solidFill>
                      </w14:textFill>
                    </w:rPr>
                    <w:t>1次/</w:t>
                  </w:r>
                  <w:r>
                    <w:rPr>
                      <w:rFonts w:hint="default" w:ascii="Times New Roman" w:hAnsi="Times New Roman" w:cs="Times New Roman"/>
                      <w:b w:val="0"/>
                      <w:bCs w:val="0"/>
                      <w:color w:val="000000" w:themeColor="text1"/>
                      <w:lang w:val="en-US" w:eastAsia="zh-CN"/>
                      <w14:textFill>
                        <w14:solidFill>
                          <w14:schemeClr w14:val="tx1"/>
                        </w14:solidFill>
                      </w14:textFill>
                    </w:rPr>
                    <w:t>年</w:t>
                  </w:r>
                </w:p>
              </w:tc>
            </w:tr>
            <w:tr w14:paraId="1011765F">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108" w:type="dxa"/>
                  <w:bottom w:w="0" w:type="dxa"/>
                  <w:right w:w="108" w:type="dxa"/>
                </w:tblCellMar>
              </w:tblPrEx>
              <w:trPr>
                <w:trHeight w:val="57" w:hRule="atLeast"/>
                <w:jc w:val="center"/>
              </w:trPr>
              <w:tc>
                <w:tcPr>
                  <w:tcW w:w="442" w:type="pct"/>
                  <w:tcBorders>
                    <w:tl2br w:val="nil"/>
                    <w:tr2bl w:val="nil"/>
                  </w:tcBorders>
                  <w:vAlign w:val="center"/>
                </w:tcPr>
                <w:p w14:paraId="70C3131F">
                  <w:pPr>
                    <w:pStyle w:val="12"/>
                    <w:rPr>
                      <w:rFonts w:hint="default" w:cs="Times New Roman"/>
                      <w:b w:val="0"/>
                      <w:bCs w:val="0"/>
                      <w:color w:val="000000" w:themeColor="text1"/>
                      <w:lang w:val="en-US" w:eastAsia="zh-CN"/>
                      <w14:textFill>
                        <w14:solidFill>
                          <w14:schemeClr w14:val="tx1"/>
                        </w14:solidFill>
                      </w14:textFill>
                    </w:rPr>
                  </w:pPr>
                  <w:r>
                    <w:rPr>
                      <w:rFonts w:hint="eastAsia" w:cs="Times New Roman"/>
                      <w:b w:val="0"/>
                      <w:bCs w:val="0"/>
                      <w:color w:val="000000" w:themeColor="text1"/>
                      <w:lang w:val="en-US" w:eastAsia="zh-CN"/>
                      <w14:textFill>
                        <w14:solidFill>
                          <w14:schemeClr w14:val="tx1"/>
                        </w14:solidFill>
                      </w14:textFill>
                    </w:rPr>
                    <w:t>3</w:t>
                  </w:r>
                </w:p>
              </w:tc>
              <w:tc>
                <w:tcPr>
                  <w:tcW w:w="839" w:type="pct"/>
                  <w:vMerge w:val="continue"/>
                  <w:tcBorders>
                    <w:tl2br w:val="nil"/>
                    <w:tr2bl w:val="nil"/>
                  </w:tcBorders>
                  <w:vAlign w:val="center"/>
                </w:tcPr>
                <w:p w14:paraId="1C100E1E">
                  <w:pPr>
                    <w:pStyle w:val="12"/>
                    <w:rPr>
                      <w:rFonts w:hint="default" w:ascii="Times New Roman" w:hAnsi="Times New Roman" w:cs="Times New Roman"/>
                      <w:b w:val="0"/>
                      <w:bCs w:val="0"/>
                      <w:color w:val="000000" w:themeColor="text1"/>
                      <w14:textFill>
                        <w14:solidFill>
                          <w14:schemeClr w14:val="tx1"/>
                        </w14:solidFill>
                      </w14:textFill>
                    </w:rPr>
                  </w:pPr>
                </w:p>
              </w:tc>
              <w:tc>
                <w:tcPr>
                  <w:tcW w:w="1162" w:type="pct"/>
                  <w:tcBorders>
                    <w:tl2br w:val="nil"/>
                    <w:tr2bl w:val="nil"/>
                  </w:tcBorders>
                  <w:vAlign w:val="center"/>
                </w:tcPr>
                <w:p w14:paraId="5ECA331C">
                  <w:pPr>
                    <w:pStyle w:val="12"/>
                    <w:rPr>
                      <w:rFonts w:hint="eastAsia" w:ascii="Times New Roman" w:hAnsi="Times New Roman" w:eastAsia="宋体" w:cs="Times New Roman"/>
                      <w:b w:val="0"/>
                      <w:bCs w:val="0"/>
                      <w:color w:val="000000" w:themeColor="text1"/>
                      <w:lang w:val="en-US" w:eastAsia="zh-CN"/>
                      <w14:textFill>
                        <w14:solidFill>
                          <w14:schemeClr w14:val="tx1"/>
                        </w14:solidFill>
                      </w14:textFill>
                    </w:rPr>
                  </w:pPr>
                  <w:r>
                    <w:rPr>
                      <w:rFonts w:hint="eastAsia" w:cs="Times New Roman"/>
                      <w:b w:val="0"/>
                      <w:bCs w:val="0"/>
                      <w:color w:val="000000" w:themeColor="text1"/>
                      <w:lang w:val="en-US" w:eastAsia="zh-CN"/>
                      <w14:textFill>
                        <w14:solidFill>
                          <w14:schemeClr w14:val="tx1"/>
                        </w14:solidFill>
                      </w14:textFill>
                    </w:rPr>
                    <w:t>厂区内</w:t>
                  </w:r>
                </w:p>
              </w:tc>
              <w:tc>
                <w:tcPr>
                  <w:tcW w:w="1431" w:type="pct"/>
                  <w:tcBorders>
                    <w:tl2br w:val="nil"/>
                    <w:tr2bl w:val="nil"/>
                  </w:tcBorders>
                  <w:vAlign w:val="center"/>
                </w:tcPr>
                <w:p w14:paraId="1F35E0DD">
                  <w:pPr>
                    <w:pStyle w:val="12"/>
                    <w:rPr>
                      <w:rFonts w:hint="default" w:ascii="Times New Roman" w:hAnsi="Times New Roman" w:eastAsia="宋体" w:cs="Times New Roman"/>
                      <w:b w:val="0"/>
                      <w:bCs w:val="0"/>
                      <w:color w:val="000000" w:themeColor="text1"/>
                      <w:lang w:val="en-US" w:eastAsia="zh-CN"/>
                      <w14:textFill>
                        <w14:solidFill>
                          <w14:schemeClr w14:val="tx1"/>
                        </w14:solidFill>
                      </w14:textFill>
                    </w:rPr>
                  </w:pPr>
                  <w:r>
                    <w:rPr>
                      <w:rFonts w:hint="eastAsia" w:cs="Times New Roman"/>
                      <w:b w:val="0"/>
                      <w:bCs w:val="0"/>
                      <w:color w:val="000000" w:themeColor="text1"/>
                      <w:lang w:val="en-US" w:eastAsia="zh-CN"/>
                      <w14:textFill>
                        <w14:solidFill>
                          <w14:schemeClr w14:val="tx1"/>
                        </w14:solidFill>
                      </w14:textFill>
                    </w:rPr>
                    <w:t>VOCs</w:t>
                  </w:r>
                </w:p>
              </w:tc>
              <w:tc>
                <w:tcPr>
                  <w:tcW w:w="1123" w:type="pct"/>
                  <w:tcBorders>
                    <w:tl2br w:val="nil"/>
                    <w:tr2bl w:val="nil"/>
                  </w:tcBorders>
                  <w:vAlign w:val="center"/>
                </w:tcPr>
                <w:p w14:paraId="67B6DC1A">
                  <w:pPr>
                    <w:pStyle w:val="12"/>
                    <w:rPr>
                      <w:rFonts w:hint="default" w:ascii="Times New Roman" w:hAnsi="Times New Roman" w:eastAsia="宋体" w:cs="Times New Roman"/>
                      <w:b w:val="0"/>
                      <w:bCs w:val="0"/>
                      <w:color w:val="000000" w:themeColor="text1"/>
                      <w:lang w:val="en-US" w:eastAsia="zh-CN"/>
                      <w14:textFill>
                        <w14:solidFill>
                          <w14:schemeClr w14:val="tx1"/>
                        </w14:solidFill>
                      </w14:textFill>
                    </w:rPr>
                  </w:pPr>
                  <w:r>
                    <w:rPr>
                      <w:rFonts w:hint="eastAsia" w:cs="Times New Roman"/>
                      <w:b w:val="0"/>
                      <w:bCs w:val="0"/>
                      <w:color w:val="000000" w:themeColor="text1"/>
                      <w:lang w:val="en-US" w:eastAsia="zh-CN"/>
                      <w14:textFill>
                        <w14:solidFill>
                          <w14:schemeClr w14:val="tx1"/>
                        </w14:solidFill>
                      </w14:textFill>
                    </w:rPr>
                    <w:t>1次/年</w:t>
                  </w:r>
                </w:p>
              </w:tc>
            </w:tr>
          </w:tbl>
          <w:p w14:paraId="4EB11252">
            <w:pPr>
              <w:ind w:firstLine="482"/>
              <w:rPr>
                <w:rFonts w:hint="eastAsia" w:cs="Times New Roman"/>
                <w:b w:val="0"/>
                <w:bCs/>
                <w:color w:val="000000" w:themeColor="text1"/>
                <w:lang w:val="en-US" w:eastAsia="zh-CN"/>
                <w14:textFill>
                  <w14:solidFill>
                    <w14:schemeClr w14:val="tx1"/>
                  </w14:solidFill>
                </w14:textFill>
              </w:rPr>
            </w:pPr>
            <w:r>
              <w:rPr>
                <w:rFonts w:hint="eastAsia" w:cs="Times New Roman"/>
                <w:b w:val="0"/>
                <w:bCs/>
                <w:color w:val="000000" w:themeColor="text1"/>
                <w:lang w:val="en-US" w:eastAsia="zh-CN"/>
                <w14:textFill>
                  <w14:solidFill>
                    <w14:schemeClr w14:val="tx1"/>
                  </w14:solidFill>
                </w14:textFill>
              </w:rPr>
              <w:t>根据《环境影响评价技术导则 大气环境》（HJ2.2-2018）“9.3环境质量监测计划—9.3.1筛选按5.3.2要求计算的项目排放污染物P</w:t>
            </w:r>
            <w:r>
              <w:rPr>
                <w:rFonts w:hint="eastAsia" w:cs="Times New Roman"/>
                <w:b w:val="0"/>
                <w:bCs/>
                <w:color w:val="000000" w:themeColor="text1"/>
                <w:vertAlign w:val="subscript"/>
                <w:lang w:val="en-US" w:eastAsia="zh-CN"/>
                <w14:textFill>
                  <w14:solidFill>
                    <w14:schemeClr w14:val="tx1"/>
                  </w14:solidFill>
                </w14:textFill>
              </w:rPr>
              <w:t>i</w:t>
            </w:r>
            <w:r>
              <w:rPr>
                <w:rFonts w:hint="default" w:ascii="Times New Roman" w:hAnsi="Times New Roman" w:cs="Times New Roman"/>
                <w:b w:val="0"/>
                <w:bCs/>
                <w:color w:val="000000" w:themeColor="text1"/>
                <w:lang w:val="en-US" w:eastAsia="zh-CN"/>
                <w14:textFill>
                  <w14:solidFill>
                    <w14:schemeClr w14:val="tx1"/>
                  </w14:solidFill>
                </w14:textFill>
              </w:rPr>
              <w:t>≥</w:t>
            </w:r>
            <w:r>
              <w:rPr>
                <w:rFonts w:hint="eastAsia" w:cs="Times New Roman"/>
                <w:b w:val="0"/>
                <w:bCs/>
                <w:color w:val="000000" w:themeColor="text1"/>
                <w:lang w:val="en-US" w:eastAsia="zh-CN"/>
                <w14:textFill>
                  <w14:solidFill>
                    <w14:schemeClr w14:val="tx1"/>
                  </w14:solidFill>
                </w14:textFill>
              </w:rPr>
              <w:t>1%的其他污染物作为环境质量监测因子”。根据大气专项预测结果（表4-4）可知，本项目P</w:t>
            </w:r>
            <w:r>
              <w:rPr>
                <w:rFonts w:hint="default" w:ascii="Times New Roman" w:hAnsi="Times New Roman" w:cs="Times New Roman"/>
                <w:b w:val="0"/>
                <w:bCs/>
                <w:color w:val="000000" w:themeColor="text1"/>
                <w:vertAlign w:val="subscript"/>
                <w:lang w:val="en-US" w:eastAsia="zh-CN"/>
                <w14:textFill>
                  <w14:solidFill>
                    <w14:schemeClr w14:val="tx1"/>
                  </w14:solidFill>
                </w14:textFill>
              </w:rPr>
              <w:t>i</w:t>
            </w:r>
            <w:r>
              <w:rPr>
                <w:rFonts w:hint="default" w:ascii="Times New Roman" w:hAnsi="Times New Roman" w:cs="Times New Roman"/>
                <w:b w:val="0"/>
                <w:bCs/>
                <w:color w:val="000000" w:themeColor="text1"/>
                <w:lang w:val="en-US" w:eastAsia="zh-CN"/>
                <w14:textFill>
                  <w14:solidFill>
                    <w14:schemeClr w14:val="tx1"/>
                  </w14:solidFill>
                </w14:textFill>
              </w:rPr>
              <w:t>≥</w:t>
            </w:r>
            <w:r>
              <w:rPr>
                <w:rFonts w:hint="eastAsia" w:cs="Times New Roman"/>
                <w:b w:val="0"/>
                <w:bCs/>
                <w:color w:val="000000" w:themeColor="text1"/>
                <w:lang w:val="en-US" w:eastAsia="zh-CN"/>
                <w14:textFill>
                  <w14:solidFill>
                    <w14:schemeClr w14:val="tx1"/>
                  </w14:solidFill>
                </w14:textFill>
              </w:rPr>
              <w:t>1%的污染物为二氧化硫、氮氧化物、氟化物、二噁英、TSP。因此，本项目的环境质量监测计划如下表。</w:t>
            </w:r>
          </w:p>
          <w:p w14:paraId="72D53E4B">
            <w:pPr>
              <w:autoSpaceDE w:val="0"/>
              <w:autoSpaceDN w:val="0"/>
              <w:adjustRightInd w:val="0"/>
              <w:spacing w:line="240" w:lineRule="auto"/>
              <w:jc w:val="center"/>
              <w:rPr>
                <w:rFonts w:hint="default" w:ascii="Times New Roman" w:hAnsi="Times New Roman" w:cs="Times New Roman"/>
                <w:b/>
                <w:bCs/>
                <w:color w:val="000000" w:themeColor="text1"/>
                <w:sz w:val="21"/>
                <w:szCs w:val="21"/>
                <w14:textFill>
                  <w14:solidFill>
                    <w14:schemeClr w14:val="tx1"/>
                  </w14:solidFill>
                </w14:textFill>
              </w:rPr>
            </w:pPr>
            <w:r>
              <w:rPr>
                <w:rFonts w:hint="default" w:ascii="Times New Roman" w:hAnsi="Times New Roman" w:cs="Times New Roman"/>
                <w:b/>
                <w:bCs/>
                <w:color w:val="000000" w:themeColor="text1"/>
                <w:sz w:val="21"/>
                <w:szCs w:val="21"/>
                <w14:textFill>
                  <w14:solidFill>
                    <w14:schemeClr w14:val="tx1"/>
                  </w14:solidFill>
                </w14:textFill>
              </w:rPr>
              <w:t>表</w:t>
            </w:r>
            <w:r>
              <w:rPr>
                <w:rFonts w:hint="eastAsia" w:cs="Times New Roman"/>
                <w:b/>
                <w:bCs/>
                <w:color w:val="000000" w:themeColor="text1"/>
                <w:sz w:val="21"/>
                <w:szCs w:val="21"/>
                <w:lang w:val="en-US" w:eastAsia="zh-CN"/>
                <w14:textFill>
                  <w14:solidFill>
                    <w14:schemeClr w14:val="tx1"/>
                  </w14:solidFill>
                </w14:textFill>
              </w:rPr>
              <w:t>4-10 环境质量</w:t>
            </w:r>
            <w:r>
              <w:rPr>
                <w:rFonts w:hint="default" w:ascii="Times New Roman" w:hAnsi="Times New Roman" w:cs="Times New Roman"/>
                <w:b/>
                <w:bCs/>
                <w:color w:val="000000" w:themeColor="text1"/>
                <w:sz w:val="21"/>
                <w:szCs w:val="21"/>
                <w14:textFill>
                  <w14:solidFill>
                    <w14:schemeClr w14:val="tx1"/>
                  </w14:solidFill>
                </w14:textFill>
              </w:rPr>
              <w:t>监测计划一览表</w:t>
            </w:r>
          </w:p>
          <w:tbl>
            <w:tblPr>
              <w:tblStyle w:val="26"/>
              <w:tblW w:w="4993" w:type="pct"/>
              <w:jc w:val="center"/>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Layout w:type="autofit"/>
              <w:tblCellMar>
                <w:top w:w="0" w:type="dxa"/>
                <w:left w:w="108" w:type="dxa"/>
                <w:bottom w:w="0" w:type="dxa"/>
                <w:right w:w="108" w:type="dxa"/>
              </w:tblCellMar>
            </w:tblPr>
            <w:tblGrid>
              <w:gridCol w:w="1007"/>
              <w:gridCol w:w="1328"/>
              <w:gridCol w:w="1328"/>
              <w:gridCol w:w="4382"/>
              <w:gridCol w:w="1461"/>
            </w:tblGrid>
            <w:tr w14:paraId="7787C56E">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30" w:type="pct"/>
                  <w:tcBorders>
                    <w:tl2br w:val="nil"/>
                    <w:tr2bl w:val="nil"/>
                  </w:tcBorders>
                  <w:vAlign w:val="center"/>
                </w:tcPr>
                <w:p w14:paraId="1A76B532">
                  <w:pPr>
                    <w:pStyle w:val="45"/>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序号</w:t>
                  </w:r>
                </w:p>
              </w:tc>
              <w:tc>
                <w:tcPr>
                  <w:tcW w:w="698" w:type="pct"/>
                  <w:tcBorders>
                    <w:tl2br w:val="nil"/>
                    <w:tr2bl w:val="nil"/>
                  </w:tcBorders>
                  <w:vAlign w:val="center"/>
                </w:tcPr>
                <w:p w14:paraId="20D02495">
                  <w:pPr>
                    <w:pStyle w:val="45"/>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监测点位</w:t>
                  </w:r>
                </w:p>
              </w:tc>
              <w:tc>
                <w:tcPr>
                  <w:tcW w:w="698" w:type="pct"/>
                  <w:tcBorders>
                    <w:tl2br w:val="nil"/>
                    <w:tr2bl w:val="nil"/>
                  </w:tcBorders>
                  <w:vAlign w:val="center"/>
                </w:tcPr>
                <w:p w14:paraId="69271819">
                  <w:pPr>
                    <w:pStyle w:val="45"/>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点位个数</w:t>
                  </w:r>
                </w:p>
              </w:tc>
              <w:tc>
                <w:tcPr>
                  <w:tcW w:w="2304" w:type="pct"/>
                  <w:tcBorders>
                    <w:tl2br w:val="nil"/>
                    <w:tr2bl w:val="nil"/>
                  </w:tcBorders>
                  <w:vAlign w:val="center"/>
                </w:tcPr>
                <w:p w14:paraId="2D3D8E43">
                  <w:pPr>
                    <w:pStyle w:val="45"/>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监测因子</w:t>
                  </w:r>
                </w:p>
              </w:tc>
              <w:tc>
                <w:tcPr>
                  <w:tcW w:w="768" w:type="pct"/>
                  <w:tcBorders>
                    <w:tl2br w:val="nil"/>
                    <w:tr2bl w:val="nil"/>
                  </w:tcBorders>
                  <w:vAlign w:val="center"/>
                </w:tcPr>
                <w:p w14:paraId="49B15488">
                  <w:pPr>
                    <w:pStyle w:val="45"/>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监测频次</w:t>
                  </w:r>
                </w:p>
              </w:tc>
            </w:tr>
            <w:tr w14:paraId="1B2C6DDE">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30" w:type="pct"/>
                  <w:tcBorders>
                    <w:tl2br w:val="nil"/>
                    <w:tr2bl w:val="nil"/>
                  </w:tcBorders>
                  <w:vAlign w:val="center"/>
                </w:tcPr>
                <w:p w14:paraId="05F2C244">
                  <w:pPr>
                    <w:pStyle w:val="12"/>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14:textFill>
                        <w14:solidFill>
                          <w14:schemeClr w14:val="tx1"/>
                        </w14:solidFill>
                      </w14:textFill>
                    </w:rPr>
                    <w:t>1</w:t>
                  </w:r>
                </w:p>
              </w:tc>
              <w:tc>
                <w:tcPr>
                  <w:tcW w:w="698" w:type="pct"/>
                  <w:tcBorders>
                    <w:tl2br w:val="nil"/>
                    <w:tr2bl w:val="nil"/>
                  </w:tcBorders>
                  <w:vAlign w:val="center"/>
                </w:tcPr>
                <w:p w14:paraId="73531062">
                  <w:pPr>
                    <w:pStyle w:val="12"/>
                    <w:rPr>
                      <w:rFonts w:hint="eastAsia" w:ascii="Times New Roman" w:hAnsi="Times New Roman" w:eastAsia="宋体" w:cs="Times New Roman"/>
                      <w:b w:val="0"/>
                      <w:bCs w:val="0"/>
                      <w:color w:val="000000" w:themeColor="text1"/>
                      <w:lang w:eastAsia="zh-CN"/>
                      <w14:textFill>
                        <w14:solidFill>
                          <w14:schemeClr w14:val="tx1"/>
                        </w14:solidFill>
                      </w14:textFill>
                    </w:rPr>
                  </w:pPr>
                  <w:r>
                    <w:rPr>
                      <w:rFonts w:hint="eastAsia" w:cs="Times New Roman"/>
                      <w:b w:val="0"/>
                      <w:bCs w:val="0"/>
                      <w:color w:val="000000" w:themeColor="text1"/>
                      <w:lang w:val="en-US" w:eastAsia="zh-CN"/>
                      <w14:textFill>
                        <w14:solidFill>
                          <w14:schemeClr w14:val="tx1"/>
                        </w14:solidFill>
                      </w14:textFill>
                    </w:rPr>
                    <w:t>厂界</w:t>
                  </w:r>
                </w:p>
              </w:tc>
              <w:tc>
                <w:tcPr>
                  <w:tcW w:w="698" w:type="pct"/>
                  <w:tcBorders>
                    <w:tl2br w:val="nil"/>
                    <w:tr2bl w:val="nil"/>
                  </w:tcBorders>
                  <w:vAlign w:val="center"/>
                </w:tcPr>
                <w:p w14:paraId="24B2CCFA">
                  <w:pPr>
                    <w:pStyle w:val="12"/>
                    <w:rPr>
                      <w:rFonts w:hint="default" w:cs="Times New Roman"/>
                      <w:b w:val="0"/>
                      <w:bCs w:val="0"/>
                      <w:color w:val="000000" w:themeColor="text1"/>
                      <w:lang w:val="en-US" w:eastAsia="zh-CN"/>
                      <w14:textFill>
                        <w14:solidFill>
                          <w14:schemeClr w14:val="tx1"/>
                        </w14:solidFill>
                      </w14:textFill>
                    </w:rPr>
                  </w:pPr>
                  <w:r>
                    <w:rPr>
                      <w:rFonts w:hint="eastAsia" w:cs="Times New Roman"/>
                      <w:b w:val="0"/>
                      <w:bCs w:val="0"/>
                      <w:color w:val="000000" w:themeColor="text1"/>
                      <w:lang w:val="en-US" w:eastAsia="zh-CN"/>
                      <w14:textFill>
                        <w14:solidFill>
                          <w14:schemeClr w14:val="tx1"/>
                        </w14:solidFill>
                      </w14:textFill>
                    </w:rPr>
                    <w:t>1个</w:t>
                  </w:r>
                </w:p>
              </w:tc>
              <w:tc>
                <w:tcPr>
                  <w:tcW w:w="2304" w:type="pct"/>
                  <w:tcBorders>
                    <w:tl2br w:val="nil"/>
                    <w:tr2bl w:val="nil"/>
                  </w:tcBorders>
                  <w:vAlign w:val="center"/>
                </w:tcPr>
                <w:p w14:paraId="0C81B92B">
                  <w:pPr>
                    <w:pStyle w:val="12"/>
                    <w:rPr>
                      <w:rFonts w:hint="default" w:ascii="Times New Roman" w:hAnsi="Times New Roman" w:eastAsia="宋体" w:cs="Times New Roman"/>
                      <w:b w:val="0"/>
                      <w:bCs w:val="0"/>
                      <w:color w:val="000000" w:themeColor="text1"/>
                      <w:lang w:val="en-US" w:eastAsia="zh-CN"/>
                      <w14:textFill>
                        <w14:solidFill>
                          <w14:schemeClr w14:val="tx1"/>
                        </w14:solidFill>
                      </w14:textFill>
                    </w:rPr>
                  </w:pPr>
                  <w:r>
                    <w:rPr>
                      <w:rFonts w:hint="eastAsia" w:cs="Times New Roman"/>
                      <w:b w:val="0"/>
                      <w:bCs w:val="0"/>
                      <w:color w:val="000000" w:themeColor="text1"/>
                      <w:lang w:val="en-US" w:eastAsia="zh-CN"/>
                      <w14:textFill>
                        <w14:solidFill>
                          <w14:schemeClr w14:val="tx1"/>
                        </w14:solidFill>
                      </w14:textFill>
                    </w:rPr>
                    <w:t>TSP</w:t>
                  </w:r>
                  <w:r>
                    <w:rPr>
                      <w:rFonts w:hint="default" w:ascii="Times New Roman" w:hAnsi="Times New Roman" w:cs="Times New Roman"/>
                      <w:b w:val="0"/>
                      <w:bCs w:val="0"/>
                      <w:color w:val="000000" w:themeColor="text1"/>
                      <w:lang w:eastAsia="zh-CN"/>
                      <w14:textFill>
                        <w14:solidFill>
                          <w14:schemeClr w14:val="tx1"/>
                        </w14:solidFill>
                      </w14:textFill>
                    </w:rPr>
                    <w:t>、</w:t>
                  </w:r>
                  <w:r>
                    <w:rPr>
                      <w:rFonts w:hint="default" w:ascii="Times New Roman" w:hAnsi="Times New Roman" w:cs="Times New Roman"/>
                      <w:b w:val="0"/>
                      <w:bCs w:val="0"/>
                      <w:color w:val="000000" w:themeColor="text1"/>
                      <w:lang w:val="en-US" w:eastAsia="zh-CN"/>
                      <w14:textFill>
                        <w14:solidFill>
                          <w14:schemeClr w14:val="tx1"/>
                        </w14:solidFill>
                      </w14:textFill>
                    </w:rPr>
                    <w:t>二氧化硫、氮氧化物</w:t>
                  </w:r>
                  <w:r>
                    <w:rPr>
                      <w:rFonts w:hint="eastAsia" w:cs="Times New Roman"/>
                      <w:b w:val="0"/>
                      <w:bCs w:val="0"/>
                      <w:color w:val="000000" w:themeColor="text1"/>
                      <w:lang w:val="en-US" w:eastAsia="zh-CN"/>
                      <w14:textFill>
                        <w14:solidFill>
                          <w14:schemeClr w14:val="tx1"/>
                        </w14:solidFill>
                      </w14:textFill>
                    </w:rPr>
                    <w:t>、氟化物、二噁英</w:t>
                  </w:r>
                </w:p>
              </w:tc>
              <w:tc>
                <w:tcPr>
                  <w:tcW w:w="768" w:type="pct"/>
                  <w:tcBorders>
                    <w:tl2br w:val="nil"/>
                    <w:tr2bl w:val="nil"/>
                  </w:tcBorders>
                  <w:vAlign w:val="center"/>
                </w:tcPr>
                <w:p w14:paraId="6668E9AD">
                  <w:pPr>
                    <w:pStyle w:val="12"/>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14:textFill>
                        <w14:solidFill>
                          <w14:schemeClr w14:val="tx1"/>
                        </w14:solidFill>
                      </w14:textFill>
                    </w:rPr>
                    <w:t>1次/年</w:t>
                  </w:r>
                </w:p>
              </w:tc>
            </w:tr>
          </w:tbl>
          <w:p w14:paraId="60856FBF">
            <w:pPr>
              <w:ind w:firstLine="482"/>
              <w:rPr>
                <w:rFonts w:cs="Times New Roman"/>
                <w:b/>
                <w:color w:val="000000" w:themeColor="text1"/>
                <w14:textFill>
                  <w14:solidFill>
                    <w14:schemeClr w14:val="tx1"/>
                  </w14:solidFill>
                </w14:textFill>
              </w:rPr>
            </w:pPr>
            <w:r>
              <w:rPr>
                <w:rFonts w:hint="eastAsia" w:cs="Times New Roman"/>
                <w:b/>
                <w:color w:val="000000" w:themeColor="text1"/>
                <w:lang w:eastAsia="zh-CN"/>
                <w14:textFill>
                  <w14:solidFill>
                    <w14:schemeClr w14:val="tx1"/>
                  </w14:solidFill>
                </w14:textFill>
              </w:rPr>
              <w:t>（</w:t>
            </w:r>
            <w:r>
              <w:rPr>
                <w:rFonts w:hint="eastAsia" w:cs="Times New Roman"/>
                <w:b/>
                <w:color w:val="000000" w:themeColor="text1"/>
                <w:lang w:val="en-US" w:eastAsia="zh-CN"/>
                <w14:textFill>
                  <w14:solidFill>
                    <w14:schemeClr w14:val="tx1"/>
                  </w14:solidFill>
                </w14:textFill>
              </w:rPr>
              <w:t>7</w:t>
            </w:r>
            <w:r>
              <w:rPr>
                <w:rFonts w:hint="eastAsia" w:cs="Times New Roman"/>
                <w:b/>
                <w:color w:val="000000" w:themeColor="text1"/>
                <w:lang w:eastAsia="zh-CN"/>
                <w14:textFill>
                  <w14:solidFill>
                    <w14:schemeClr w14:val="tx1"/>
                  </w14:solidFill>
                </w14:textFill>
              </w:rPr>
              <w:t>）</w:t>
            </w:r>
            <w:r>
              <w:rPr>
                <w:rFonts w:cs="Times New Roman"/>
                <w:b/>
                <w:color w:val="000000" w:themeColor="text1"/>
                <w14:textFill>
                  <w14:solidFill>
                    <w14:schemeClr w14:val="tx1"/>
                  </w14:solidFill>
                </w14:textFill>
              </w:rPr>
              <w:t>大气环境影响评价结论</w:t>
            </w:r>
          </w:p>
          <w:p w14:paraId="6FD3CD23">
            <w:pPr>
              <w:ind w:firstLine="48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综上，本项目位于工业园区内，在严格落实废气相应的处置措施，废气经收集处理后可达标排放，不会对区域环境空气质量造成较大影响，不会改变区域环境空气功能，大气环境影响在可接受范围内。</w:t>
            </w:r>
          </w:p>
          <w:p w14:paraId="77EF43E4">
            <w:pPr>
              <w:pStyle w:val="3"/>
              <w:spacing w:before="163"/>
              <w:rPr>
                <w:color w:val="000000" w:themeColor="text1"/>
                <w14:textFill>
                  <w14:solidFill>
                    <w14:schemeClr w14:val="tx1"/>
                  </w14:solidFill>
                </w14:textFill>
              </w:rPr>
            </w:pPr>
            <w:r>
              <w:rPr>
                <w:color w:val="000000" w:themeColor="text1"/>
                <w14:textFill>
                  <w14:solidFill>
                    <w14:schemeClr w14:val="tx1"/>
                  </w14:solidFill>
                </w14:textFill>
              </w:rPr>
              <w:t>2、废水的排放及治理措施</w:t>
            </w:r>
          </w:p>
          <w:p w14:paraId="1F8638EA">
            <w:pPr>
              <w:keepNext w:val="0"/>
              <w:keepLines w:val="0"/>
              <w:widowControl/>
              <w:suppressLineNumbers w:val="0"/>
              <w:jc w:val="left"/>
              <w:rPr>
                <w:rFonts w:hint="eastAsia"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项目废水为</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W1</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压滤废水</w:t>
            </w:r>
            <w:r>
              <w:rPr>
                <w:rFonts w:hint="eastAsia" w:ascii="宋体" w:hAnsi="宋体" w:eastAsia="宋体" w:cs="宋体"/>
                <w:color w:val="000000" w:themeColor="text1"/>
                <w:kern w:val="0"/>
                <w:sz w:val="24"/>
                <w:szCs w:val="24"/>
                <w:lang w:val="en-US" w:eastAsia="zh-CN" w:bidi="ar"/>
                <w14:textFill>
                  <w14:solidFill>
                    <w14:schemeClr w14:val="tx1"/>
                  </w14:solidFill>
                </w14:textFill>
              </w:rPr>
              <w:t>、</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W2</w:t>
            </w:r>
            <w:r>
              <w:rPr>
                <w:rFonts w:hint="eastAsia" w:ascii="宋体" w:hAnsi="宋体" w:eastAsia="宋体" w:cs="宋体"/>
                <w:color w:val="000000" w:themeColor="text1"/>
                <w:kern w:val="0"/>
                <w:sz w:val="24"/>
                <w:szCs w:val="24"/>
                <w:lang w:val="en-US" w:eastAsia="zh-CN" w:bidi="ar"/>
                <w14:textFill>
                  <w14:solidFill>
                    <w14:schemeClr w14:val="tx1"/>
                  </w14:solidFill>
                </w14:textFill>
              </w:rPr>
              <w:t>渗滤液、</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W3</w:t>
            </w:r>
            <w:r>
              <w:rPr>
                <w:rFonts w:hint="eastAsia" w:ascii="宋体" w:hAnsi="宋体" w:eastAsia="宋体" w:cs="宋体"/>
                <w:color w:val="000000" w:themeColor="text1"/>
                <w:kern w:val="0"/>
                <w:sz w:val="24"/>
                <w:szCs w:val="24"/>
                <w:lang w:val="en-US" w:eastAsia="zh-CN" w:bidi="ar"/>
                <w14:textFill>
                  <w14:solidFill>
                    <w14:schemeClr w14:val="tx1"/>
                  </w14:solidFill>
                </w14:textFill>
              </w:rPr>
              <w:t>地面冲洗废水、</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W4</w:t>
            </w:r>
            <w:r>
              <w:rPr>
                <w:rFonts w:hint="eastAsia" w:ascii="宋体" w:hAnsi="宋体" w:eastAsia="宋体" w:cs="宋体"/>
                <w:color w:val="000000" w:themeColor="text1"/>
                <w:kern w:val="0"/>
                <w:sz w:val="24"/>
                <w:szCs w:val="24"/>
                <w:lang w:val="en-US" w:eastAsia="zh-CN" w:bidi="ar"/>
                <w14:textFill>
                  <w14:solidFill>
                    <w14:schemeClr w14:val="tx1"/>
                  </w14:solidFill>
                </w14:textFill>
              </w:rPr>
              <w:t>车辆冲洗废水、</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W5生</w:t>
            </w:r>
            <w:r>
              <w:rPr>
                <w:rFonts w:hint="eastAsia" w:ascii="宋体" w:hAnsi="宋体" w:eastAsia="宋体" w:cs="宋体"/>
                <w:color w:val="000000" w:themeColor="text1"/>
                <w:kern w:val="0"/>
                <w:sz w:val="24"/>
                <w:szCs w:val="24"/>
                <w:lang w:val="en-US" w:eastAsia="zh-CN" w:bidi="ar"/>
                <w14:textFill>
                  <w14:solidFill>
                    <w14:schemeClr w14:val="tx1"/>
                  </w14:solidFill>
                </w14:textFill>
              </w:rPr>
              <w:t>活污水。</w:t>
            </w:r>
          </w:p>
          <w:p w14:paraId="5FDB2D7E">
            <w:pPr>
              <w:pStyle w:val="11"/>
              <w:keepNext/>
              <w:keepLines w:val="0"/>
              <w:pageBreakBefore w:val="0"/>
              <w:widowControl/>
              <w:kinsoku/>
              <w:wordWrap/>
              <w:overflowPunct/>
              <w:topLinePunct w:val="0"/>
              <w:autoSpaceDE/>
              <w:autoSpaceDN/>
              <w:bidi w:val="0"/>
              <w:adjustRightInd w:val="0"/>
              <w:snapToGrid w:val="0"/>
              <w:spacing w:after="0"/>
              <w:textAlignment w:val="auto"/>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表</w:t>
            </w:r>
            <w:r>
              <w:rPr>
                <w:rFonts w:cs="Times New Roman"/>
                <w:color w:val="000000" w:themeColor="text1"/>
                <w14:textFill>
                  <w14:solidFill>
                    <w14:schemeClr w14:val="tx1"/>
                  </w14:solidFill>
                </w14:textFill>
              </w:rPr>
              <w:fldChar w:fldCharType="begin"/>
            </w:r>
            <w:r>
              <w:rPr>
                <w:rFonts w:cs="Times New Roman"/>
                <w:color w:val="000000" w:themeColor="text1"/>
                <w14:textFill>
                  <w14:solidFill>
                    <w14:schemeClr w14:val="tx1"/>
                  </w14:solidFill>
                </w14:textFill>
              </w:rPr>
              <w:instrText xml:space="preserve"> SEQ seq \c </w:instrText>
            </w:r>
            <w:r>
              <w:rPr>
                <w:rFonts w:cs="Times New Roman"/>
                <w:color w:val="000000" w:themeColor="text1"/>
                <w14:textFill>
                  <w14:solidFill>
                    <w14:schemeClr w14:val="tx1"/>
                  </w14:solidFill>
                </w14:textFill>
              </w:rPr>
              <w:fldChar w:fldCharType="separate"/>
            </w:r>
            <w:r>
              <w:rPr>
                <w:rFonts w:cs="Times New Roman"/>
                <w:color w:val="000000" w:themeColor="text1"/>
                <w14:textFill>
                  <w14:solidFill>
                    <w14:schemeClr w14:val="tx1"/>
                  </w14:solidFill>
                </w14:textFill>
              </w:rPr>
              <w:t>4</w:t>
            </w:r>
            <w:r>
              <w:rPr>
                <w:rFonts w:cs="Times New Roman"/>
                <w:color w:val="000000" w:themeColor="text1"/>
                <w14:textFill>
                  <w14:solidFill>
                    <w14:schemeClr w14:val="tx1"/>
                  </w14:solidFill>
                </w14:textFill>
              </w:rPr>
              <w:fldChar w:fldCharType="end"/>
            </w:r>
            <w:r>
              <w:rPr>
                <w:rFonts w:cs="Times New Roman"/>
                <w:color w:val="000000" w:themeColor="text1"/>
                <w14:textFill>
                  <w14:solidFill>
                    <w14:schemeClr w14:val="tx1"/>
                  </w14:solidFill>
                </w14:textFill>
              </w:rPr>
              <w:noBreakHyphen/>
            </w:r>
            <w:r>
              <w:rPr>
                <w:rFonts w:hint="eastAsia" w:cs="Times New Roman"/>
                <w:color w:val="000000" w:themeColor="text1"/>
                <w:lang w:val="en-US" w:eastAsia="zh-CN"/>
                <w14:textFill>
                  <w14:solidFill>
                    <w14:schemeClr w14:val="tx1"/>
                  </w14:solidFill>
                </w14:textFill>
              </w:rPr>
              <w:t>11</w:t>
            </w:r>
            <w:r>
              <w:rPr>
                <w:rFonts w:cs="Times New Roman"/>
                <w:color w:val="000000" w:themeColor="text1"/>
                <w14:textFill>
                  <w14:solidFill>
                    <w14:schemeClr w14:val="tx1"/>
                  </w14:solidFill>
                </w14:textFill>
              </w:rPr>
              <w:t xml:space="preserve"> </w:t>
            </w:r>
            <w:r>
              <w:rPr>
                <w:rFonts w:hint="eastAsia" w:cs="Times New Roman"/>
                <w:color w:val="000000" w:themeColor="text1"/>
                <w:lang w:val="en-US" w:eastAsia="zh-CN"/>
                <w14:textFill>
                  <w14:solidFill>
                    <w14:schemeClr w14:val="tx1"/>
                  </w14:solidFill>
                </w14:textFill>
              </w:rPr>
              <w:t>废水</w:t>
            </w:r>
            <w:r>
              <w:rPr>
                <w:rFonts w:cs="Times New Roman"/>
                <w:color w:val="000000" w:themeColor="text1"/>
                <w14:textFill>
                  <w14:solidFill>
                    <w14:schemeClr w14:val="tx1"/>
                  </w14:solidFill>
                </w14:textFill>
              </w:rPr>
              <w:t>基本情况</w:t>
            </w:r>
          </w:p>
          <w:tbl>
            <w:tblPr>
              <w:tblStyle w:val="27"/>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2"/>
              <w:gridCol w:w="1674"/>
              <w:gridCol w:w="1189"/>
              <w:gridCol w:w="940"/>
              <w:gridCol w:w="761"/>
              <w:gridCol w:w="2353"/>
              <w:gridCol w:w="1889"/>
            </w:tblGrid>
            <w:tr w14:paraId="306D0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9" w:type="pct"/>
                  <w:vAlign w:val="center"/>
                </w:tcPr>
                <w:p w14:paraId="4A24C510">
                  <w:pPr>
                    <w:pStyle w:val="45"/>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编号</w:t>
                  </w:r>
                </w:p>
              </w:tc>
              <w:tc>
                <w:tcPr>
                  <w:tcW w:w="880" w:type="pct"/>
                  <w:vAlign w:val="center"/>
                </w:tcPr>
                <w:p w14:paraId="2CA692F1">
                  <w:pPr>
                    <w:pStyle w:val="45"/>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名称</w:t>
                  </w:r>
                </w:p>
              </w:tc>
              <w:tc>
                <w:tcPr>
                  <w:tcW w:w="625" w:type="pct"/>
                  <w:vAlign w:val="center"/>
                </w:tcPr>
                <w:p w14:paraId="405B5E87">
                  <w:pPr>
                    <w:pStyle w:val="45"/>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产生环节</w:t>
                  </w:r>
                </w:p>
              </w:tc>
              <w:tc>
                <w:tcPr>
                  <w:tcW w:w="494" w:type="pct"/>
                  <w:vAlign w:val="center"/>
                </w:tcPr>
                <w:p w14:paraId="2E2C0C45">
                  <w:pPr>
                    <w:pStyle w:val="45"/>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污染物种类</w:t>
                  </w:r>
                </w:p>
              </w:tc>
              <w:tc>
                <w:tcPr>
                  <w:tcW w:w="400" w:type="pct"/>
                  <w:vAlign w:val="center"/>
                </w:tcPr>
                <w:p w14:paraId="066E03DD">
                  <w:pPr>
                    <w:pStyle w:val="45"/>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排放形式</w:t>
                  </w:r>
                </w:p>
              </w:tc>
              <w:tc>
                <w:tcPr>
                  <w:tcW w:w="1237" w:type="pct"/>
                  <w:vAlign w:val="center"/>
                </w:tcPr>
                <w:p w14:paraId="6F7AA88D">
                  <w:pPr>
                    <w:pStyle w:val="45"/>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治理措施</w:t>
                  </w:r>
                </w:p>
              </w:tc>
              <w:tc>
                <w:tcPr>
                  <w:tcW w:w="993" w:type="pct"/>
                  <w:vAlign w:val="center"/>
                </w:tcPr>
                <w:p w14:paraId="38D7707E">
                  <w:pPr>
                    <w:pStyle w:val="45"/>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排放方式</w:t>
                  </w:r>
                </w:p>
              </w:tc>
            </w:tr>
            <w:tr w14:paraId="5B0C3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9" w:type="pct"/>
                  <w:vAlign w:val="center"/>
                </w:tcPr>
                <w:p w14:paraId="404314F1">
                  <w:pPr>
                    <w:pStyle w:val="12"/>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kern w:val="21"/>
                      <w:lang w:val="en-US" w:eastAsia="zh-CN"/>
                      <w14:textFill>
                        <w14:solidFill>
                          <w14:schemeClr w14:val="tx1"/>
                        </w14:solidFill>
                      </w14:textFill>
                    </w:rPr>
                    <w:t>W1</w:t>
                  </w:r>
                </w:p>
              </w:tc>
              <w:tc>
                <w:tcPr>
                  <w:tcW w:w="880" w:type="pct"/>
                  <w:vAlign w:val="center"/>
                </w:tcPr>
                <w:p w14:paraId="236AFE73">
                  <w:pPr>
                    <w:pStyle w:val="12"/>
                    <w:rPr>
                      <w:rFonts w:hint="default" w:eastAsia="宋体" w:cs="Times New Roman"/>
                      <w:color w:val="000000" w:themeColor="text1"/>
                      <w:lang w:val="en-US" w:eastAsia="zh-CN"/>
                      <w14:textFill>
                        <w14:solidFill>
                          <w14:schemeClr w14:val="tx1"/>
                        </w14:solidFill>
                      </w14:textFill>
                    </w:rPr>
                  </w:pPr>
                  <w:r>
                    <w:rPr>
                      <w:rFonts w:hint="eastAsia" w:eastAsia="宋体" w:cs="Times New Roman"/>
                      <w:color w:val="000000" w:themeColor="text1"/>
                      <w:lang w:val="en-US" w:eastAsia="zh-CN"/>
                      <w14:textFill>
                        <w14:solidFill>
                          <w14:schemeClr w14:val="tx1"/>
                        </w14:solidFill>
                      </w14:textFill>
                    </w:rPr>
                    <w:t>压滤废水</w:t>
                  </w:r>
                </w:p>
              </w:tc>
              <w:tc>
                <w:tcPr>
                  <w:tcW w:w="625" w:type="pct"/>
                  <w:vAlign w:val="center"/>
                </w:tcPr>
                <w:p w14:paraId="0A2A9E6F">
                  <w:pPr>
                    <w:pStyle w:val="12"/>
                    <w:rPr>
                      <w:rFonts w:hint="default" w:eastAsia="宋体" w:cs="Times New Roman"/>
                      <w:color w:val="000000" w:themeColor="text1"/>
                      <w:lang w:val="en-US" w:eastAsia="zh-CN"/>
                      <w14:textFill>
                        <w14:solidFill>
                          <w14:schemeClr w14:val="tx1"/>
                        </w14:solidFill>
                      </w14:textFill>
                    </w:rPr>
                  </w:pPr>
                  <w:r>
                    <w:rPr>
                      <w:rFonts w:hint="eastAsia" w:eastAsia="宋体" w:cs="Times New Roman"/>
                      <w:color w:val="000000" w:themeColor="text1"/>
                      <w:lang w:val="en-US" w:eastAsia="zh-CN"/>
                      <w14:textFill>
                        <w14:solidFill>
                          <w14:schemeClr w14:val="tx1"/>
                        </w14:solidFill>
                      </w14:textFill>
                    </w:rPr>
                    <w:t>水基岩屑预处理</w:t>
                  </w:r>
                </w:p>
              </w:tc>
              <w:tc>
                <w:tcPr>
                  <w:tcW w:w="494" w:type="pct"/>
                  <w:vMerge w:val="restart"/>
                  <w:vAlign w:val="center"/>
                </w:tcPr>
                <w:p w14:paraId="744B1049">
                  <w:pPr>
                    <w:pStyle w:val="12"/>
                    <w:rPr>
                      <w:rFonts w:hint="default" w:eastAsia="宋体" w:cs="Times New Roman"/>
                      <w:color w:val="000000" w:themeColor="text1"/>
                      <w:lang w:val="en-US" w:eastAsia="zh-CN"/>
                      <w14:textFill>
                        <w14:solidFill>
                          <w14:schemeClr w14:val="tx1"/>
                        </w14:solidFill>
                      </w14:textFill>
                    </w:rPr>
                  </w:pPr>
                  <w:r>
                    <w:rPr>
                      <w:rFonts w:hint="eastAsia" w:eastAsia="宋体" w:cs="Times New Roman"/>
                      <w:color w:val="000000" w:themeColor="text1"/>
                      <w:lang w:val="en-US" w:eastAsia="zh-CN"/>
                      <w14:textFill>
                        <w14:solidFill>
                          <w14:schemeClr w14:val="tx1"/>
                        </w14:solidFill>
                      </w14:textFill>
                    </w:rPr>
                    <w:t>COD、SS、石油类等</w:t>
                  </w:r>
                </w:p>
              </w:tc>
              <w:tc>
                <w:tcPr>
                  <w:tcW w:w="400" w:type="pct"/>
                  <w:vAlign w:val="center"/>
                </w:tcPr>
                <w:p w14:paraId="1C3D34B7">
                  <w:pPr>
                    <w:pStyle w:val="12"/>
                    <w:rPr>
                      <w:rFonts w:hint="eastAsia" w:eastAsia="宋体" w:cs="Times New Roman"/>
                      <w:color w:val="000000" w:themeColor="text1"/>
                      <w:lang w:eastAsia="zh-CN"/>
                      <w14:textFill>
                        <w14:solidFill>
                          <w14:schemeClr w14:val="tx1"/>
                        </w14:solidFill>
                      </w14:textFill>
                    </w:rPr>
                  </w:pPr>
                  <w:r>
                    <w:rPr>
                      <w:rFonts w:hint="eastAsia" w:cs="Times New Roman"/>
                      <w:color w:val="000000" w:themeColor="text1"/>
                      <w:kern w:val="21"/>
                      <w:lang w:val="en-US" w:eastAsia="zh-CN"/>
                      <w14:textFill>
                        <w14:solidFill>
                          <w14:schemeClr w14:val="tx1"/>
                        </w14:solidFill>
                      </w14:textFill>
                    </w:rPr>
                    <w:t>间歇</w:t>
                  </w:r>
                </w:p>
              </w:tc>
              <w:tc>
                <w:tcPr>
                  <w:tcW w:w="1237" w:type="pct"/>
                  <w:vAlign w:val="center"/>
                </w:tcPr>
                <w:p w14:paraId="34F0B953">
                  <w:pPr>
                    <w:pStyle w:val="12"/>
                    <w:rPr>
                      <w:rFonts w:hint="default" w:eastAsia="宋体" w:cs="Times New Roman"/>
                      <w:color w:val="000000" w:themeColor="text1"/>
                      <w:lang w:val="en-US" w:eastAsia="zh-CN"/>
                      <w14:textFill>
                        <w14:solidFill>
                          <w14:schemeClr w14:val="tx1"/>
                        </w14:solidFill>
                      </w14:textFill>
                    </w:rPr>
                  </w:pPr>
                  <w:r>
                    <w:rPr>
                      <w:rFonts w:hint="eastAsia" w:eastAsia="宋体" w:cs="Times New Roman"/>
                      <w:color w:val="000000" w:themeColor="text1"/>
                      <w:lang w:val="en-US" w:eastAsia="zh-CN"/>
                      <w14:textFill>
                        <w14:solidFill>
                          <w14:schemeClr w14:val="tx1"/>
                        </w14:solidFill>
                      </w14:textFill>
                    </w:rPr>
                    <w:t>水基岩屑投加絮凝剂压滤预处理，压滤出的废水排入滤液池暂存</w:t>
                  </w:r>
                </w:p>
              </w:tc>
              <w:tc>
                <w:tcPr>
                  <w:tcW w:w="993" w:type="pct"/>
                  <w:vAlign w:val="center"/>
                </w:tcPr>
                <w:p w14:paraId="26A6EB19">
                  <w:pPr>
                    <w:pStyle w:val="12"/>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滤液池暂存，部分回用，剩余委托资质单位每日清运处置</w:t>
                  </w:r>
                </w:p>
              </w:tc>
            </w:tr>
            <w:tr w14:paraId="048BD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9" w:type="pct"/>
                  <w:vAlign w:val="center"/>
                </w:tcPr>
                <w:p w14:paraId="5C708274">
                  <w:pPr>
                    <w:pStyle w:val="12"/>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kern w:val="21"/>
                      <w:lang w:val="en-US" w:eastAsia="zh-CN"/>
                      <w14:textFill>
                        <w14:solidFill>
                          <w14:schemeClr w14:val="tx1"/>
                        </w14:solidFill>
                      </w14:textFill>
                    </w:rPr>
                    <w:t>W2</w:t>
                  </w:r>
                </w:p>
              </w:tc>
              <w:tc>
                <w:tcPr>
                  <w:tcW w:w="880" w:type="pct"/>
                  <w:vAlign w:val="center"/>
                </w:tcPr>
                <w:p w14:paraId="329E959F">
                  <w:pPr>
                    <w:pStyle w:val="12"/>
                    <w:rPr>
                      <w:rFonts w:hint="default" w:eastAsia="宋体" w:cs="Times New Roman"/>
                      <w:color w:val="000000" w:themeColor="text1"/>
                      <w:lang w:val="en-US" w:eastAsia="zh-CN"/>
                      <w14:textFill>
                        <w14:solidFill>
                          <w14:schemeClr w14:val="tx1"/>
                        </w14:solidFill>
                      </w14:textFill>
                    </w:rPr>
                  </w:pPr>
                  <w:r>
                    <w:rPr>
                      <w:rFonts w:hint="eastAsia" w:eastAsia="宋体" w:cs="Times New Roman"/>
                      <w:color w:val="000000" w:themeColor="text1"/>
                      <w:lang w:val="en-US" w:eastAsia="zh-CN"/>
                      <w14:textFill>
                        <w14:solidFill>
                          <w14:schemeClr w14:val="tx1"/>
                        </w14:solidFill>
                      </w14:textFill>
                    </w:rPr>
                    <w:t>渗滤液</w:t>
                  </w:r>
                </w:p>
              </w:tc>
              <w:tc>
                <w:tcPr>
                  <w:tcW w:w="625" w:type="pct"/>
                  <w:vAlign w:val="center"/>
                </w:tcPr>
                <w:p w14:paraId="79913FAE">
                  <w:pPr>
                    <w:pStyle w:val="12"/>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水基岩屑</w:t>
                  </w:r>
                  <w:r>
                    <w:rPr>
                      <w:rFonts w:hint="eastAsia" w:eastAsia="宋体" w:cs="Times New Roman"/>
                      <w:color w:val="000000" w:themeColor="text1"/>
                      <w:lang w:val="en-US" w:eastAsia="zh-CN"/>
                      <w14:textFill>
                        <w14:solidFill>
                          <w14:schemeClr w14:val="tx1"/>
                        </w14:solidFill>
                      </w14:textFill>
                    </w:rPr>
                    <w:t>堆存</w:t>
                  </w:r>
                </w:p>
              </w:tc>
              <w:tc>
                <w:tcPr>
                  <w:tcW w:w="494" w:type="pct"/>
                  <w:vMerge w:val="continue"/>
                  <w:vAlign w:val="center"/>
                </w:tcPr>
                <w:p w14:paraId="2FCC83D2">
                  <w:pPr>
                    <w:pStyle w:val="12"/>
                    <w:rPr>
                      <w:rFonts w:hint="default" w:eastAsia="宋体" w:cs="Times New Roman"/>
                      <w:color w:val="000000" w:themeColor="text1"/>
                      <w:lang w:val="en-US" w:eastAsia="zh-CN"/>
                      <w14:textFill>
                        <w14:solidFill>
                          <w14:schemeClr w14:val="tx1"/>
                        </w14:solidFill>
                      </w14:textFill>
                    </w:rPr>
                  </w:pPr>
                </w:p>
              </w:tc>
              <w:tc>
                <w:tcPr>
                  <w:tcW w:w="400" w:type="pct"/>
                  <w:vAlign w:val="center"/>
                </w:tcPr>
                <w:p w14:paraId="7754DE55">
                  <w:pPr>
                    <w:pStyle w:val="12"/>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w:t>
                  </w:r>
                </w:p>
              </w:tc>
              <w:tc>
                <w:tcPr>
                  <w:tcW w:w="1237" w:type="pct"/>
                  <w:vAlign w:val="center"/>
                </w:tcPr>
                <w:p w14:paraId="7CDF9D1D">
                  <w:pPr>
                    <w:pStyle w:val="12"/>
                    <w:rPr>
                      <w:rFonts w:hint="default" w:eastAsia="宋体" w:cs="Times New Roman"/>
                      <w:color w:val="000000" w:themeColor="text1"/>
                      <w:lang w:val="en-US" w:eastAsia="zh-CN"/>
                      <w14:textFill>
                        <w14:solidFill>
                          <w14:schemeClr w14:val="tx1"/>
                        </w14:solidFill>
                      </w14:textFill>
                    </w:rPr>
                  </w:pPr>
                  <w:r>
                    <w:rPr>
                      <w:rFonts w:hint="eastAsia" w:eastAsia="宋体" w:cs="Times New Roman"/>
                      <w:color w:val="000000" w:themeColor="text1"/>
                      <w:lang w:val="en-US" w:eastAsia="zh-CN"/>
                      <w14:textFill>
                        <w14:solidFill>
                          <w14:schemeClr w14:val="tx1"/>
                        </w14:solidFill>
                      </w14:textFill>
                    </w:rPr>
                    <w:t>随</w:t>
                  </w:r>
                  <w:r>
                    <w:rPr>
                      <w:rFonts w:hint="eastAsia" w:cs="Times New Roman"/>
                      <w:color w:val="000000" w:themeColor="text1"/>
                      <w:lang w:val="en-US" w:eastAsia="zh-CN"/>
                      <w14:textFill>
                        <w14:solidFill>
                          <w14:schemeClr w14:val="tx1"/>
                        </w14:solidFill>
                      </w14:textFill>
                    </w:rPr>
                    <w:t>水基岩屑</w:t>
                  </w:r>
                  <w:r>
                    <w:rPr>
                      <w:rFonts w:hint="eastAsia" w:eastAsia="宋体" w:cs="Times New Roman"/>
                      <w:color w:val="000000" w:themeColor="text1"/>
                      <w:lang w:val="en-US" w:eastAsia="zh-CN"/>
                      <w14:textFill>
                        <w14:solidFill>
                          <w14:schemeClr w14:val="tx1"/>
                        </w14:solidFill>
                      </w14:textFill>
                    </w:rPr>
                    <w:t>一同进入</w:t>
                  </w:r>
                  <w:r>
                    <w:rPr>
                      <w:rFonts w:hint="eastAsia" w:cs="Times New Roman"/>
                      <w:color w:val="000000" w:themeColor="text1"/>
                      <w:lang w:val="en-US" w:eastAsia="zh-CN"/>
                      <w14:textFill>
                        <w14:solidFill>
                          <w14:schemeClr w14:val="tx1"/>
                        </w14:solidFill>
                      </w14:textFill>
                    </w:rPr>
                    <w:t>煅烧</w:t>
                  </w:r>
                  <w:r>
                    <w:rPr>
                      <w:rFonts w:hint="eastAsia" w:eastAsia="宋体" w:cs="Times New Roman"/>
                      <w:color w:val="000000" w:themeColor="text1"/>
                      <w:lang w:val="en-US" w:eastAsia="zh-CN"/>
                      <w14:textFill>
                        <w14:solidFill>
                          <w14:schemeClr w14:val="tx1"/>
                        </w14:solidFill>
                      </w14:textFill>
                    </w:rPr>
                    <w:t>工序蒸发</w:t>
                  </w:r>
                </w:p>
              </w:tc>
              <w:tc>
                <w:tcPr>
                  <w:tcW w:w="993" w:type="pct"/>
                  <w:vAlign w:val="center"/>
                </w:tcPr>
                <w:p w14:paraId="23943FBB">
                  <w:pPr>
                    <w:pStyle w:val="12"/>
                    <w:rPr>
                      <w:rFonts w:hint="eastAsia"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不排放</w:t>
                  </w:r>
                </w:p>
              </w:tc>
            </w:tr>
            <w:tr w14:paraId="31844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69" w:type="pct"/>
                  <w:vAlign w:val="center"/>
                </w:tcPr>
                <w:p w14:paraId="46ED6102">
                  <w:pPr>
                    <w:pStyle w:val="12"/>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W3</w:t>
                  </w:r>
                </w:p>
              </w:tc>
              <w:tc>
                <w:tcPr>
                  <w:tcW w:w="880" w:type="pct"/>
                  <w:vAlign w:val="center"/>
                </w:tcPr>
                <w:p w14:paraId="5AB65D7B">
                  <w:pPr>
                    <w:pStyle w:val="12"/>
                    <w:rPr>
                      <w:rFonts w:hint="default" w:eastAsia="宋体" w:cs="Times New Roman"/>
                      <w:color w:val="000000" w:themeColor="text1"/>
                      <w:lang w:val="en-US" w:eastAsia="zh-CN"/>
                      <w14:textFill>
                        <w14:solidFill>
                          <w14:schemeClr w14:val="tx1"/>
                        </w14:solidFill>
                      </w14:textFill>
                    </w:rPr>
                  </w:pPr>
                  <w:r>
                    <w:rPr>
                      <w:rFonts w:hint="eastAsia" w:eastAsia="宋体" w:cs="Times New Roman"/>
                      <w:color w:val="000000" w:themeColor="text1"/>
                      <w:lang w:val="en-US" w:eastAsia="zh-CN"/>
                      <w14:textFill>
                        <w14:solidFill>
                          <w14:schemeClr w14:val="tx1"/>
                        </w14:solidFill>
                      </w14:textFill>
                    </w:rPr>
                    <w:t>地面冲洗废水</w:t>
                  </w:r>
                </w:p>
              </w:tc>
              <w:tc>
                <w:tcPr>
                  <w:tcW w:w="625" w:type="pct"/>
                  <w:vAlign w:val="center"/>
                </w:tcPr>
                <w:p w14:paraId="5D6885E0">
                  <w:pPr>
                    <w:pStyle w:val="12"/>
                    <w:rPr>
                      <w:rFonts w:hint="default" w:eastAsia="宋体" w:cs="Times New Roman"/>
                      <w:color w:val="000000" w:themeColor="text1"/>
                      <w:lang w:val="en-US" w:eastAsia="zh-CN"/>
                      <w14:textFill>
                        <w14:solidFill>
                          <w14:schemeClr w14:val="tx1"/>
                        </w14:solidFill>
                      </w14:textFill>
                    </w:rPr>
                  </w:pPr>
                  <w:r>
                    <w:rPr>
                      <w:rFonts w:hint="eastAsia" w:eastAsia="宋体" w:cs="Times New Roman"/>
                      <w:color w:val="000000" w:themeColor="text1"/>
                      <w:lang w:val="en-US" w:eastAsia="zh-CN"/>
                      <w14:textFill>
                        <w14:solidFill>
                          <w14:schemeClr w14:val="tx1"/>
                        </w14:solidFill>
                      </w14:textFill>
                    </w:rPr>
                    <w:t>地面冲洗</w:t>
                  </w:r>
                </w:p>
              </w:tc>
              <w:tc>
                <w:tcPr>
                  <w:tcW w:w="494" w:type="pct"/>
                  <w:vMerge w:val="continue"/>
                  <w:vAlign w:val="center"/>
                </w:tcPr>
                <w:p w14:paraId="75455C69">
                  <w:pPr>
                    <w:pStyle w:val="12"/>
                    <w:rPr>
                      <w:rFonts w:cs="Times New Roman"/>
                      <w:color w:val="000000" w:themeColor="text1"/>
                      <w14:textFill>
                        <w14:solidFill>
                          <w14:schemeClr w14:val="tx1"/>
                        </w14:solidFill>
                      </w14:textFill>
                    </w:rPr>
                  </w:pPr>
                </w:p>
              </w:tc>
              <w:tc>
                <w:tcPr>
                  <w:tcW w:w="400" w:type="pct"/>
                  <w:vAlign w:val="center"/>
                </w:tcPr>
                <w:p w14:paraId="7A94B62C">
                  <w:pPr>
                    <w:pStyle w:val="12"/>
                    <w:rPr>
                      <w:rFonts w:hint="eastAsia" w:eastAsia="宋体" w:cs="Times New Roman"/>
                      <w:color w:val="000000" w:themeColor="text1"/>
                      <w:lang w:eastAsia="zh-CN"/>
                      <w14:textFill>
                        <w14:solidFill>
                          <w14:schemeClr w14:val="tx1"/>
                        </w14:solidFill>
                      </w14:textFill>
                    </w:rPr>
                  </w:pPr>
                  <w:r>
                    <w:rPr>
                      <w:rFonts w:hint="eastAsia" w:cs="Times New Roman"/>
                      <w:color w:val="000000" w:themeColor="text1"/>
                      <w:kern w:val="21"/>
                      <w:lang w:val="en-US" w:eastAsia="zh-CN"/>
                      <w14:textFill>
                        <w14:solidFill>
                          <w14:schemeClr w14:val="tx1"/>
                        </w14:solidFill>
                      </w14:textFill>
                    </w:rPr>
                    <w:t>间歇</w:t>
                  </w:r>
                </w:p>
              </w:tc>
              <w:tc>
                <w:tcPr>
                  <w:tcW w:w="1237" w:type="pct"/>
                  <w:vMerge w:val="restart"/>
                  <w:vAlign w:val="center"/>
                </w:tcPr>
                <w:p w14:paraId="1EA71012">
                  <w:pPr>
                    <w:pStyle w:val="12"/>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排入水基岩屑储存池内，随水基岩屑一同絮凝+压滤</w:t>
                  </w:r>
                </w:p>
              </w:tc>
              <w:tc>
                <w:tcPr>
                  <w:tcW w:w="993" w:type="pct"/>
                  <w:vMerge w:val="restart"/>
                  <w:vAlign w:val="center"/>
                </w:tcPr>
                <w:p w14:paraId="24DB7B91">
                  <w:pPr>
                    <w:pStyle w:val="12"/>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计入压滤废水中</w:t>
                  </w:r>
                </w:p>
              </w:tc>
            </w:tr>
            <w:tr w14:paraId="50D44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9" w:type="pct"/>
                  <w:vAlign w:val="center"/>
                </w:tcPr>
                <w:p w14:paraId="026AECE9">
                  <w:pPr>
                    <w:pStyle w:val="12"/>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W4</w:t>
                  </w:r>
                </w:p>
              </w:tc>
              <w:tc>
                <w:tcPr>
                  <w:tcW w:w="880" w:type="pct"/>
                  <w:vAlign w:val="center"/>
                </w:tcPr>
                <w:p w14:paraId="6B2EFB06">
                  <w:pPr>
                    <w:pStyle w:val="12"/>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车辆冲洗废水</w:t>
                  </w:r>
                </w:p>
              </w:tc>
              <w:tc>
                <w:tcPr>
                  <w:tcW w:w="625" w:type="pct"/>
                  <w:vAlign w:val="center"/>
                </w:tcPr>
                <w:p w14:paraId="5A0E1ACC">
                  <w:pPr>
                    <w:pStyle w:val="12"/>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车辆冲洗</w:t>
                  </w:r>
                </w:p>
              </w:tc>
              <w:tc>
                <w:tcPr>
                  <w:tcW w:w="494" w:type="pct"/>
                  <w:vMerge w:val="continue"/>
                  <w:vAlign w:val="center"/>
                </w:tcPr>
                <w:p w14:paraId="0997404F">
                  <w:pPr>
                    <w:pStyle w:val="12"/>
                    <w:rPr>
                      <w:rFonts w:hint="eastAsia" w:eastAsia="宋体" w:cs="Times New Roman"/>
                      <w:color w:val="000000" w:themeColor="text1"/>
                      <w:lang w:val="en-US" w:eastAsia="zh-CN"/>
                      <w14:textFill>
                        <w14:solidFill>
                          <w14:schemeClr w14:val="tx1"/>
                        </w14:solidFill>
                      </w14:textFill>
                    </w:rPr>
                  </w:pPr>
                </w:p>
              </w:tc>
              <w:tc>
                <w:tcPr>
                  <w:tcW w:w="400" w:type="pct"/>
                  <w:vAlign w:val="center"/>
                </w:tcPr>
                <w:p w14:paraId="07D069CD">
                  <w:pPr>
                    <w:pStyle w:val="12"/>
                    <w:rPr>
                      <w:rFonts w:hint="eastAsia" w:eastAsia="宋体" w:cs="Times New Roman"/>
                      <w:color w:val="000000" w:themeColor="text1"/>
                      <w:kern w:val="21"/>
                      <w:lang w:val="en-US" w:eastAsia="zh-CN"/>
                      <w14:textFill>
                        <w14:solidFill>
                          <w14:schemeClr w14:val="tx1"/>
                        </w14:solidFill>
                      </w14:textFill>
                    </w:rPr>
                  </w:pPr>
                  <w:r>
                    <w:rPr>
                      <w:rFonts w:hint="eastAsia" w:cs="Times New Roman"/>
                      <w:color w:val="000000" w:themeColor="text1"/>
                      <w:kern w:val="21"/>
                      <w:lang w:val="en-US" w:eastAsia="zh-CN"/>
                      <w14:textFill>
                        <w14:solidFill>
                          <w14:schemeClr w14:val="tx1"/>
                        </w14:solidFill>
                      </w14:textFill>
                    </w:rPr>
                    <w:t>间歇</w:t>
                  </w:r>
                </w:p>
              </w:tc>
              <w:tc>
                <w:tcPr>
                  <w:tcW w:w="1237" w:type="pct"/>
                  <w:vMerge w:val="continue"/>
                  <w:vAlign w:val="center"/>
                </w:tcPr>
                <w:p w14:paraId="4A71B3BE">
                  <w:pPr>
                    <w:pStyle w:val="12"/>
                    <w:rPr>
                      <w:rFonts w:hint="default" w:eastAsia="宋体" w:cs="Times New Roman"/>
                      <w:color w:val="000000" w:themeColor="text1"/>
                      <w:lang w:val="en-US" w:eastAsia="zh-CN"/>
                      <w14:textFill>
                        <w14:solidFill>
                          <w14:schemeClr w14:val="tx1"/>
                        </w14:solidFill>
                      </w14:textFill>
                    </w:rPr>
                  </w:pPr>
                </w:p>
              </w:tc>
              <w:tc>
                <w:tcPr>
                  <w:tcW w:w="993" w:type="pct"/>
                  <w:vMerge w:val="continue"/>
                  <w:vAlign w:val="center"/>
                </w:tcPr>
                <w:p w14:paraId="79733C5F">
                  <w:pPr>
                    <w:pStyle w:val="12"/>
                    <w:rPr>
                      <w:rFonts w:hint="default" w:eastAsia="宋体" w:cs="Times New Roman"/>
                      <w:color w:val="000000" w:themeColor="text1"/>
                      <w:lang w:val="en-US" w:eastAsia="zh-CN"/>
                      <w14:textFill>
                        <w14:solidFill>
                          <w14:schemeClr w14:val="tx1"/>
                        </w14:solidFill>
                      </w14:textFill>
                    </w:rPr>
                  </w:pPr>
                </w:p>
              </w:tc>
            </w:tr>
            <w:tr w14:paraId="37DDC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9" w:type="pct"/>
                  <w:vAlign w:val="center"/>
                </w:tcPr>
                <w:p w14:paraId="63D2339A">
                  <w:pPr>
                    <w:pStyle w:val="12"/>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W5</w:t>
                  </w:r>
                </w:p>
              </w:tc>
              <w:tc>
                <w:tcPr>
                  <w:tcW w:w="880" w:type="pct"/>
                  <w:vAlign w:val="center"/>
                </w:tcPr>
                <w:p w14:paraId="644E1D4B">
                  <w:pPr>
                    <w:pStyle w:val="12"/>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喷淋废水</w:t>
                  </w:r>
                </w:p>
              </w:tc>
              <w:tc>
                <w:tcPr>
                  <w:tcW w:w="625" w:type="pct"/>
                  <w:vAlign w:val="center"/>
                </w:tcPr>
                <w:p w14:paraId="7A25861D">
                  <w:pPr>
                    <w:pStyle w:val="12"/>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废气处理</w:t>
                  </w:r>
                </w:p>
              </w:tc>
              <w:tc>
                <w:tcPr>
                  <w:tcW w:w="494" w:type="pct"/>
                  <w:vAlign w:val="center"/>
                </w:tcPr>
                <w:p w14:paraId="2539C302">
                  <w:pPr>
                    <w:pStyle w:val="12"/>
                    <w:ind w:firstLine="0" w:firstLineChars="0"/>
                    <w:rPr>
                      <w:rFonts w:hint="eastAsia" w:cs="Times New Roman"/>
                      <w:color w:val="000000" w:themeColor="text1"/>
                      <w:lang w:val="en-US" w:eastAsia="zh-CN"/>
                      <w14:textFill>
                        <w14:solidFill>
                          <w14:schemeClr w14:val="tx1"/>
                        </w14:solidFill>
                      </w14:textFill>
                    </w:rPr>
                  </w:pPr>
                  <w:r>
                    <w:rPr>
                      <w:rFonts w:cs="Times New Roman"/>
                      <w:bCs/>
                      <w:color w:val="000000" w:themeColor="text1"/>
                      <w:szCs w:val="21"/>
                      <w14:textFill>
                        <w14:solidFill>
                          <w14:schemeClr w14:val="tx1"/>
                        </w14:solidFill>
                      </w14:textFill>
                    </w:rPr>
                    <w:t>COD、</w:t>
                  </w:r>
                  <w:r>
                    <w:rPr>
                      <w:rFonts w:hint="eastAsia" w:cs="Times New Roman"/>
                      <w:bCs/>
                      <w:color w:val="000000" w:themeColor="text1"/>
                      <w:szCs w:val="21"/>
                      <w:lang w:val="en-US" w:eastAsia="zh-CN"/>
                      <w14:textFill>
                        <w14:solidFill>
                          <w14:schemeClr w14:val="tx1"/>
                        </w14:solidFill>
                      </w14:textFill>
                    </w:rPr>
                    <w:t>SS等</w:t>
                  </w:r>
                </w:p>
              </w:tc>
              <w:tc>
                <w:tcPr>
                  <w:tcW w:w="400" w:type="pct"/>
                  <w:vAlign w:val="center"/>
                </w:tcPr>
                <w:p w14:paraId="4F36EF12">
                  <w:pPr>
                    <w:pStyle w:val="12"/>
                    <w:rPr>
                      <w:rFonts w:hint="default" w:cs="Times New Roman"/>
                      <w:color w:val="000000" w:themeColor="text1"/>
                      <w:kern w:val="21"/>
                      <w:lang w:val="en-US" w:eastAsia="zh-CN"/>
                      <w14:textFill>
                        <w14:solidFill>
                          <w14:schemeClr w14:val="tx1"/>
                        </w14:solidFill>
                      </w14:textFill>
                    </w:rPr>
                  </w:pPr>
                  <w:r>
                    <w:rPr>
                      <w:rFonts w:hint="eastAsia" w:cs="Times New Roman"/>
                      <w:color w:val="000000" w:themeColor="text1"/>
                      <w:kern w:val="21"/>
                      <w:lang w:val="en-US" w:eastAsia="zh-CN"/>
                      <w14:textFill>
                        <w14:solidFill>
                          <w14:schemeClr w14:val="tx1"/>
                        </w14:solidFill>
                      </w14:textFill>
                    </w:rPr>
                    <w:t>连续</w:t>
                  </w:r>
                </w:p>
              </w:tc>
              <w:tc>
                <w:tcPr>
                  <w:tcW w:w="1237" w:type="pct"/>
                  <w:vAlign w:val="center"/>
                </w:tcPr>
                <w:p w14:paraId="1985827F">
                  <w:pPr>
                    <w:pStyle w:val="12"/>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排入滤液池内，随压滤废水一并处理</w:t>
                  </w:r>
                </w:p>
              </w:tc>
              <w:tc>
                <w:tcPr>
                  <w:tcW w:w="993" w:type="pct"/>
                  <w:vAlign w:val="center"/>
                </w:tcPr>
                <w:p w14:paraId="7A840E81">
                  <w:pPr>
                    <w:pStyle w:val="12"/>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计入压滤废水中</w:t>
                  </w:r>
                </w:p>
              </w:tc>
            </w:tr>
            <w:tr w14:paraId="5FD52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9" w:type="pct"/>
                  <w:vAlign w:val="center"/>
                </w:tcPr>
                <w:p w14:paraId="210E05A0">
                  <w:pPr>
                    <w:pStyle w:val="12"/>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W6</w:t>
                  </w:r>
                </w:p>
              </w:tc>
              <w:tc>
                <w:tcPr>
                  <w:tcW w:w="880" w:type="pct"/>
                  <w:vAlign w:val="center"/>
                </w:tcPr>
                <w:p w14:paraId="1485CC72">
                  <w:pPr>
                    <w:pStyle w:val="12"/>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蒸养冷凝水</w:t>
                  </w:r>
                </w:p>
              </w:tc>
              <w:tc>
                <w:tcPr>
                  <w:tcW w:w="625" w:type="pct"/>
                  <w:vAlign w:val="center"/>
                </w:tcPr>
                <w:p w14:paraId="3F913E44">
                  <w:pPr>
                    <w:pStyle w:val="12"/>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蒸养工序</w:t>
                  </w:r>
                </w:p>
              </w:tc>
              <w:tc>
                <w:tcPr>
                  <w:tcW w:w="494" w:type="pct"/>
                  <w:vAlign w:val="center"/>
                </w:tcPr>
                <w:p w14:paraId="2C834C62">
                  <w:pPr>
                    <w:pStyle w:val="12"/>
                    <w:ind w:firstLine="0" w:firstLineChars="0"/>
                    <w:rPr>
                      <w:rFonts w:hint="eastAsia" w:cs="Times New Roman"/>
                      <w:color w:val="000000" w:themeColor="text1"/>
                      <w:lang w:val="en-US" w:eastAsia="zh-CN"/>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SS等</w:t>
                  </w:r>
                </w:p>
              </w:tc>
              <w:tc>
                <w:tcPr>
                  <w:tcW w:w="400" w:type="pct"/>
                  <w:vAlign w:val="center"/>
                </w:tcPr>
                <w:p w14:paraId="2E59FD22">
                  <w:pPr>
                    <w:pStyle w:val="12"/>
                    <w:rPr>
                      <w:rFonts w:hint="default" w:cs="Times New Roman"/>
                      <w:color w:val="000000" w:themeColor="text1"/>
                      <w:kern w:val="21"/>
                      <w:lang w:val="en-US" w:eastAsia="zh-CN"/>
                      <w14:textFill>
                        <w14:solidFill>
                          <w14:schemeClr w14:val="tx1"/>
                        </w14:solidFill>
                      </w14:textFill>
                    </w:rPr>
                  </w:pPr>
                  <w:r>
                    <w:rPr>
                      <w:rFonts w:hint="eastAsia" w:cs="Times New Roman"/>
                      <w:color w:val="000000" w:themeColor="text1"/>
                      <w:kern w:val="21"/>
                      <w:lang w:val="en-US" w:eastAsia="zh-CN"/>
                      <w14:textFill>
                        <w14:solidFill>
                          <w14:schemeClr w14:val="tx1"/>
                        </w14:solidFill>
                      </w14:textFill>
                    </w:rPr>
                    <w:t>间歇</w:t>
                  </w:r>
                </w:p>
              </w:tc>
              <w:tc>
                <w:tcPr>
                  <w:tcW w:w="1237" w:type="pct"/>
                  <w:vAlign w:val="center"/>
                </w:tcPr>
                <w:p w14:paraId="6775C00A">
                  <w:pPr>
                    <w:pStyle w:val="12"/>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全部回用于免烧砌块生产</w:t>
                  </w:r>
                </w:p>
              </w:tc>
              <w:tc>
                <w:tcPr>
                  <w:tcW w:w="993" w:type="pct"/>
                  <w:vAlign w:val="center"/>
                </w:tcPr>
                <w:p w14:paraId="2C9072FD">
                  <w:pPr>
                    <w:pStyle w:val="12"/>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不排放</w:t>
                  </w:r>
                </w:p>
              </w:tc>
            </w:tr>
            <w:tr w14:paraId="73F9E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9" w:type="pct"/>
                  <w:vAlign w:val="center"/>
                </w:tcPr>
                <w:p w14:paraId="34554FC6">
                  <w:pPr>
                    <w:pStyle w:val="12"/>
                    <w:ind w:firstLine="0" w:firstLineChars="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W7</w:t>
                  </w:r>
                </w:p>
              </w:tc>
              <w:tc>
                <w:tcPr>
                  <w:tcW w:w="880" w:type="pct"/>
                  <w:vAlign w:val="center"/>
                </w:tcPr>
                <w:p w14:paraId="46AC99E5">
                  <w:pPr>
                    <w:pStyle w:val="12"/>
                    <w:ind w:firstLine="0" w:firstLineChars="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生活污水</w:t>
                  </w:r>
                </w:p>
              </w:tc>
              <w:tc>
                <w:tcPr>
                  <w:tcW w:w="625" w:type="pct"/>
                  <w:vAlign w:val="center"/>
                </w:tcPr>
                <w:p w14:paraId="191E08D7">
                  <w:pPr>
                    <w:pStyle w:val="12"/>
                    <w:ind w:firstLine="0" w:firstLineChars="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生活办公</w:t>
                  </w:r>
                </w:p>
              </w:tc>
              <w:tc>
                <w:tcPr>
                  <w:tcW w:w="494" w:type="pct"/>
                  <w:vAlign w:val="center"/>
                </w:tcPr>
                <w:p w14:paraId="0F939E8A">
                  <w:pPr>
                    <w:pStyle w:val="12"/>
                    <w:ind w:firstLine="0" w:firstLineChars="0"/>
                    <w:rPr>
                      <w:rFonts w:hint="eastAsia"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颗粒物</w:t>
                  </w:r>
                </w:p>
              </w:tc>
              <w:tc>
                <w:tcPr>
                  <w:tcW w:w="400" w:type="pct"/>
                  <w:vAlign w:val="center"/>
                </w:tcPr>
                <w:p w14:paraId="714129EA">
                  <w:pPr>
                    <w:pStyle w:val="12"/>
                    <w:ind w:firstLine="0" w:firstLineChars="0"/>
                    <w:rPr>
                      <w:rFonts w:hint="eastAsia" w:cs="Times New Roman"/>
                      <w:color w:val="000000" w:themeColor="text1"/>
                      <w:kern w:val="21"/>
                      <w:lang w:val="en-US" w:eastAsia="zh-CN"/>
                      <w14:textFill>
                        <w14:solidFill>
                          <w14:schemeClr w14:val="tx1"/>
                        </w14:solidFill>
                      </w14:textFill>
                    </w:rPr>
                  </w:pPr>
                  <w:r>
                    <w:rPr>
                      <w:rFonts w:hint="eastAsia" w:cs="Times New Roman"/>
                      <w:color w:val="000000" w:themeColor="text1"/>
                      <w:kern w:val="21"/>
                      <w:lang w:val="en-US" w:eastAsia="zh-CN"/>
                      <w14:textFill>
                        <w14:solidFill>
                          <w14:schemeClr w14:val="tx1"/>
                        </w14:solidFill>
                      </w14:textFill>
                    </w:rPr>
                    <w:t>间歇</w:t>
                  </w:r>
                </w:p>
              </w:tc>
              <w:tc>
                <w:tcPr>
                  <w:tcW w:w="1237" w:type="pct"/>
                  <w:vAlign w:val="center"/>
                </w:tcPr>
                <w:p w14:paraId="2E52EF36">
                  <w:pPr>
                    <w:pStyle w:val="12"/>
                    <w:ind w:firstLine="0" w:firstLineChars="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依托厂区已建预处理池（食堂生活污水经隔油后与其他生活污水一并排入预处理池）</w:t>
                  </w:r>
                </w:p>
              </w:tc>
              <w:tc>
                <w:tcPr>
                  <w:tcW w:w="993" w:type="pct"/>
                  <w:vAlign w:val="center"/>
                </w:tcPr>
                <w:p w14:paraId="1126EF99">
                  <w:pPr>
                    <w:pStyle w:val="12"/>
                    <w:ind w:firstLine="0" w:firstLineChars="0"/>
                    <w:rPr>
                      <w:rFonts w:hint="eastAsia"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排入园区污水管网送星光工业园区污水处理厂处理</w:t>
                  </w:r>
                </w:p>
              </w:tc>
            </w:tr>
          </w:tbl>
          <w:p w14:paraId="73B722E4">
            <w:pPr>
              <w:ind w:firstLine="482"/>
              <w:rPr>
                <w:rFonts w:hint="default" w:eastAsia="宋体" w:cs="Times New Roman"/>
                <w:b/>
                <w:color w:val="000000" w:themeColor="text1"/>
                <w:lang w:val="en-US" w:eastAsia="zh-CN"/>
                <w14:textFill>
                  <w14:solidFill>
                    <w14:schemeClr w14:val="tx1"/>
                  </w14:solidFill>
                </w14:textFill>
              </w:rPr>
            </w:pPr>
            <w:r>
              <w:rPr>
                <w:rFonts w:cs="Times New Roman"/>
                <w:b/>
                <w:color w:val="000000" w:themeColor="text1"/>
                <w14:textFill>
                  <w14:solidFill>
                    <w14:schemeClr w14:val="tx1"/>
                  </w14:solidFill>
                </w14:textFill>
              </w:rPr>
              <w:t>（1）</w:t>
            </w:r>
            <w:r>
              <w:rPr>
                <w:rFonts w:hint="eastAsia" w:cs="Times New Roman"/>
                <w:b/>
                <w:color w:val="000000" w:themeColor="text1"/>
                <w:lang w:val="en-US" w:eastAsia="zh-CN"/>
                <w14:textFill>
                  <w14:solidFill>
                    <w14:schemeClr w14:val="tx1"/>
                  </w14:solidFill>
                </w14:textFill>
              </w:rPr>
              <w:t>W1 压滤废水</w:t>
            </w:r>
          </w:p>
          <w:p w14:paraId="7A62FD55">
            <w:pPr>
              <w:ind w:firstLine="480"/>
              <w:rPr>
                <w:rFonts w:hint="default" w:cs="Times New Roman"/>
                <w:color w:val="000000" w:themeColor="text1"/>
                <w:lang w:val="en-US" w:eastAsia="zh-CN"/>
                <w14:textFill>
                  <w14:solidFill>
                    <w14:schemeClr w14:val="tx1"/>
                  </w14:solidFill>
                </w14:textFill>
              </w:rPr>
            </w:pPr>
            <w:r>
              <w:rPr>
                <w:rFonts w:cs="Times New Roman"/>
                <w:color w:val="000000" w:themeColor="text1"/>
                <w14:textFill>
                  <w14:solidFill>
                    <w14:schemeClr w14:val="tx1"/>
                  </w14:solidFill>
                </w14:textFill>
              </w:rPr>
              <w:t>本项目</w:t>
            </w:r>
            <w:r>
              <w:rPr>
                <w:rFonts w:hint="eastAsia" w:cs="Times New Roman"/>
                <w:color w:val="000000" w:themeColor="text1"/>
                <w:lang w:val="en-US" w:eastAsia="zh-CN"/>
                <w14:textFill>
                  <w14:solidFill>
                    <w14:schemeClr w14:val="tx1"/>
                  </w14:solidFill>
                </w14:textFill>
              </w:rPr>
              <w:t>水基岩屑（含水率80%）需要进行预处理，投加絮凝剂（氧化钙、硫酸亚铁）后通过高压压滤机压滤，降低含水率至35%左右，压滤过程产生压滤废水，排入滤液池内。</w:t>
            </w:r>
          </w:p>
          <w:p w14:paraId="5539D92C">
            <w:pPr>
              <w:ind w:firstLine="480"/>
              <w:rPr>
                <w:rFonts w:hint="eastAsia"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压滤系统包括混合罐、高压压滤机、配套管线及滤液池。除滤液池外，均在地面明管设置，可及时发现泄漏情况。2号厂房内设1座水基岩屑储存池，分为4格，其中南侧两格为滤液池，尺寸为16×17.5×4m（长×宽×深），有效容积约1100m</w:t>
            </w:r>
            <w:r>
              <w:rPr>
                <w:rFonts w:hint="eastAsia" w:cs="Times New Roman"/>
                <w:color w:val="000000" w:themeColor="text1"/>
                <w:vertAlign w:val="superscript"/>
                <w:lang w:val="en-US" w:eastAsia="zh-CN"/>
                <w14:textFill>
                  <w14:solidFill>
                    <w14:schemeClr w14:val="tx1"/>
                  </w14:solidFill>
                </w14:textFill>
              </w:rPr>
              <w:t>3</w:t>
            </w:r>
            <w:r>
              <w:rPr>
                <w:rFonts w:hint="eastAsia" w:cs="Times New Roman"/>
                <w:color w:val="000000" w:themeColor="text1"/>
                <w:lang w:val="en-US" w:eastAsia="zh-CN"/>
                <w14:textFill>
                  <w14:solidFill>
                    <w14:schemeClr w14:val="tx1"/>
                  </w14:solidFill>
                </w14:textFill>
              </w:rPr>
              <w:t>。</w:t>
            </w:r>
          </w:p>
          <w:p w14:paraId="1BFCE421">
            <w:pPr>
              <w:ind w:firstLine="48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本项目地面冲洗废水、车辆冲洗废水排入水基岩屑储存池内，随水基岩屑一同絮凝、压滤，最终随压滤废水一并处理。喷淋废水直接排放至滤液池内，随压滤废水一并处理。</w:t>
            </w:r>
          </w:p>
          <w:p w14:paraId="28BD6BE0">
            <w:pPr>
              <w:ind w:firstLine="48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根据水平衡分析，进入滤液池的废水产生量约46285.6/a</w:t>
            </w:r>
            <w:r>
              <w:rPr>
                <w:rFonts w:hint="eastAsia" w:cs="Times New Roman"/>
                <w:color w:val="000000" w:themeColor="text1"/>
                <w:vertAlign w:val="baseline"/>
                <w:lang w:val="en-US" w:eastAsia="zh-CN"/>
                <w14:textFill>
                  <w14:solidFill>
                    <w14:schemeClr w14:val="tx1"/>
                  </w14:solidFill>
                </w14:textFill>
              </w:rPr>
              <w:t>，回用于免烧砌块生产6604t/a、储存过程蒸发消耗462.856t/a，剩余压滤废水共计约39218.744</w:t>
            </w:r>
            <w:r>
              <w:rPr>
                <w:rFonts w:hint="eastAsia" w:cs="Times New Roman"/>
                <w:color w:val="000000" w:themeColor="text1"/>
                <w:lang w:val="en-US" w:eastAsia="zh-CN"/>
                <w14:textFill>
                  <w14:solidFill>
                    <w14:schemeClr w14:val="tx1"/>
                  </w14:solidFill>
                </w14:textFill>
              </w:rPr>
              <w:t>t/a。剩余压滤废水委托四川洁安环境科技有限公司定期处置。</w:t>
            </w:r>
          </w:p>
          <w:p w14:paraId="540AC83F">
            <w:pPr>
              <w:keepNext w:val="0"/>
              <w:keepLines w:val="0"/>
              <w:widowControl/>
              <w:suppressLineNumbers w:val="0"/>
              <w:jc w:val="left"/>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pPr>
            <w:r>
              <w:rPr>
                <w:rFonts w:hint="eastAsia" w:cs="Times New Roman"/>
                <w:color w:val="000000" w:themeColor="text1"/>
                <w:lang w:val="en-US" w:eastAsia="zh-CN"/>
                <w14:textFill>
                  <w14:solidFill>
                    <w14:schemeClr w14:val="tx1"/>
                  </w14:solidFill>
                </w14:textFill>
              </w:rPr>
              <w:t>压滤废水主要为水基岩屑经压滤后脱出的本身含水，</w:t>
            </w:r>
            <w:r>
              <w:rPr>
                <w:rFonts w:hint="eastAsia" w:ascii="宋体" w:hAnsi="宋体" w:eastAsia="宋体" w:cs="宋体"/>
                <w:color w:val="000000" w:themeColor="text1"/>
                <w:kern w:val="0"/>
                <w:sz w:val="24"/>
                <w:szCs w:val="24"/>
                <w:lang w:val="en-US" w:eastAsia="zh-CN" w:bidi="ar"/>
                <w14:textFill>
                  <w14:solidFill>
                    <w14:schemeClr w14:val="tx1"/>
                  </w14:solidFill>
                </w14:textFill>
              </w:rPr>
              <w:t>钻井废水主要污染物成分为钻井泥浆成分，其性质是钻井泥浆的高倍稀释废水。本项目使用的岩屑均为水基岩屑</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，通常具有色度高、COD、悬浮物浓度、盐分含量高的特点。本项目水基岩屑经投加絮凝剂+压滤预处理，废水中COD、悬浮物得到一定削减，但盐分仍较高。</w:t>
            </w:r>
          </w:p>
          <w:p w14:paraId="7B6F603F">
            <w:pPr>
              <w:ind w:firstLine="480"/>
              <w:rPr>
                <w:rFonts w:hint="eastAsia"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综上，参考四川德福检测技术有限公司对永红1井压滤液进行的检测、建设单位委托对压滤后产生的滤液的检测及巴中市区域水基钻井项目（平安102井）钻井废水源强分析。永红1井钻探产生的水基岩屑通过投加絮凝剂压滤后产生压滤液，处理过程与本项目预处理过程类似，水基岩屑原料来源于巴中境内，与本项目原料来源类似，因此具有可类比性。建设单位检测根据合作单位提供的水基岩屑压滤出水送样检测，具有可参考性。同时结合巴中境内井场水基钻井过程产生的钻井废水确定本项目废水源强，具体如下：</w:t>
            </w:r>
          </w:p>
          <w:p w14:paraId="4CD09062">
            <w:pPr>
              <w:pStyle w:val="11"/>
              <w:keepNext/>
              <w:rPr>
                <w:rFonts w:cs="Times New Roman"/>
                <w:color w:val="000000" w:themeColor="text1"/>
                <w14:textFill>
                  <w14:solidFill>
                    <w14:schemeClr w14:val="tx1"/>
                  </w14:solidFill>
                </w14:textFill>
              </w:rPr>
            </w:pPr>
          </w:p>
          <w:p w14:paraId="5139C338">
            <w:pPr>
              <w:pStyle w:val="11"/>
              <w:keepNext/>
              <w:rPr>
                <w:rFonts w:cs="Times New Roman"/>
                <w:color w:val="000000" w:themeColor="text1"/>
                <w14:textFill>
                  <w14:solidFill>
                    <w14:schemeClr w14:val="tx1"/>
                  </w14:solidFill>
                </w14:textFill>
              </w:rPr>
            </w:pPr>
          </w:p>
          <w:p w14:paraId="0F720C9E">
            <w:pPr>
              <w:pStyle w:val="11"/>
              <w:keepNext/>
              <w:rPr>
                <w:rFonts w:hint="default" w:eastAsia="宋体" w:cs="Times New Roman"/>
                <w:color w:val="000000" w:themeColor="text1"/>
                <w:lang w:val="en-US" w:eastAsia="zh-CN"/>
                <w14:textFill>
                  <w14:solidFill>
                    <w14:schemeClr w14:val="tx1"/>
                  </w14:solidFill>
                </w14:textFill>
              </w:rPr>
            </w:pPr>
            <w:r>
              <w:rPr>
                <w:rFonts w:cs="Times New Roman"/>
                <w:color w:val="000000" w:themeColor="text1"/>
                <w14:textFill>
                  <w14:solidFill>
                    <w14:schemeClr w14:val="tx1"/>
                  </w14:solidFill>
                </w14:textFill>
              </w:rPr>
              <w:t>表</w:t>
            </w:r>
            <w:r>
              <w:rPr>
                <w:rFonts w:cs="Times New Roman"/>
                <w:color w:val="000000" w:themeColor="text1"/>
                <w14:textFill>
                  <w14:solidFill>
                    <w14:schemeClr w14:val="tx1"/>
                  </w14:solidFill>
                </w14:textFill>
              </w:rPr>
              <w:fldChar w:fldCharType="begin"/>
            </w:r>
            <w:r>
              <w:rPr>
                <w:rFonts w:cs="Times New Roman"/>
                <w:color w:val="000000" w:themeColor="text1"/>
                <w14:textFill>
                  <w14:solidFill>
                    <w14:schemeClr w14:val="tx1"/>
                  </w14:solidFill>
                </w14:textFill>
              </w:rPr>
              <w:instrText xml:space="preserve"> SEQ seq \c </w:instrText>
            </w:r>
            <w:r>
              <w:rPr>
                <w:rFonts w:cs="Times New Roman"/>
                <w:color w:val="000000" w:themeColor="text1"/>
                <w14:textFill>
                  <w14:solidFill>
                    <w14:schemeClr w14:val="tx1"/>
                  </w14:solidFill>
                </w14:textFill>
              </w:rPr>
              <w:fldChar w:fldCharType="separate"/>
            </w:r>
            <w:r>
              <w:rPr>
                <w:rFonts w:cs="Times New Roman"/>
                <w:color w:val="000000" w:themeColor="text1"/>
                <w14:textFill>
                  <w14:solidFill>
                    <w14:schemeClr w14:val="tx1"/>
                  </w14:solidFill>
                </w14:textFill>
              </w:rPr>
              <w:t>4</w:t>
            </w:r>
            <w:r>
              <w:rPr>
                <w:rFonts w:cs="Times New Roman"/>
                <w:color w:val="000000" w:themeColor="text1"/>
                <w14:textFill>
                  <w14:solidFill>
                    <w14:schemeClr w14:val="tx1"/>
                  </w14:solidFill>
                </w14:textFill>
              </w:rPr>
              <w:fldChar w:fldCharType="end"/>
            </w:r>
            <w:r>
              <w:rPr>
                <w:rFonts w:cs="Times New Roman"/>
                <w:color w:val="000000" w:themeColor="text1"/>
                <w14:textFill>
                  <w14:solidFill>
                    <w14:schemeClr w14:val="tx1"/>
                  </w14:solidFill>
                </w14:textFill>
              </w:rPr>
              <w:noBreakHyphen/>
            </w:r>
            <w:r>
              <w:rPr>
                <w:rFonts w:hint="eastAsia" w:cs="Times New Roman"/>
                <w:color w:val="000000" w:themeColor="text1"/>
                <w:lang w:val="en-US" w:eastAsia="zh-CN"/>
                <w14:textFill>
                  <w14:solidFill>
                    <w14:schemeClr w14:val="tx1"/>
                  </w14:solidFill>
                </w14:textFill>
              </w:rPr>
              <w:t>12</w:t>
            </w:r>
            <w:r>
              <w:rPr>
                <w:rFonts w:cs="Times New Roman"/>
                <w:color w:val="000000" w:themeColor="text1"/>
                <w14:textFill>
                  <w14:solidFill>
                    <w14:schemeClr w14:val="tx1"/>
                  </w14:solidFill>
                </w14:textFill>
              </w:rPr>
              <w:t xml:space="preserve"> 本项目</w:t>
            </w:r>
            <w:r>
              <w:rPr>
                <w:rFonts w:hint="eastAsia" w:cs="Times New Roman"/>
                <w:color w:val="000000" w:themeColor="text1"/>
                <w:lang w:val="en-US" w:eastAsia="zh-CN"/>
                <w14:textFill>
                  <w14:solidFill>
                    <w14:schemeClr w14:val="tx1"/>
                  </w14:solidFill>
                </w14:textFill>
              </w:rPr>
              <w:t>废水源强情况</w:t>
            </w:r>
          </w:p>
          <w:tbl>
            <w:tblPr>
              <w:tblStyle w:val="26"/>
              <w:tblW w:w="4997" w:type="pct"/>
              <w:jc w:val="center"/>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Layout w:type="autofit"/>
              <w:tblCellMar>
                <w:top w:w="0" w:type="dxa"/>
                <w:left w:w="108" w:type="dxa"/>
                <w:bottom w:w="0" w:type="dxa"/>
                <w:right w:w="108" w:type="dxa"/>
              </w:tblCellMar>
            </w:tblPr>
            <w:tblGrid>
              <w:gridCol w:w="682"/>
              <w:gridCol w:w="1582"/>
              <w:gridCol w:w="1519"/>
              <w:gridCol w:w="1472"/>
              <w:gridCol w:w="1258"/>
              <w:gridCol w:w="1281"/>
              <w:gridCol w:w="1719"/>
            </w:tblGrid>
            <w:tr w14:paraId="7F812288">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358" w:type="pct"/>
                  <w:tcBorders>
                    <w:tl2br w:val="nil"/>
                    <w:tr2bl w:val="nil"/>
                  </w:tcBorders>
                  <w:vAlign w:val="center"/>
                </w:tcPr>
                <w:p w14:paraId="0E2B6ED7">
                  <w:pPr>
                    <w:pStyle w:val="45"/>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序号</w:t>
                  </w:r>
                </w:p>
              </w:tc>
              <w:tc>
                <w:tcPr>
                  <w:tcW w:w="831" w:type="pct"/>
                  <w:tcBorders>
                    <w:tl2br w:val="nil"/>
                    <w:tr2bl w:val="nil"/>
                  </w:tcBorders>
                  <w:vAlign w:val="center"/>
                </w:tcPr>
                <w:p w14:paraId="15EBA2CE">
                  <w:pPr>
                    <w:pStyle w:val="45"/>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污染物名称</w:t>
                  </w:r>
                </w:p>
              </w:tc>
              <w:tc>
                <w:tcPr>
                  <w:tcW w:w="798" w:type="pct"/>
                  <w:tcBorders>
                    <w:tl2br w:val="nil"/>
                    <w:tr2bl w:val="nil"/>
                  </w:tcBorders>
                  <w:vAlign w:val="center"/>
                </w:tcPr>
                <w:p w14:paraId="203F0879">
                  <w:pPr>
                    <w:pStyle w:val="45"/>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参考永红1井监测浓度（mg/L）</w:t>
                  </w:r>
                </w:p>
              </w:tc>
              <w:tc>
                <w:tcPr>
                  <w:tcW w:w="773" w:type="pct"/>
                  <w:tcBorders>
                    <w:tl2br w:val="nil"/>
                    <w:tr2bl w:val="nil"/>
                  </w:tcBorders>
                  <w:vAlign w:val="center"/>
                </w:tcPr>
                <w:p w14:paraId="24E89BD2">
                  <w:pPr>
                    <w:pStyle w:val="45"/>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参考建设单位送样监测浓度</w:t>
                  </w:r>
                  <w:r>
                    <w:rPr>
                      <w:rFonts w:hint="default" w:ascii="Times New Roman" w:hAnsi="Times New Roman" w:eastAsia="宋体" w:cs="Times New Roman"/>
                      <w:color w:val="000000" w:themeColor="text1"/>
                      <w:lang w:val="en-US" w:eastAsia="zh-CN"/>
                      <w14:textFill>
                        <w14:solidFill>
                          <w14:schemeClr w14:val="tx1"/>
                        </w14:solidFill>
                      </w14:textFill>
                    </w:rPr>
                    <w:t>（mg/L）</w:t>
                  </w:r>
                </w:p>
              </w:tc>
              <w:tc>
                <w:tcPr>
                  <w:tcW w:w="661" w:type="pct"/>
                  <w:tcBorders>
                    <w:tl2br w:val="nil"/>
                    <w:tr2bl w:val="nil"/>
                  </w:tcBorders>
                  <w:vAlign w:val="center"/>
                </w:tcPr>
                <w:p w14:paraId="01C5AF89">
                  <w:pPr>
                    <w:pStyle w:val="45"/>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参考巴中区域钻井废水浓度</w:t>
                  </w:r>
                  <w:r>
                    <w:rPr>
                      <w:rFonts w:hint="default" w:ascii="Times New Roman" w:hAnsi="Times New Roman" w:eastAsia="宋体" w:cs="Times New Roman"/>
                      <w:color w:val="000000" w:themeColor="text1"/>
                      <w:lang w:val="en-US" w:eastAsia="zh-CN"/>
                      <w14:textFill>
                        <w14:solidFill>
                          <w14:schemeClr w14:val="tx1"/>
                        </w14:solidFill>
                      </w14:textFill>
                    </w:rPr>
                    <w:t>（mg/L）</w:t>
                  </w:r>
                </w:p>
              </w:tc>
              <w:tc>
                <w:tcPr>
                  <w:tcW w:w="673" w:type="pct"/>
                  <w:tcBorders>
                    <w:tl2br w:val="nil"/>
                    <w:tr2bl w:val="nil"/>
                  </w:tcBorders>
                  <w:vAlign w:val="center"/>
                </w:tcPr>
                <w:p w14:paraId="10152121">
                  <w:pPr>
                    <w:pStyle w:val="45"/>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综合确定的</w:t>
                  </w:r>
                  <w:r>
                    <w:rPr>
                      <w:rFonts w:hint="default" w:ascii="Times New Roman" w:hAnsi="Times New Roman" w:eastAsia="宋体" w:cs="Times New Roman"/>
                      <w:color w:val="000000" w:themeColor="text1"/>
                      <w:lang w:val="en-US" w:eastAsia="zh-CN"/>
                      <w14:textFill>
                        <w14:solidFill>
                          <w14:schemeClr w14:val="tx1"/>
                        </w14:solidFill>
                      </w14:textFill>
                    </w:rPr>
                    <w:t>本项目源强情况（mg/L）</w:t>
                  </w:r>
                </w:p>
              </w:tc>
              <w:tc>
                <w:tcPr>
                  <w:tcW w:w="903" w:type="pct"/>
                  <w:tcBorders>
                    <w:tl2br w:val="nil"/>
                    <w:tr2bl w:val="nil"/>
                  </w:tcBorders>
                  <w:vAlign w:val="center"/>
                </w:tcPr>
                <w:p w14:paraId="2233AE4E">
                  <w:pPr>
                    <w:pStyle w:val="45"/>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四川洁安环境科技有限公司油气田废水处理厂</w:t>
                  </w:r>
                  <w:r>
                    <w:rPr>
                      <w:rFonts w:hint="default" w:ascii="Times New Roman" w:hAnsi="Times New Roman" w:eastAsia="宋体" w:cs="Times New Roman"/>
                      <w:color w:val="000000" w:themeColor="text1"/>
                      <w:lang w:val="en-US" w:eastAsia="zh-CN"/>
                      <w14:textFill>
                        <w14:solidFill>
                          <w14:schemeClr w14:val="tx1"/>
                        </w14:solidFill>
                      </w14:textFill>
                    </w:rPr>
                    <w:t>进水水质要求（mg/L）</w:t>
                  </w:r>
                </w:p>
              </w:tc>
            </w:tr>
            <w:tr w14:paraId="3F39F0D7">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358" w:type="pct"/>
                  <w:tcBorders>
                    <w:tl2br w:val="nil"/>
                    <w:tr2bl w:val="nil"/>
                  </w:tcBorders>
                  <w:vAlign w:val="center"/>
                </w:tcPr>
                <w:p w14:paraId="0E4068D1">
                  <w:pPr>
                    <w:pStyle w:val="12"/>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1</w:t>
                  </w:r>
                </w:p>
              </w:tc>
              <w:tc>
                <w:tcPr>
                  <w:tcW w:w="831" w:type="pct"/>
                  <w:tcBorders>
                    <w:tl2br w:val="nil"/>
                    <w:tr2bl w:val="nil"/>
                  </w:tcBorders>
                  <w:vAlign w:val="center"/>
                </w:tcPr>
                <w:p w14:paraId="4BEDA46E">
                  <w:pPr>
                    <w:pStyle w:val="12"/>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pH值</w:t>
                  </w:r>
                </w:p>
              </w:tc>
              <w:tc>
                <w:tcPr>
                  <w:tcW w:w="798" w:type="pct"/>
                  <w:tcBorders>
                    <w:tl2br w:val="nil"/>
                    <w:tr2bl w:val="nil"/>
                  </w:tcBorders>
                  <w:vAlign w:val="center"/>
                </w:tcPr>
                <w:p w14:paraId="1EF1E68D">
                  <w:pPr>
                    <w:pStyle w:val="12"/>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7.8</w:t>
                  </w:r>
                </w:p>
              </w:tc>
              <w:tc>
                <w:tcPr>
                  <w:tcW w:w="773" w:type="pct"/>
                  <w:tcBorders>
                    <w:tl2br w:val="nil"/>
                    <w:tr2bl w:val="nil"/>
                  </w:tcBorders>
                  <w:vAlign w:val="center"/>
                </w:tcPr>
                <w:p w14:paraId="7094C53E">
                  <w:pPr>
                    <w:pStyle w:val="12"/>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8.1</w:t>
                  </w:r>
                </w:p>
              </w:tc>
              <w:tc>
                <w:tcPr>
                  <w:tcW w:w="661" w:type="pct"/>
                  <w:tcBorders>
                    <w:tl2br w:val="nil"/>
                    <w:tr2bl w:val="nil"/>
                  </w:tcBorders>
                  <w:vAlign w:val="center"/>
                </w:tcPr>
                <w:p w14:paraId="69C82553">
                  <w:pPr>
                    <w:pStyle w:val="12"/>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6-9</w:t>
                  </w:r>
                </w:p>
              </w:tc>
              <w:tc>
                <w:tcPr>
                  <w:tcW w:w="673" w:type="pct"/>
                  <w:tcBorders>
                    <w:tl2br w:val="nil"/>
                    <w:tr2bl w:val="nil"/>
                  </w:tcBorders>
                  <w:vAlign w:val="center"/>
                </w:tcPr>
                <w:p w14:paraId="6C2ADF46">
                  <w:pPr>
                    <w:pStyle w:val="12"/>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6</w:t>
                  </w:r>
                  <w:r>
                    <w:rPr>
                      <w:rFonts w:hint="default" w:ascii="Times New Roman" w:hAnsi="Times New Roman" w:eastAsia="宋体" w:cs="Times New Roman"/>
                      <w:color w:val="000000" w:themeColor="text1"/>
                      <w:lang w:val="en-US" w:eastAsia="zh-CN"/>
                      <w14:textFill>
                        <w14:solidFill>
                          <w14:schemeClr w14:val="tx1"/>
                        </w14:solidFill>
                      </w14:textFill>
                    </w:rPr>
                    <w:t>-9</w:t>
                  </w:r>
                </w:p>
              </w:tc>
              <w:tc>
                <w:tcPr>
                  <w:tcW w:w="903" w:type="pct"/>
                  <w:tcBorders>
                    <w:tl2br w:val="nil"/>
                    <w:tr2bl w:val="nil"/>
                  </w:tcBorders>
                  <w:vAlign w:val="center"/>
                </w:tcPr>
                <w:p w14:paraId="36593F0A">
                  <w:pPr>
                    <w:pStyle w:val="12"/>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6~9</w:t>
                  </w:r>
                </w:p>
              </w:tc>
            </w:tr>
            <w:tr w14:paraId="32CA5229">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358" w:type="pct"/>
                  <w:tcBorders>
                    <w:tl2br w:val="nil"/>
                    <w:tr2bl w:val="nil"/>
                  </w:tcBorders>
                  <w:vAlign w:val="center"/>
                </w:tcPr>
                <w:p w14:paraId="7AD591F5">
                  <w:pPr>
                    <w:pStyle w:val="12"/>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2</w:t>
                  </w:r>
                </w:p>
              </w:tc>
              <w:tc>
                <w:tcPr>
                  <w:tcW w:w="831" w:type="pct"/>
                  <w:tcBorders>
                    <w:tl2br w:val="nil"/>
                    <w:tr2bl w:val="nil"/>
                  </w:tcBorders>
                  <w:vAlign w:val="center"/>
                </w:tcPr>
                <w:p w14:paraId="4EB65EF6">
                  <w:pPr>
                    <w:pStyle w:val="12"/>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色度</w:t>
                  </w:r>
                </w:p>
              </w:tc>
              <w:tc>
                <w:tcPr>
                  <w:tcW w:w="798" w:type="pct"/>
                  <w:tcBorders>
                    <w:tl2br w:val="nil"/>
                    <w:tr2bl w:val="nil"/>
                  </w:tcBorders>
                  <w:vAlign w:val="center"/>
                </w:tcPr>
                <w:p w14:paraId="0DDEAF9D">
                  <w:pPr>
                    <w:pStyle w:val="12"/>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20</w:t>
                  </w:r>
                </w:p>
              </w:tc>
              <w:tc>
                <w:tcPr>
                  <w:tcW w:w="773" w:type="pct"/>
                  <w:tcBorders>
                    <w:tl2br w:val="nil"/>
                    <w:tr2bl w:val="nil"/>
                  </w:tcBorders>
                  <w:vAlign w:val="center"/>
                </w:tcPr>
                <w:p w14:paraId="3703E6D7">
                  <w:pPr>
                    <w:pStyle w:val="12"/>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30</w:t>
                  </w:r>
                </w:p>
              </w:tc>
              <w:tc>
                <w:tcPr>
                  <w:tcW w:w="661" w:type="pct"/>
                  <w:tcBorders>
                    <w:tl2br w:val="nil"/>
                    <w:tr2bl w:val="nil"/>
                  </w:tcBorders>
                  <w:vAlign w:val="center"/>
                </w:tcPr>
                <w:p w14:paraId="52E03034">
                  <w:pPr>
                    <w:pStyle w:val="12"/>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w:t>
                  </w:r>
                </w:p>
              </w:tc>
              <w:tc>
                <w:tcPr>
                  <w:tcW w:w="673" w:type="pct"/>
                  <w:tcBorders>
                    <w:tl2br w:val="nil"/>
                    <w:tr2bl w:val="nil"/>
                  </w:tcBorders>
                  <w:vAlign w:val="center"/>
                </w:tcPr>
                <w:p w14:paraId="69357E40">
                  <w:pPr>
                    <w:pStyle w:val="12"/>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20-40</w:t>
                  </w:r>
                </w:p>
              </w:tc>
              <w:tc>
                <w:tcPr>
                  <w:tcW w:w="903" w:type="pct"/>
                  <w:tcBorders>
                    <w:tl2br w:val="nil"/>
                    <w:tr2bl w:val="nil"/>
                  </w:tcBorders>
                  <w:vAlign w:val="center"/>
                </w:tcPr>
                <w:p w14:paraId="63602E23">
                  <w:pPr>
                    <w:pStyle w:val="12"/>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w:t>
                  </w:r>
                </w:p>
              </w:tc>
            </w:tr>
            <w:tr w14:paraId="326216EC">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358" w:type="pct"/>
                  <w:tcBorders>
                    <w:tl2br w:val="nil"/>
                    <w:tr2bl w:val="nil"/>
                  </w:tcBorders>
                  <w:vAlign w:val="center"/>
                </w:tcPr>
                <w:p w14:paraId="0C53CBBC">
                  <w:pPr>
                    <w:pStyle w:val="12"/>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3</w:t>
                  </w:r>
                </w:p>
              </w:tc>
              <w:tc>
                <w:tcPr>
                  <w:tcW w:w="831" w:type="pct"/>
                  <w:tcBorders>
                    <w:tl2br w:val="nil"/>
                    <w:tr2bl w:val="nil"/>
                  </w:tcBorders>
                  <w:vAlign w:val="center"/>
                </w:tcPr>
                <w:p w14:paraId="391FA46C">
                  <w:pPr>
                    <w:pStyle w:val="12"/>
                    <w:ind w:firstLine="0" w:firstLineChars="0"/>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悬浮物</w:t>
                  </w:r>
                </w:p>
              </w:tc>
              <w:tc>
                <w:tcPr>
                  <w:tcW w:w="798" w:type="pct"/>
                  <w:tcBorders>
                    <w:tl2br w:val="nil"/>
                    <w:tr2bl w:val="nil"/>
                  </w:tcBorders>
                  <w:vAlign w:val="center"/>
                </w:tcPr>
                <w:p w14:paraId="3FE80F74">
                  <w:pPr>
                    <w:pStyle w:val="12"/>
                    <w:ind w:firstLine="0" w:firstLineChars="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30</w:t>
                  </w:r>
                </w:p>
              </w:tc>
              <w:tc>
                <w:tcPr>
                  <w:tcW w:w="773" w:type="pct"/>
                  <w:tcBorders>
                    <w:tl2br w:val="nil"/>
                    <w:tr2bl w:val="nil"/>
                  </w:tcBorders>
                  <w:vAlign w:val="center"/>
                </w:tcPr>
                <w:p w14:paraId="712321ED">
                  <w:pPr>
                    <w:pStyle w:val="12"/>
                    <w:ind w:firstLine="0" w:firstLineChars="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36</w:t>
                  </w:r>
                </w:p>
              </w:tc>
              <w:tc>
                <w:tcPr>
                  <w:tcW w:w="661" w:type="pct"/>
                  <w:tcBorders>
                    <w:tl2br w:val="nil"/>
                    <w:tr2bl w:val="nil"/>
                  </w:tcBorders>
                  <w:vAlign w:val="center"/>
                </w:tcPr>
                <w:p w14:paraId="4F534002">
                  <w:pPr>
                    <w:pStyle w:val="12"/>
                    <w:ind w:firstLine="0" w:firstLineChars="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≤800</w:t>
                  </w:r>
                </w:p>
              </w:tc>
              <w:tc>
                <w:tcPr>
                  <w:tcW w:w="673" w:type="pct"/>
                  <w:tcBorders>
                    <w:tl2br w:val="nil"/>
                    <w:tr2bl w:val="nil"/>
                  </w:tcBorders>
                  <w:vAlign w:val="center"/>
                </w:tcPr>
                <w:p w14:paraId="3D5D26B7">
                  <w:pPr>
                    <w:pStyle w:val="12"/>
                    <w:ind w:firstLine="0" w:firstLineChars="0"/>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50-400</w:t>
                  </w:r>
                </w:p>
              </w:tc>
              <w:tc>
                <w:tcPr>
                  <w:tcW w:w="903" w:type="pct"/>
                  <w:tcBorders>
                    <w:tl2br w:val="nil"/>
                    <w:tr2bl w:val="nil"/>
                  </w:tcBorders>
                  <w:vAlign w:val="center"/>
                </w:tcPr>
                <w:p w14:paraId="4E511F8A">
                  <w:pPr>
                    <w:pStyle w:val="12"/>
                    <w:ind w:firstLine="0" w:firstLineChars="0"/>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500</w:t>
                  </w:r>
                </w:p>
              </w:tc>
            </w:tr>
            <w:tr w14:paraId="0C0F584F">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358" w:type="pct"/>
                  <w:tcBorders>
                    <w:tl2br w:val="nil"/>
                    <w:tr2bl w:val="nil"/>
                  </w:tcBorders>
                  <w:vAlign w:val="center"/>
                </w:tcPr>
                <w:p w14:paraId="06DED3F2">
                  <w:pPr>
                    <w:pStyle w:val="12"/>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4</w:t>
                  </w:r>
                </w:p>
              </w:tc>
              <w:tc>
                <w:tcPr>
                  <w:tcW w:w="831" w:type="pct"/>
                  <w:tcBorders>
                    <w:tl2br w:val="nil"/>
                    <w:tr2bl w:val="nil"/>
                  </w:tcBorders>
                  <w:vAlign w:val="center"/>
                </w:tcPr>
                <w:p w14:paraId="4151EA3D">
                  <w:pPr>
                    <w:pStyle w:val="12"/>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化学需氧量</w:t>
                  </w:r>
                </w:p>
              </w:tc>
              <w:tc>
                <w:tcPr>
                  <w:tcW w:w="798" w:type="pct"/>
                  <w:tcBorders>
                    <w:tl2br w:val="nil"/>
                    <w:tr2bl w:val="nil"/>
                  </w:tcBorders>
                  <w:vAlign w:val="center"/>
                </w:tcPr>
                <w:p w14:paraId="1EF61CB0">
                  <w:pPr>
                    <w:pStyle w:val="12"/>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81</w:t>
                  </w:r>
                </w:p>
              </w:tc>
              <w:tc>
                <w:tcPr>
                  <w:tcW w:w="773" w:type="pct"/>
                  <w:tcBorders>
                    <w:tl2br w:val="nil"/>
                    <w:tr2bl w:val="nil"/>
                  </w:tcBorders>
                  <w:vAlign w:val="center"/>
                </w:tcPr>
                <w:p w14:paraId="5588B53F">
                  <w:pPr>
                    <w:pStyle w:val="12"/>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406</w:t>
                  </w:r>
                </w:p>
              </w:tc>
              <w:tc>
                <w:tcPr>
                  <w:tcW w:w="661" w:type="pct"/>
                  <w:tcBorders>
                    <w:tl2br w:val="nil"/>
                    <w:tr2bl w:val="nil"/>
                  </w:tcBorders>
                  <w:vAlign w:val="center"/>
                </w:tcPr>
                <w:p w14:paraId="1D532D89">
                  <w:pPr>
                    <w:pStyle w:val="12"/>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≤1000</w:t>
                  </w:r>
                </w:p>
              </w:tc>
              <w:tc>
                <w:tcPr>
                  <w:tcW w:w="673" w:type="pct"/>
                  <w:tcBorders>
                    <w:tl2br w:val="nil"/>
                    <w:tr2bl w:val="nil"/>
                  </w:tcBorders>
                  <w:vAlign w:val="center"/>
                </w:tcPr>
                <w:p w14:paraId="30C3949A">
                  <w:pPr>
                    <w:pStyle w:val="12"/>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100-500</w:t>
                  </w:r>
                </w:p>
              </w:tc>
              <w:tc>
                <w:tcPr>
                  <w:tcW w:w="903" w:type="pct"/>
                  <w:tcBorders>
                    <w:tl2br w:val="nil"/>
                    <w:tr2bl w:val="nil"/>
                  </w:tcBorders>
                  <w:vAlign w:val="center"/>
                </w:tcPr>
                <w:p w14:paraId="2653C3F0">
                  <w:pPr>
                    <w:pStyle w:val="12"/>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3500</w:t>
                  </w:r>
                </w:p>
              </w:tc>
            </w:tr>
            <w:tr w14:paraId="039881AF">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358" w:type="pct"/>
                  <w:tcBorders>
                    <w:tl2br w:val="nil"/>
                    <w:tr2bl w:val="nil"/>
                  </w:tcBorders>
                  <w:vAlign w:val="center"/>
                </w:tcPr>
                <w:p w14:paraId="37561423">
                  <w:pPr>
                    <w:pStyle w:val="12"/>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5</w:t>
                  </w:r>
                </w:p>
              </w:tc>
              <w:tc>
                <w:tcPr>
                  <w:tcW w:w="831" w:type="pct"/>
                  <w:tcBorders>
                    <w:tl2br w:val="nil"/>
                    <w:tr2bl w:val="nil"/>
                  </w:tcBorders>
                  <w:vAlign w:val="center"/>
                </w:tcPr>
                <w:p w14:paraId="4569FFEC">
                  <w:pPr>
                    <w:pStyle w:val="12"/>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氨氮</w:t>
                  </w:r>
                </w:p>
              </w:tc>
              <w:tc>
                <w:tcPr>
                  <w:tcW w:w="798" w:type="pct"/>
                  <w:tcBorders>
                    <w:tl2br w:val="nil"/>
                    <w:tr2bl w:val="nil"/>
                  </w:tcBorders>
                  <w:vAlign w:val="center"/>
                </w:tcPr>
                <w:p w14:paraId="28383023">
                  <w:pPr>
                    <w:pStyle w:val="12"/>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w:t>
                  </w:r>
                </w:p>
              </w:tc>
              <w:tc>
                <w:tcPr>
                  <w:tcW w:w="773" w:type="pct"/>
                  <w:tcBorders>
                    <w:tl2br w:val="nil"/>
                    <w:tr2bl w:val="nil"/>
                  </w:tcBorders>
                  <w:vAlign w:val="center"/>
                </w:tcPr>
                <w:p w14:paraId="310A6851">
                  <w:pPr>
                    <w:pStyle w:val="12"/>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19.2</w:t>
                  </w:r>
                </w:p>
              </w:tc>
              <w:tc>
                <w:tcPr>
                  <w:tcW w:w="661" w:type="pct"/>
                  <w:tcBorders>
                    <w:tl2br w:val="nil"/>
                    <w:tr2bl w:val="nil"/>
                  </w:tcBorders>
                  <w:vAlign w:val="center"/>
                </w:tcPr>
                <w:p w14:paraId="6EE1CF8C">
                  <w:pPr>
                    <w:pStyle w:val="12"/>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w:t>
                  </w:r>
                </w:p>
              </w:tc>
              <w:tc>
                <w:tcPr>
                  <w:tcW w:w="673" w:type="pct"/>
                  <w:tcBorders>
                    <w:tl2br w:val="nil"/>
                    <w:tr2bl w:val="nil"/>
                  </w:tcBorders>
                  <w:vAlign w:val="center"/>
                </w:tcPr>
                <w:p w14:paraId="75556D5C">
                  <w:pPr>
                    <w:pStyle w:val="12"/>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10-40</w:t>
                  </w:r>
                </w:p>
              </w:tc>
              <w:tc>
                <w:tcPr>
                  <w:tcW w:w="903" w:type="pct"/>
                  <w:tcBorders>
                    <w:tl2br w:val="nil"/>
                    <w:tr2bl w:val="nil"/>
                  </w:tcBorders>
                  <w:vAlign w:val="center"/>
                </w:tcPr>
                <w:p w14:paraId="587A78CF">
                  <w:pPr>
                    <w:pStyle w:val="12"/>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40</w:t>
                  </w:r>
                </w:p>
              </w:tc>
            </w:tr>
            <w:tr w14:paraId="09ACDF5A">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358" w:type="pct"/>
                  <w:tcBorders>
                    <w:tl2br w:val="nil"/>
                    <w:tr2bl w:val="nil"/>
                  </w:tcBorders>
                  <w:vAlign w:val="center"/>
                </w:tcPr>
                <w:p w14:paraId="3A39A033">
                  <w:pPr>
                    <w:pStyle w:val="12"/>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6</w:t>
                  </w:r>
                </w:p>
              </w:tc>
              <w:tc>
                <w:tcPr>
                  <w:tcW w:w="831" w:type="pct"/>
                  <w:tcBorders>
                    <w:tl2br w:val="nil"/>
                    <w:tr2bl w:val="nil"/>
                  </w:tcBorders>
                  <w:vAlign w:val="center"/>
                </w:tcPr>
                <w:p w14:paraId="61681224">
                  <w:pPr>
                    <w:pStyle w:val="12"/>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总磷</w:t>
                  </w:r>
                </w:p>
              </w:tc>
              <w:tc>
                <w:tcPr>
                  <w:tcW w:w="798" w:type="pct"/>
                  <w:tcBorders>
                    <w:tl2br w:val="nil"/>
                    <w:tr2bl w:val="nil"/>
                  </w:tcBorders>
                  <w:vAlign w:val="center"/>
                </w:tcPr>
                <w:p w14:paraId="374D472B">
                  <w:pPr>
                    <w:pStyle w:val="12"/>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w:t>
                  </w:r>
                </w:p>
              </w:tc>
              <w:tc>
                <w:tcPr>
                  <w:tcW w:w="773" w:type="pct"/>
                  <w:tcBorders>
                    <w:tl2br w:val="nil"/>
                    <w:tr2bl w:val="nil"/>
                  </w:tcBorders>
                  <w:vAlign w:val="center"/>
                </w:tcPr>
                <w:p w14:paraId="495AE265">
                  <w:pPr>
                    <w:pStyle w:val="12"/>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0.9</w:t>
                  </w:r>
                </w:p>
              </w:tc>
              <w:tc>
                <w:tcPr>
                  <w:tcW w:w="661" w:type="pct"/>
                  <w:tcBorders>
                    <w:tl2br w:val="nil"/>
                    <w:tr2bl w:val="nil"/>
                  </w:tcBorders>
                  <w:vAlign w:val="center"/>
                </w:tcPr>
                <w:p w14:paraId="425DA13D">
                  <w:pPr>
                    <w:pStyle w:val="12"/>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w:t>
                  </w:r>
                </w:p>
              </w:tc>
              <w:tc>
                <w:tcPr>
                  <w:tcW w:w="673" w:type="pct"/>
                  <w:tcBorders>
                    <w:tl2br w:val="nil"/>
                    <w:tr2bl w:val="nil"/>
                  </w:tcBorders>
                  <w:vAlign w:val="center"/>
                </w:tcPr>
                <w:p w14:paraId="2957B2D0">
                  <w:pPr>
                    <w:pStyle w:val="12"/>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0.9-2</w:t>
                  </w:r>
                </w:p>
              </w:tc>
              <w:tc>
                <w:tcPr>
                  <w:tcW w:w="903" w:type="pct"/>
                  <w:tcBorders>
                    <w:tl2br w:val="nil"/>
                    <w:tr2bl w:val="nil"/>
                  </w:tcBorders>
                  <w:vAlign w:val="center"/>
                </w:tcPr>
                <w:p w14:paraId="375CDC23">
                  <w:pPr>
                    <w:pStyle w:val="12"/>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w:t>
                  </w:r>
                </w:p>
              </w:tc>
            </w:tr>
            <w:tr w14:paraId="5604A5F8">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358" w:type="pct"/>
                  <w:tcBorders>
                    <w:tl2br w:val="nil"/>
                    <w:tr2bl w:val="nil"/>
                  </w:tcBorders>
                  <w:vAlign w:val="center"/>
                </w:tcPr>
                <w:p w14:paraId="18B41A90">
                  <w:pPr>
                    <w:pStyle w:val="12"/>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7</w:t>
                  </w:r>
                </w:p>
              </w:tc>
              <w:tc>
                <w:tcPr>
                  <w:tcW w:w="831" w:type="pct"/>
                  <w:tcBorders>
                    <w:tl2br w:val="nil"/>
                    <w:tr2bl w:val="nil"/>
                  </w:tcBorders>
                  <w:vAlign w:val="center"/>
                </w:tcPr>
                <w:p w14:paraId="377A7845">
                  <w:pPr>
                    <w:pStyle w:val="12"/>
                    <w:ind w:firstLine="0" w:firstLineChars="0"/>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石油类</w:t>
                  </w:r>
                </w:p>
              </w:tc>
              <w:tc>
                <w:tcPr>
                  <w:tcW w:w="798" w:type="pct"/>
                  <w:tcBorders>
                    <w:tl2br w:val="nil"/>
                    <w:tr2bl w:val="nil"/>
                  </w:tcBorders>
                  <w:vAlign w:val="center"/>
                </w:tcPr>
                <w:p w14:paraId="6F7B3D45">
                  <w:pPr>
                    <w:pStyle w:val="12"/>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1.26</w:t>
                  </w:r>
                </w:p>
              </w:tc>
              <w:tc>
                <w:tcPr>
                  <w:tcW w:w="773" w:type="pct"/>
                  <w:tcBorders>
                    <w:tl2br w:val="nil"/>
                    <w:tr2bl w:val="nil"/>
                  </w:tcBorders>
                  <w:vAlign w:val="center"/>
                </w:tcPr>
                <w:p w14:paraId="1331EFC5">
                  <w:pPr>
                    <w:pStyle w:val="12"/>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0.56</w:t>
                  </w:r>
                </w:p>
              </w:tc>
              <w:tc>
                <w:tcPr>
                  <w:tcW w:w="661" w:type="pct"/>
                  <w:tcBorders>
                    <w:tl2br w:val="nil"/>
                    <w:tr2bl w:val="nil"/>
                  </w:tcBorders>
                  <w:vAlign w:val="center"/>
                </w:tcPr>
                <w:p w14:paraId="6896AB6A">
                  <w:pPr>
                    <w:pStyle w:val="12"/>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≤20</w:t>
                  </w:r>
                </w:p>
              </w:tc>
              <w:tc>
                <w:tcPr>
                  <w:tcW w:w="673" w:type="pct"/>
                  <w:tcBorders>
                    <w:tl2br w:val="nil"/>
                    <w:tr2bl w:val="nil"/>
                  </w:tcBorders>
                  <w:vAlign w:val="center"/>
                </w:tcPr>
                <w:p w14:paraId="25ED5A73">
                  <w:pPr>
                    <w:pStyle w:val="12"/>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0.5-2.5</w:t>
                  </w:r>
                </w:p>
              </w:tc>
              <w:tc>
                <w:tcPr>
                  <w:tcW w:w="903" w:type="pct"/>
                  <w:tcBorders>
                    <w:tl2br w:val="nil"/>
                    <w:tr2bl w:val="nil"/>
                  </w:tcBorders>
                  <w:vAlign w:val="center"/>
                </w:tcPr>
                <w:p w14:paraId="52B7837A">
                  <w:pPr>
                    <w:pStyle w:val="12"/>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500</w:t>
                  </w:r>
                </w:p>
              </w:tc>
            </w:tr>
            <w:tr w14:paraId="1546B75E">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358" w:type="pct"/>
                  <w:tcBorders>
                    <w:tl2br w:val="nil"/>
                    <w:tr2bl w:val="nil"/>
                  </w:tcBorders>
                  <w:vAlign w:val="center"/>
                </w:tcPr>
                <w:p w14:paraId="1015704D">
                  <w:pPr>
                    <w:pStyle w:val="12"/>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8</w:t>
                  </w:r>
                </w:p>
              </w:tc>
              <w:tc>
                <w:tcPr>
                  <w:tcW w:w="831" w:type="pct"/>
                  <w:tcBorders>
                    <w:tl2br w:val="nil"/>
                    <w:tr2bl w:val="nil"/>
                  </w:tcBorders>
                  <w:vAlign w:val="center"/>
                </w:tcPr>
                <w:p w14:paraId="24B8AF9B">
                  <w:pPr>
                    <w:pStyle w:val="12"/>
                    <w:ind w:firstLine="0" w:firstLineChars="0"/>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氯化物</w:t>
                  </w:r>
                </w:p>
              </w:tc>
              <w:tc>
                <w:tcPr>
                  <w:tcW w:w="798" w:type="pct"/>
                  <w:tcBorders>
                    <w:tl2br w:val="nil"/>
                    <w:tr2bl w:val="nil"/>
                  </w:tcBorders>
                  <w:vAlign w:val="center"/>
                </w:tcPr>
                <w:p w14:paraId="7F9D4E4D">
                  <w:pPr>
                    <w:pStyle w:val="12"/>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336</w:t>
                  </w:r>
                </w:p>
              </w:tc>
              <w:tc>
                <w:tcPr>
                  <w:tcW w:w="773" w:type="pct"/>
                  <w:tcBorders>
                    <w:tl2br w:val="nil"/>
                    <w:tr2bl w:val="nil"/>
                  </w:tcBorders>
                  <w:vAlign w:val="center"/>
                </w:tcPr>
                <w:p w14:paraId="127FC9F1">
                  <w:pPr>
                    <w:pStyle w:val="12"/>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751</w:t>
                  </w:r>
                </w:p>
              </w:tc>
              <w:tc>
                <w:tcPr>
                  <w:tcW w:w="661" w:type="pct"/>
                  <w:tcBorders>
                    <w:tl2br w:val="nil"/>
                    <w:tr2bl w:val="nil"/>
                  </w:tcBorders>
                  <w:vAlign w:val="center"/>
                </w:tcPr>
                <w:p w14:paraId="3B85A397">
                  <w:pPr>
                    <w:pStyle w:val="12"/>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≤5000</w:t>
                  </w:r>
                </w:p>
              </w:tc>
              <w:tc>
                <w:tcPr>
                  <w:tcW w:w="673" w:type="pct"/>
                  <w:tcBorders>
                    <w:tl2br w:val="nil"/>
                    <w:tr2bl w:val="nil"/>
                  </w:tcBorders>
                  <w:vAlign w:val="center"/>
                </w:tcPr>
                <w:p w14:paraId="2D7BA33F">
                  <w:pPr>
                    <w:pStyle w:val="12"/>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300-5000</w:t>
                  </w:r>
                </w:p>
              </w:tc>
              <w:tc>
                <w:tcPr>
                  <w:tcW w:w="903" w:type="pct"/>
                  <w:tcBorders>
                    <w:tl2br w:val="nil"/>
                    <w:tr2bl w:val="nil"/>
                  </w:tcBorders>
                  <w:vAlign w:val="center"/>
                </w:tcPr>
                <w:p w14:paraId="0052EC87">
                  <w:pPr>
                    <w:pStyle w:val="12"/>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w:t>
                  </w:r>
                </w:p>
              </w:tc>
            </w:tr>
            <w:tr w14:paraId="3F82CA57">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358" w:type="pct"/>
                  <w:tcBorders>
                    <w:tl2br w:val="nil"/>
                    <w:tr2bl w:val="nil"/>
                  </w:tcBorders>
                  <w:vAlign w:val="center"/>
                </w:tcPr>
                <w:p w14:paraId="35722CB0">
                  <w:pPr>
                    <w:pStyle w:val="12"/>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9</w:t>
                  </w:r>
                </w:p>
              </w:tc>
              <w:tc>
                <w:tcPr>
                  <w:tcW w:w="831" w:type="pct"/>
                  <w:tcBorders>
                    <w:tl2br w:val="nil"/>
                    <w:tr2bl w:val="nil"/>
                  </w:tcBorders>
                  <w:vAlign w:val="center"/>
                </w:tcPr>
                <w:p w14:paraId="1A74C018">
                  <w:pPr>
                    <w:pStyle w:val="12"/>
                    <w:ind w:firstLine="0" w:firstLineChars="0"/>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硫化物</w:t>
                  </w:r>
                </w:p>
              </w:tc>
              <w:tc>
                <w:tcPr>
                  <w:tcW w:w="798" w:type="pct"/>
                  <w:tcBorders>
                    <w:tl2br w:val="nil"/>
                    <w:tr2bl w:val="nil"/>
                  </w:tcBorders>
                  <w:vAlign w:val="center"/>
                </w:tcPr>
                <w:p w14:paraId="743FBB58">
                  <w:pPr>
                    <w:pStyle w:val="12"/>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0.48</w:t>
                  </w:r>
                </w:p>
              </w:tc>
              <w:tc>
                <w:tcPr>
                  <w:tcW w:w="773" w:type="pct"/>
                  <w:tcBorders>
                    <w:tl2br w:val="nil"/>
                    <w:tr2bl w:val="nil"/>
                  </w:tcBorders>
                  <w:vAlign w:val="center"/>
                </w:tcPr>
                <w:p w14:paraId="01E1C291">
                  <w:pPr>
                    <w:pStyle w:val="12"/>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w:t>
                  </w:r>
                </w:p>
              </w:tc>
              <w:tc>
                <w:tcPr>
                  <w:tcW w:w="661" w:type="pct"/>
                  <w:tcBorders>
                    <w:tl2br w:val="nil"/>
                    <w:tr2bl w:val="nil"/>
                  </w:tcBorders>
                  <w:vAlign w:val="center"/>
                </w:tcPr>
                <w:p w14:paraId="0925573F">
                  <w:pPr>
                    <w:pStyle w:val="12"/>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w:t>
                  </w:r>
                </w:p>
              </w:tc>
              <w:tc>
                <w:tcPr>
                  <w:tcW w:w="673" w:type="pct"/>
                  <w:tcBorders>
                    <w:tl2br w:val="nil"/>
                    <w:tr2bl w:val="nil"/>
                  </w:tcBorders>
                  <w:vAlign w:val="center"/>
                </w:tcPr>
                <w:p w14:paraId="03168D7C">
                  <w:pPr>
                    <w:pStyle w:val="12"/>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0.5-1</w:t>
                  </w:r>
                </w:p>
              </w:tc>
              <w:tc>
                <w:tcPr>
                  <w:tcW w:w="903" w:type="pct"/>
                  <w:tcBorders>
                    <w:tl2br w:val="nil"/>
                    <w:tr2bl w:val="nil"/>
                  </w:tcBorders>
                  <w:vAlign w:val="center"/>
                </w:tcPr>
                <w:p w14:paraId="2DDDF9CE">
                  <w:pPr>
                    <w:pStyle w:val="12"/>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w:t>
                  </w:r>
                </w:p>
              </w:tc>
            </w:tr>
            <w:tr w14:paraId="594867BA">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358" w:type="pct"/>
                  <w:tcBorders>
                    <w:tl2br w:val="nil"/>
                    <w:tr2bl w:val="nil"/>
                  </w:tcBorders>
                  <w:vAlign w:val="center"/>
                </w:tcPr>
                <w:p w14:paraId="34428754">
                  <w:pPr>
                    <w:pStyle w:val="12"/>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10</w:t>
                  </w:r>
                </w:p>
              </w:tc>
              <w:tc>
                <w:tcPr>
                  <w:tcW w:w="831" w:type="pct"/>
                  <w:tcBorders>
                    <w:tl2br w:val="nil"/>
                    <w:tr2bl w:val="nil"/>
                  </w:tcBorders>
                  <w:vAlign w:val="center"/>
                </w:tcPr>
                <w:p w14:paraId="52661A72">
                  <w:pPr>
                    <w:pStyle w:val="12"/>
                    <w:ind w:firstLine="0" w:firstLineChars="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氟化物</w:t>
                  </w:r>
                </w:p>
              </w:tc>
              <w:tc>
                <w:tcPr>
                  <w:tcW w:w="798" w:type="pct"/>
                  <w:tcBorders>
                    <w:tl2br w:val="nil"/>
                    <w:tr2bl w:val="nil"/>
                  </w:tcBorders>
                  <w:vAlign w:val="center"/>
                </w:tcPr>
                <w:p w14:paraId="070104F2">
                  <w:pPr>
                    <w:pStyle w:val="12"/>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w:t>
                  </w:r>
                </w:p>
              </w:tc>
              <w:tc>
                <w:tcPr>
                  <w:tcW w:w="773" w:type="pct"/>
                  <w:tcBorders>
                    <w:tl2br w:val="nil"/>
                    <w:tr2bl w:val="nil"/>
                  </w:tcBorders>
                  <w:vAlign w:val="center"/>
                </w:tcPr>
                <w:p w14:paraId="6DCF06D2">
                  <w:pPr>
                    <w:pStyle w:val="12"/>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0.132</w:t>
                  </w:r>
                </w:p>
              </w:tc>
              <w:tc>
                <w:tcPr>
                  <w:tcW w:w="661" w:type="pct"/>
                  <w:tcBorders>
                    <w:tl2br w:val="nil"/>
                    <w:tr2bl w:val="nil"/>
                  </w:tcBorders>
                  <w:vAlign w:val="center"/>
                </w:tcPr>
                <w:p w14:paraId="0F00DF0F">
                  <w:pPr>
                    <w:pStyle w:val="12"/>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w:t>
                  </w:r>
                </w:p>
              </w:tc>
              <w:tc>
                <w:tcPr>
                  <w:tcW w:w="673" w:type="pct"/>
                  <w:tcBorders>
                    <w:tl2br w:val="nil"/>
                    <w:tr2bl w:val="nil"/>
                  </w:tcBorders>
                  <w:vAlign w:val="center"/>
                </w:tcPr>
                <w:p w14:paraId="374139C2">
                  <w:pPr>
                    <w:pStyle w:val="12"/>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0.1-0.2</w:t>
                  </w:r>
                </w:p>
              </w:tc>
              <w:tc>
                <w:tcPr>
                  <w:tcW w:w="903" w:type="pct"/>
                  <w:tcBorders>
                    <w:tl2br w:val="nil"/>
                    <w:tr2bl w:val="nil"/>
                  </w:tcBorders>
                  <w:vAlign w:val="center"/>
                </w:tcPr>
                <w:p w14:paraId="5B329EC8">
                  <w:pPr>
                    <w:pStyle w:val="12"/>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w:t>
                  </w:r>
                </w:p>
              </w:tc>
            </w:tr>
            <w:tr w14:paraId="748669DB">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358" w:type="pct"/>
                  <w:tcBorders>
                    <w:tl2br w:val="nil"/>
                    <w:tr2bl w:val="nil"/>
                  </w:tcBorders>
                  <w:vAlign w:val="center"/>
                </w:tcPr>
                <w:p w14:paraId="759ADD8B">
                  <w:pPr>
                    <w:pStyle w:val="12"/>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11</w:t>
                  </w:r>
                </w:p>
              </w:tc>
              <w:tc>
                <w:tcPr>
                  <w:tcW w:w="831" w:type="pct"/>
                  <w:tcBorders>
                    <w:tl2br w:val="nil"/>
                    <w:tr2bl w:val="nil"/>
                  </w:tcBorders>
                  <w:vAlign w:val="center"/>
                </w:tcPr>
                <w:p w14:paraId="40A26A31">
                  <w:pPr>
                    <w:pStyle w:val="12"/>
                    <w:ind w:firstLine="0" w:firstLineChars="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阴离子表面活性剂</w:t>
                  </w:r>
                </w:p>
              </w:tc>
              <w:tc>
                <w:tcPr>
                  <w:tcW w:w="798" w:type="pct"/>
                  <w:tcBorders>
                    <w:tl2br w:val="nil"/>
                    <w:tr2bl w:val="nil"/>
                  </w:tcBorders>
                  <w:vAlign w:val="center"/>
                </w:tcPr>
                <w:p w14:paraId="76A8D745">
                  <w:pPr>
                    <w:pStyle w:val="12"/>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w:t>
                  </w:r>
                </w:p>
              </w:tc>
              <w:tc>
                <w:tcPr>
                  <w:tcW w:w="773" w:type="pct"/>
                  <w:tcBorders>
                    <w:tl2br w:val="nil"/>
                    <w:tr2bl w:val="nil"/>
                  </w:tcBorders>
                  <w:vAlign w:val="center"/>
                </w:tcPr>
                <w:p w14:paraId="4E2866A8">
                  <w:pPr>
                    <w:pStyle w:val="12"/>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0.114</w:t>
                  </w:r>
                </w:p>
              </w:tc>
              <w:tc>
                <w:tcPr>
                  <w:tcW w:w="661" w:type="pct"/>
                  <w:tcBorders>
                    <w:tl2br w:val="nil"/>
                    <w:tr2bl w:val="nil"/>
                  </w:tcBorders>
                  <w:vAlign w:val="center"/>
                </w:tcPr>
                <w:p w14:paraId="603233FD">
                  <w:pPr>
                    <w:pStyle w:val="12"/>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w:t>
                  </w:r>
                </w:p>
              </w:tc>
              <w:tc>
                <w:tcPr>
                  <w:tcW w:w="673" w:type="pct"/>
                  <w:tcBorders>
                    <w:tl2br w:val="nil"/>
                    <w:tr2bl w:val="nil"/>
                  </w:tcBorders>
                  <w:vAlign w:val="center"/>
                </w:tcPr>
                <w:p w14:paraId="46B414F9">
                  <w:pPr>
                    <w:pStyle w:val="12"/>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0.1-0.2</w:t>
                  </w:r>
                </w:p>
              </w:tc>
              <w:tc>
                <w:tcPr>
                  <w:tcW w:w="903" w:type="pct"/>
                  <w:tcBorders>
                    <w:tl2br w:val="nil"/>
                    <w:tr2bl w:val="nil"/>
                  </w:tcBorders>
                  <w:vAlign w:val="center"/>
                </w:tcPr>
                <w:p w14:paraId="05AD7045">
                  <w:pPr>
                    <w:pStyle w:val="12"/>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w:t>
                  </w:r>
                </w:p>
              </w:tc>
            </w:tr>
            <w:tr w14:paraId="4D57F262">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358" w:type="pct"/>
                  <w:tcBorders>
                    <w:tl2br w:val="nil"/>
                    <w:tr2bl w:val="nil"/>
                  </w:tcBorders>
                  <w:vAlign w:val="center"/>
                </w:tcPr>
                <w:p w14:paraId="1D54F442">
                  <w:pPr>
                    <w:pStyle w:val="12"/>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12</w:t>
                  </w:r>
                </w:p>
              </w:tc>
              <w:tc>
                <w:tcPr>
                  <w:tcW w:w="831" w:type="pct"/>
                  <w:tcBorders>
                    <w:tl2br w:val="nil"/>
                    <w:tr2bl w:val="nil"/>
                  </w:tcBorders>
                  <w:vAlign w:val="center"/>
                </w:tcPr>
                <w:p w14:paraId="5FED1BFF">
                  <w:pPr>
                    <w:pStyle w:val="12"/>
                    <w:ind w:firstLine="0" w:firstLineChars="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全盐量</w:t>
                  </w:r>
                </w:p>
              </w:tc>
              <w:tc>
                <w:tcPr>
                  <w:tcW w:w="798" w:type="pct"/>
                  <w:tcBorders>
                    <w:tl2br w:val="nil"/>
                    <w:tr2bl w:val="nil"/>
                  </w:tcBorders>
                  <w:vAlign w:val="center"/>
                </w:tcPr>
                <w:p w14:paraId="04EDD059">
                  <w:pPr>
                    <w:pStyle w:val="12"/>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w:t>
                  </w:r>
                </w:p>
              </w:tc>
              <w:tc>
                <w:tcPr>
                  <w:tcW w:w="773" w:type="pct"/>
                  <w:tcBorders>
                    <w:tl2br w:val="nil"/>
                    <w:tr2bl w:val="nil"/>
                  </w:tcBorders>
                  <w:vAlign w:val="center"/>
                </w:tcPr>
                <w:p w14:paraId="1834EF96">
                  <w:pPr>
                    <w:pStyle w:val="12"/>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720</w:t>
                  </w:r>
                </w:p>
              </w:tc>
              <w:tc>
                <w:tcPr>
                  <w:tcW w:w="661" w:type="pct"/>
                  <w:tcBorders>
                    <w:tl2br w:val="nil"/>
                    <w:tr2bl w:val="nil"/>
                  </w:tcBorders>
                  <w:vAlign w:val="center"/>
                </w:tcPr>
                <w:p w14:paraId="79EA6982">
                  <w:pPr>
                    <w:pStyle w:val="12"/>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w:t>
                  </w:r>
                </w:p>
              </w:tc>
              <w:tc>
                <w:tcPr>
                  <w:tcW w:w="673" w:type="pct"/>
                  <w:tcBorders>
                    <w:tl2br w:val="nil"/>
                    <w:tr2bl w:val="nil"/>
                  </w:tcBorders>
                  <w:vAlign w:val="center"/>
                </w:tcPr>
                <w:p w14:paraId="2B3C92CA">
                  <w:pPr>
                    <w:pStyle w:val="12"/>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300-5000</w:t>
                  </w:r>
                </w:p>
              </w:tc>
              <w:tc>
                <w:tcPr>
                  <w:tcW w:w="903" w:type="pct"/>
                  <w:tcBorders>
                    <w:tl2br w:val="nil"/>
                    <w:tr2bl w:val="nil"/>
                  </w:tcBorders>
                  <w:vAlign w:val="center"/>
                </w:tcPr>
                <w:p w14:paraId="29E432D8">
                  <w:pPr>
                    <w:pStyle w:val="12"/>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w:t>
                  </w:r>
                </w:p>
              </w:tc>
            </w:tr>
            <w:tr w14:paraId="6D0F04F6">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358" w:type="pct"/>
                  <w:tcBorders>
                    <w:tl2br w:val="nil"/>
                    <w:tr2bl w:val="nil"/>
                  </w:tcBorders>
                  <w:vAlign w:val="center"/>
                </w:tcPr>
                <w:p w14:paraId="0D0D9AB3">
                  <w:pPr>
                    <w:pStyle w:val="12"/>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13</w:t>
                  </w:r>
                </w:p>
              </w:tc>
              <w:tc>
                <w:tcPr>
                  <w:tcW w:w="831" w:type="pct"/>
                  <w:tcBorders>
                    <w:tl2br w:val="nil"/>
                    <w:tr2bl w:val="nil"/>
                  </w:tcBorders>
                  <w:vAlign w:val="center"/>
                </w:tcPr>
                <w:p w14:paraId="23201EBF">
                  <w:pPr>
                    <w:pStyle w:val="12"/>
                    <w:ind w:firstLine="0" w:firstLineChars="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总氮</w:t>
                  </w:r>
                </w:p>
              </w:tc>
              <w:tc>
                <w:tcPr>
                  <w:tcW w:w="798" w:type="pct"/>
                  <w:tcBorders>
                    <w:tl2br w:val="nil"/>
                    <w:tr2bl w:val="nil"/>
                  </w:tcBorders>
                  <w:vAlign w:val="center"/>
                </w:tcPr>
                <w:p w14:paraId="56E0F323">
                  <w:pPr>
                    <w:pStyle w:val="12"/>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w:t>
                  </w:r>
                </w:p>
              </w:tc>
              <w:tc>
                <w:tcPr>
                  <w:tcW w:w="773" w:type="pct"/>
                  <w:tcBorders>
                    <w:tl2br w:val="nil"/>
                    <w:tr2bl w:val="nil"/>
                  </w:tcBorders>
                  <w:vAlign w:val="center"/>
                </w:tcPr>
                <w:p w14:paraId="03FD68ED">
                  <w:pPr>
                    <w:pStyle w:val="12"/>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42</w:t>
                  </w:r>
                </w:p>
              </w:tc>
              <w:tc>
                <w:tcPr>
                  <w:tcW w:w="661" w:type="pct"/>
                  <w:tcBorders>
                    <w:tl2br w:val="nil"/>
                    <w:tr2bl w:val="nil"/>
                  </w:tcBorders>
                  <w:vAlign w:val="center"/>
                </w:tcPr>
                <w:p w14:paraId="5EC43366">
                  <w:pPr>
                    <w:pStyle w:val="12"/>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w:t>
                  </w:r>
                </w:p>
              </w:tc>
              <w:tc>
                <w:tcPr>
                  <w:tcW w:w="673" w:type="pct"/>
                  <w:tcBorders>
                    <w:tl2br w:val="nil"/>
                    <w:tr2bl w:val="nil"/>
                  </w:tcBorders>
                  <w:vAlign w:val="center"/>
                </w:tcPr>
                <w:p w14:paraId="62850345">
                  <w:pPr>
                    <w:pStyle w:val="12"/>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40-80</w:t>
                  </w:r>
                </w:p>
              </w:tc>
              <w:tc>
                <w:tcPr>
                  <w:tcW w:w="903" w:type="pct"/>
                  <w:tcBorders>
                    <w:tl2br w:val="nil"/>
                    <w:tr2bl w:val="nil"/>
                  </w:tcBorders>
                  <w:vAlign w:val="center"/>
                </w:tcPr>
                <w:p w14:paraId="556D3491">
                  <w:pPr>
                    <w:pStyle w:val="12"/>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40</w:t>
                  </w:r>
                </w:p>
              </w:tc>
            </w:tr>
          </w:tbl>
          <w:p w14:paraId="48646259">
            <w:pPr>
              <w:ind w:firstLine="480"/>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压滤废水在滤液池内暂存，部分通过管线回用于免烧砌块生产线的搅拌、码垛养护工序过程；剩余部分在滤液池内暂存，委托四川洁安环境科技有限公司定期清运处置是可行的。</w:t>
            </w:r>
          </w:p>
          <w:p w14:paraId="1E826499">
            <w:pPr>
              <w:ind w:firstLine="480"/>
              <w:rPr>
                <w:rFonts w:hint="eastAsia" w:cs="Times New Roman"/>
                <w:b/>
                <w:bCs/>
                <w:color w:val="000000" w:themeColor="text1"/>
                <w:lang w:val="en-US" w:eastAsia="zh-CN"/>
                <w14:textFill>
                  <w14:solidFill>
                    <w14:schemeClr w14:val="tx1"/>
                  </w14:solidFill>
                </w14:textFill>
              </w:rPr>
            </w:pPr>
            <w:r>
              <w:rPr>
                <w:rFonts w:hint="eastAsia" w:cs="Times New Roman"/>
                <w:b/>
                <w:bCs/>
                <w:color w:val="000000" w:themeColor="text1"/>
                <w:lang w:val="en-US" w:eastAsia="zh-CN"/>
                <w14:textFill>
                  <w14:solidFill>
                    <w14:schemeClr w14:val="tx1"/>
                  </w14:solidFill>
                </w14:textFill>
              </w:rPr>
              <w:t>（2）W2渗滤液</w:t>
            </w:r>
          </w:p>
          <w:p w14:paraId="2BB41060">
            <w:pPr>
              <w:ind w:firstLine="480"/>
              <w:rPr>
                <w:rFonts w:hint="eastAsia"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水基岩屑堆存区</w:t>
            </w:r>
            <w:r>
              <w:rPr>
                <w:rFonts w:hint="eastAsia" w:ascii="Times New Roman" w:hAnsi="Times New Roman" w:eastAsia="宋体" w:cs="Times New Roman"/>
                <w:color w:val="000000" w:themeColor="text1"/>
                <w:lang w:val="en-US" w:eastAsia="zh-CN"/>
                <w14:textFill>
                  <w14:solidFill>
                    <w14:schemeClr w14:val="tx1"/>
                  </w14:solidFill>
                </w14:textFill>
              </w:rPr>
              <w:t>堆放含水率</w:t>
            </w:r>
            <w:r>
              <w:rPr>
                <w:rFonts w:hint="eastAsia" w:cs="Times New Roman"/>
                <w:color w:val="000000" w:themeColor="text1"/>
                <w:lang w:val="en-US" w:eastAsia="zh-CN"/>
                <w14:textFill>
                  <w14:solidFill>
                    <w14:schemeClr w14:val="tx1"/>
                  </w14:solidFill>
                </w14:textFill>
              </w:rPr>
              <w:t>35</w:t>
            </w:r>
            <w:r>
              <w:rPr>
                <w:rFonts w:hint="eastAsia" w:ascii="Times New Roman" w:hAnsi="Times New Roman" w:eastAsia="宋体" w:cs="Times New Roman"/>
                <w:color w:val="000000" w:themeColor="text1"/>
                <w:lang w:val="en-US" w:eastAsia="zh-CN"/>
                <w14:textFill>
                  <w14:solidFill>
                    <w14:schemeClr w14:val="tx1"/>
                  </w14:solidFill>
                </w14:textFill>
              </w:rPr>
              <w:t>%的</w:t>
            </w:r>
            <w:r>
              <w:rPr>
                <w:rFonts w:hint="eastAsia" w:cs="Times New Roman"/>
                <w:color w:val="000000" w:themeColor="text1"/>
                <w:lang w:val="en-US" w:eastAsia="zh-CN"/>
                <w14:textFill>
                  <w14:solidFill>
                    <w14:schemeClr w14:val="tx1"/>
                  </w14:solidFill>
                </w14:textFill>
              </w:rPr>
              <w:t>水基岩屑</w:t>
            </w:r>
            <w:r>
              <w:rPr>
                <w:rFonts w:hint="eastAsia" w:ascii="Times New Roman" w:hAnsi="Times New Roman" w:eastAsia="宋体" w:cs="Times New Roman"/>
                <w:color w:val="000000" w:themeColor="text1"/>
                <w:lang w:val="en-US" w:eastAsia="zh-CN"/>
                <w14:textFill>
                  <w14:solidFill>
                    <w14:schemeClr w14:val="tx1"/>
                  </w14:solidFill>
                </w14:textFill>
              </w:rPr>
              <w:t>，堆放区设置在防渗地面上（</w:t>
            </w:r>
            <w:r>
              <w:rPr>
                <w:rFonts w:hint="eastAsia" w:cs="Times New Roman"/>
                <w:color w:val="000000" w:themeColor="text1"/>
                <w:lang w:val="en-US" w:eastAsia="zh-CN"/>
                <w14:textFill>
                  <w14:solidFill>
                    <w14:schemeClr w14:val="tx1"/>
                  </w14:solidFill>
                </w14:textFill>
              </w:rPr>
              <w:t>抗渗水泥</w:t>
            </w:r>
            <w:r>
              <w:rPr>
                <w:rFonts w:hint="eastAsia" w:ascii="Times New Roman" w:hAnsi="Times New Roman" w:eastAsia="宋体" w:cs="Times New Roman"/>
                <w:color w:val="000000" w:themeColor="text1"/>
                <w:lang w:val="en-US"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人工防渗材料</w:t>
            </w:r>
            <w:r>
              <w:rPr>
                <w:rFonts w:hint="eastAsia" w:ascii="Times New Roman" w:hAnsi="Times New Roman" w:eastAsia="宋体" w:cs="Times New Roman"/>
                <w:color w:val="000000" w:themeColor="text1"/>
                <w:lang w:val="en-US" w:eastAsia="zh-CN"/>
                <w14:textFill>
                  <w14:solidFill>
                    <w14:schemeClr w14:val="tx1"/>
                  </w14:solidFill>
                </w14:textFill>
              </w:rPr>
              <w:t>），堆放区三面设置0.5m高围堰+一面设置车辆装卸料斜坡。</w:t>
            </w:r>
          </w:p>
          <w:p w14:paraId="7CB8A2DD">
            <w:pPr>
              <w:ind w:firstLine="480"/>
              <w:rPr>
                <w:rFonts w:hint="eastAsia"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水基岩屑</w:t>
            </w:r>
            <w:r>
              <w:rPr>
                <w:rFonts w:hint="eastAsia" w:ascii="Times New Roman" w:hAnsi="Times New Roman" w:eastAsia="宋体" w:cs="Times New Roman"/>
                <w:color w:val="000000" w:themeColor="text1"/>
                <w:lang w:val="en-US" w:eastAsia="zh-CN"/>
                <w14:textFill>
                  <w14:solidFill>
                    <w14:schemeClr w14:val="tx1"/>
                  </w14:solidFill>
                </w14:textFill>
              </w:rPr>
              <w:t>堆放过程会产生少量渗滤液，</w:t>
            </w:r>
            <w:r>
              <w:rPr>
                <w:rFonts w:hint="eastAsia" w:cs="Times New Roman"/>
                <w:color w:val="000000" w:themeColor="text1"/>
                <w:lang w:val="en-US" w:eastAsia="zh-CN"/>
                <w14:textFill>
                  <w14:solidFill>
                    <w14:schemeClr w14:val="tx1"/>
                  </w14:solidFill>
                </w14:textFill>
              </w:rPr>
              <w:t>渗滤液成分与水基岩屑内的含水基本一致，</w:t>
            </w:r>
            <w:r>
              <w:rPr>
                <w:rFonts w:hint="eastAsia" w:ascii="Times New Roman" w:hAnsi="Times New Roman" w:eastAsia="宋体" w:cs="Times New Roman"/>
                <w:color w:val="000000" w:themeColor="text1"/>
                <w:lang w:val="en-US" w:eastAsia="zh-CN"/>
                <w14:textFill>
                  <w14:solidFill>
                    <w14:schemeClr w14:val="tx1"/>
                  </w14:solidFill>
                </w14:textFill>
              </w:rPr>
              <w:t>堆放区设置围堰及斜坡，渗滤液不会流出堆放区，与</w:t>
            </w:r>
            <w:r>
              <w:rPr>
                <w:rFonts w:hint="eastAsia" w:cs="Times New Roman"/>
                <w:color w:val="000000" w:themeColor="text1"/>
                <w:lang w:val="en-US" w:eastAsia="zh-CN"/>
                <w14:textFill>
                  <w14:solidFill>
                    <w14:schemeClr w14:val="tx1"/>
                  </w14:solidFill>
                </w14:textFill>
              </w:rPr>
              <w:t>水基岩屑</w:t>
            </w:r>
            <w:r>
              <w:rPr>
                <w:rFonts w:hint="eastAsia" w:ascii="Times New Roman" w:hAnsi="Times New Roman" w:eastAsia="宋体" w:cs="Times New Roman"/>
                <w:color w:val="000000" w:themeColor="text1"/>
                <w:lang w:val="en-US" w:eastAsia="zh-CN"/>
                <w14:textFill>
                  <w14:solidFill>
                    <w14:schemeClr w14:val="tx1"/>
                  </w14:solidFill>
                </w14:textFill>
              </w:rPr>
              <w:t>（含水率</w:t>
            </w:r>
            <w:r>
              <w:rPr>
                <w:rFonts w:hint="eastAsia" w:cs="Times New Roman"/>
                <w:color w:val="000000" w:themeColor="text1"/>
                <w:lang w:val="en-US" w:eastAsia="zh-CN"/>
                <w14:textFill>
                  <w14:solidFill>
                    <w14:schemeClr w14:val="tx1"/>
                  </w14:solidFill>
                </w14:textFill>
              </w:rPr>
              <w:t>35</w:t>
            </w:r>
            <w:r>
              <w:rPr>
                <w:rFonts w:hint="eastAsia" w:ascii="Times New Roman" w:hAnsi="Times New Roman" w:eastAsia="宋体" w:cs="Times New Roman"/>
                <w:color w:val="000000" w:themeColor="text1"/>
                <w:lang w:val="en-US" w:eastAsia="zh-CN"/>
                <w14:textFill>
                  <w14:solidFill>
                    <w14:schemeClr w14:val="tx1"/>
                  </w14:solidFill>
                </w14:textFill>
              </w:rPr>
              <w:t>%）一同进入回转窑内</w:t>
            </w:r>
            <w:r>
              <w:rPr>
                <w:rFonts w:hint="eastAsia" w:cs="Times New Roman"/>
                <w:color w:val="000000" w:themeColor="text1"/>
                <w:lang w:val="en-US" w:eastAsia="zh-CN"/>
                <w14:textFill>
                  <w14:solidFill>
                    <w14:schemeClr w14:val="tx1"/>
                  </w14:solidFill>
                </w14:textFill>
              </w:rPr>
              <w:t>煅烧</w:t>
            </w:r>
            <w:r>
              <w:rPr>
                <w:rFonts w:hint="eastAsia" w:ascii="Times New Roman" w:hAnsi="Times New Roman" w:eastAsia="宋体" w:cs="Times New Roman"/>
                <w:color w:val="000000" w:themeColor="text1"/>
                <w:lang w:val="en-US" w:eastAsia="zh-CN"/>
                <w14:textFill>
                  <w14:solidFill>
                    <w14:schemeClr w14:val="tx1"/>
                  </w14:solidFill>
                </w14:textFill>
              </w:rPr>
              <w:t>。</w:t>
            </w:r>
          </w:p>
          <w:p w14:paraId="2528F607">
            <w:pPr>
              <w:ind w:firstLine="480"/>
              <w:rPr>
                <w:rFonts w:hint="eastAsia" w:cs="Times New Roman"/>
                <w:b/>
                <w:bCs/>
                <w:color w:val="000000" w:themeColor="text1"/>
                <w:lang w:val="en-US" w:eastAsia="zh-CN"/>
                <w14:textFill>
                  <w14:solidFill>
                    <w14:schemeClr w14:val="tx1"/>
                  </w14:solidFill>
                </w14:textFill>
              </w:rPr>
            </w:pPr>
            <w:r>
              <w:rPr>
                <w:rFonts w:hint="eastAsia" w:cs="Times New Roman"/>
                <w:b/>
                <w:bCs/>
                <w:color w:val="000000" w:themeColor="text1"/>
                <w:lang w:val="en-US" w:eastAsia="zh-CN"/>
                <w14:textFill>
                  <w14:solidFill>
                    <w14:schemeClr w14:val="tx1"/>
                  </w14:solidFill>
                </w14:textFill>
              </w:rPr>
              <w:t>（3）W3地面冲洗废水</w:t>
            </w:r>
          </w:p>
          <w:p w14:paraId="3F218490">
            <w:pPr>
              <w:ind w:firstLine="480"/>
              <w:rPr>
                <w:rFonts w:hint="eastAsia"/>
                <w:color w:val="000000" w:themeColor="text1"/>
                <w:vertAlign w:val="baseline"/>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本项目拟对水基岩屑储存池周边区域进行地面冲洗，采用</w:t>
            </w:r>
            <w:r>
              <w:rPr>
                <w:rFonts w:hint="eastAsia" w:cs="Times New Roman"/>
                <w:color w:val="000000" w:themeColor="text1"/>
                <w:lang w:val="en-US" w:eastAsia="zh-CN"/>
                <w14:textFill>
                  <w14:solidFill>
                    <w14:schemeClr w14:val="tx1"/>
                  </w14:solidFill>
                </w14:textFill>
              </w:rPr>
              <w:t>自来水，冲洗频率为1次/d。根据水平衡分析，地面冲洗用水量约</w:t>
            </w:r>
            <w:r>
              <w:rPr>
                <w:rFonts w:hint="eastAsia" w:cs="Times New Roman"/>
                <w:color w:val="000000" w:themeColor="text1"/>
                <w:vertAlign w:val="baseline"/>
                <w:lang w:val="en-US" w:eastAsia="zh-CN"/>
                <w14:textFill>
                  <w14:solidFill>
                    <w14:schemeClr w14:val="tx1"/>
                  </w14:solidFill>
                </w14:textFill>
              </w:rPr>
              <w:t>0.4m</w:t>
            </w:r>
            <w:r>
              <w:rPr>
                <w:rFonts w:hint="eastAsia"/>
                <w:color w:val="000000" w:themeColor="text1"/>
                <w:vertAlign w:val="baseline"/>
                <w:lang w:val="en-US" w:eastAsia="zh-CN"/>
                <w14:textFill>
                  <w14:solidFill>
                    <w14:schemeClr w14:val="tx1"/>
                  </w14:solidFill>
                </w14:textFill>
              </w:rPr>
              <w:t>m</w:t>
            </w:r>
            <w:r>
              <w:rPr>
                <w:rFonts w:hint="eastAsia"/>
                <w:color w:val="000000" w:themeColor="text1"/>
                <w:vertAlign w:val="superscript"/>
                <w:lang w:val="en-US" w:eastAsia="zh-CN"/>
                <w14:textFill>
                  <w14:solidFill>
                    <w14:schemeClr w14:val="tx1"/>
                  </w14:solidFill>
                </w14:textFill>
              </w:rPr>
              <w:t>3</w:t>
            </w:r>
            <w:r>
              <w:rPr>
                <w:rFonts w:hint="eastAsia"/>
                <w:color w:val="000000" w:themeColor="text1"/>
                <w:vertAlign w:val="baseline"/>
                <w:lang w:val="en-US" w:eastAsia="zh-CN"/>
                <w14:textFill>
                  <w14:solidFill>
                    <w14:schemeClr w14:val="tx1"/>
                  </w14:solidFill>
                </w14:textFill>
              </w:rPr>
              <w:t>/d，132m</w:t>
            </w:r>
            <w:r>
              <w:rPr>
                <w:rFonts w:hint="eastAsia"/>
                <w:color w:val="000000" w:themeColor="text1"/>
                <w:vertAlign w:val="superscript"/>
                <w:lang w:val="en-US" w:eastAsia="zh-CN"/>
                <w14:textFill>
                  <w14:solidFill>
                    <w14:schemeClr w14:val="tx1"/>
                  </w14:solidFill>
                </w14:textFill>
              </w:rPr>
              <w:t>3</w:t>
            </w:r>
            <w:r>
              <w:rPr>
                <w:rFonts w:hint="eastAsia"/>
                <w:color w:val="000000" w:themeColor="text1"/>
                <w:vertAlign w:val="baseline"/>
                <w:lang w:val="en-US" w:eastAsia="zh-CN"/>
                <w14:textFill>
                  <w14:solidFill>
                    <w14:schemeClr w14:val="tx1"/>
                  </w14:solidFill>
                </w14:textFill>
              </w:rPr>
              <w:t>/a；产污系数按照0.9计，则地面冲洗废水量约为0.36m</w:t>
            </w:r>
            <w:r>
              <w:rPr>
                <w:rFonts w:hint="eastAsia"/>
                <w:color w:val="000000" w:themeColor="text1"/>
                <w:vertAlign w:val="superscript"/>
                <w:lang w:val="en-US" w:eastAsia="zh-CN"/>
                <w14:textFill>
                  <w14:solidFill>
                    <w14:schemeClr w14:val="tx1"/>
                  </w14:solidFill>
                </w14:textFill>
              </w:rPr>
              <w:t>3</w:t>
            </w:r>
            <w:r>
              <w:rPr>
                <w:rFonts w:hint="eastAsia"/>
                <w:color w:val="000000" w:themeColor="text1"/>
                <w:vertAlign w:val="baseline"/>
                <w:lang w:val="en-US" w:eastAsia="zh-CN"/>
                <w14:textFill>
                  <w14:solidFill>
                    <w14:schemeClr w14:val="tx1"/>
                  </w14:solidFill>
                </w14:textFill>
              </w:rPr>
              <w:t>/d，118.8m</w:t>
            </w:r>
            <w:r>
              <w:rPr>
                <w:rFonts w:hint="eastAsia"/>
                <w:color w:val="000000" w:themeColor="text1"/>
                <w:vertAlign w:val="superscript"/>
                <w:lang w:val="en-US" w:eastAsia="zh-CN"/>
                <w14:textFill>
                  <w14:solidFill>
                    <w14:schemeClr w14:val="tx1"/>
                  </w14:solidFill>
                </w14:textFill>
              </w:rPr>
              <w:t>3</w:t>
            </w:r>
            <w:r>
              <w:rPr>
                <w:rFonts w:hint="eastAsia"/>
                <w:color w:val="000000" w:themeColor="text1"/>
                <w:vertAlign w:val="baseline"/>
                <w:lang w:val="en-US" w:eastAsia="zh-CN"/>
                <w14:textFill>
                  <w14:solidFill>
                    <w14:schemeClr w14:val="tx1"/>
                  </w14:solidFill>
                </w14:textFill>
              </w:rPr>
              <w:t>/a。</w:t>
            </w:r>
          </w:p>
          <w:p w14:paraId="68358F78">
            <w:pPr>
              <w:ind w:firstLine="480"/>
              <w:rPr>
                <w:rFonts w:hint="default"/>
                <w:color w:val="000000" w:themeColor="text1"/>
                <w:vertAlign w:val="baseline"/>
                <w:lang w:val="en-US" w:eastAsia="zh-CN"/>
                <w14:textFill>
                  <w14:solidFill>
                    <w14:schemeClr w14:val="tx1"/>
                  </w14:solidFill>
                </w14:textFill>
              </w:rPr>
            </w:pPr>
            <w:r>
              <w:rPr>
                <w:rFonts w:hint="eastAsia"/>
                <w:color w:val="000000" w:themeColor="text1"/>
                <w:vertAlign w:val="baseline"/>
                <w:lang w:val="en-US" w:eastAsia="zh-CN"/>
                <w14:textFill>
                  <w14:solidFill>
                    <w14:schemeClr w14:val="tx1"/>
                  </w14:solidFill>
                </w14:textFill>
              </w:rPr>
              <w:t>地面冲洗主要对水基岩屑储存池周边区域进行，冲洗池体周边装卸过程散落物料，采用人工冲洗。因此地面冲洗水成分与水基岩屑内含水的成分接近，浓度相对更低一些。</w:t>
            </w:r>
          </w:p>
          <w:p w14:paraId="0E265CC3">
            <w:pPr>
              <w:ind w:firstLine="480"/>
              <w:rPr>
                <w:rFonts w:hint="eastAsia"/>
                <w:color w:val="000000" w:themeColor="text1"/>
                <w:vertAlign w:val="baseline"/>
                <w:lang w:val="en-US" w:eastAsia="zh-CN"/>
                <w14:textFill>
                  <w14:solidFill>
                    <w14:schemeClr w14:val="tx1"/>
                  </w14:solidFill>
                </w14:textFill>
              </w:rPr>
            </w:pPr>
            <w:r>
              <w:rPr>
                <w:rFonts w:hint="eastAsia"/>
                <w:color w:val="000000" w:themeColor="text1"/>
                <w:vertAlign w:val="baseline"/>
                <w:lang w:val="en-US" w:eastAsia="zh-CN"/>
                <w14:textFill>
                  <w14:solidFill>
                    <w14:schemeClr w14:val="tx1"/>
                  </w14:solidFill>
                </w14:textFill>
              </w:rPr>
              <w:t>冲洗水自流+人员清扫进入厂房内中部地势较低的水基岩屑储存池内。后续随水基岩屑预处理，一起压滤脱水，最终进入压滤废水内。</w:t>
            </w:r>
          </w:p>
          <w:p w14:paraId="1E8FDA7B">
            <w:pPr>
              <w:ind w:firstLine="480"/>
              <w:rPr>
                <w:rFonts w:hint="eastAsia" w:cs="Times New Roman"/>
                <w:b/>
                <w:bCs/>
                <w:color w:val="000000" w:themeColor="text1"/>
                <w:lang w:val="en-US" w:eastAsia="zh-CN"/>
                <w14:textFill>
                  <w14:solidFill>
                    <w14:schemeClr w14:val="tx1"/>
                  </w14:solidFill>
                </w14:textFill>
              </w:rPr>
            </w:pPr>
            <w:r>
              <w:rPr>
                <w:rFonts w:hint="eastAsia" w:cs="Times New Roman"/>
                <w:b/>
                <w:bCs/>
                <w:color w:val="000000" w:themeColor="text1"/>
                <w:lang w:val="en-US" w:eastAsia="zh-CN"/>
                <w14:textFill>
                  <w14:solidFill>
                    <w14:schemeClr w14:val="tx1"/>
                  </w14:solidFill>
                </w14:textFill>
              </w:rPr>
              <w:t>（4）W4 车辆冲洗废水</w:t>
            </w:r>
          </w:p>
          <w:p w14:paraId="2EDE1D93">
            <w:pPr>
              <w:ind w:firstLine="480"/>
              <w:rPr>
                <w:rFonts w:hint="default"/>
                <w:color w:val="000000" w:themeColor="text1"/>
                <w:vertAlign w:val="baseline"/>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水基岩屑运输车辆将水基岩屑泵入储存池后，会对车辆进行冲洗。项目2号厂房外设有一个车辆冲洗区，设置下沉式洗车槽，占地面积约30m</w:t>
            </w:r>
            <w:r>
              <w:rPr>
                <w:rFonts w:hint="eastAsia"/>
                <w:color w:val="000000" w:themeColor="text1"/>
                <w:vertAlign w:val="superscript"/>
                <w:lang w:val="en-US" w:eastAsia="zh-CN"/>
                <w14:textFill>
                  <w14:solidFill>
                    <w14:schemeClr w14:val="tx1"/>
                  </w14:solidFill>
                </w14:textFill>
              </w:rPr>
              <w:t>2</w:t>
            </w:r>
            <w:r>
              <w:rPr>
                <w:rFonts w:hint="eastAsia"/>
                <w:color w:val="000000" w:themeColor="text1"/>
                <w:lang w:val="en-US" w:eastAsia="zh-CN"/>
                <w14:textFill>
                  <w14:solidFill>
                    <w14:schemeClr w14:val="tx1"/>
                  </w14:solidFill>
                </w14:textFill>
              </w:rPr>
              <w:t>。采用自来水清洗，冲洗过程在车辆冲洗区进行，采用自来水，人工简单冲洗。根据水平衡分析，</w:t>
            </w:r>
            <w:r>
              <w:rPr>
                <w:rFonts w:hint="eastAsia" w:ascii="Times New Roman" w:hAnsi="Times New Roman" w:eastAsia="宋体" w:cs="Times New Roman"/>
                <w:color w:val="000000" w:themeColor="text1"/>
                <w:lang w:val="en-US" w:eastAsia="zh-CN"/>
                <w14:textFill>
                  <w14:solidFill>
                    <w14:schemeClr w14:val="tx1"/>
                  </w14:solidFill>
                </w14:textFill>
              </w:rPr>
              <w:t>车辆冲洗用水为</w:t>
            </w:r>
            <w:r>
              <w:rPr>
                <w:rFonts w:hint="eastAsia" w:cs="Times New Roman"/>
                <w:color w:val="000000" w:themeColor="text1"/>
                <w:lang w:val="en-US" w:eastAsia="zh-CN"/>
                <w14:textFill>
                  <w14:solidFill>
                    <w14:schemeClr w14:val="tx1"/>
                  </w14:solidFill>
                </w14:textFill>
              </w:rPr>
              <w:t>5.18</w:t>
            </w:r>
            <w:r>
              <w:rPr>
                <w:rFonts w:hint="default" w:ascii="Times New Roman" w:hAnsi="Times New Roman" w:eastAsia="宋体" w:cs="Times New Roman"/>
                <w:color w:val="000000" w:themeColor="text1"/>
                <w:lang w:val="en-US" w:eastAsia="zh-CN"/>
                <w14:textFill>
                  <w14:solidFill>
                    <w14:schemeClr w14:val="tx1"/>
                  </w14:solidFill>
                </w14:textFill>
              </w:rPr>
              <w:t>m</w:t>
            </w:r>
            <w:r>
              <w:rPr>
                <w:rFonts w:hint="default" w:ascii="Times New Roman" w:hAnsi="Times New Roman" w:eastAsia="宋体" w:cs="Times New Roman"/>
                <w:color w:val="000000" w:themeColor="text1"/>
                <w:vertAlign w:val="superscript"/>
                <w:lang w:val="en-US" w:eastAsia="zh-CN"/>
                <w14:textFill>
                  <w14:solidFill>
                    <w14:schemeClr w14:val="tx1"/>
                  </w14:solidFill>
                </w14:textFill>
              </w:rPr>
              <w:t>3</w:t>
            </w:r>
            <w:r>
              <w:rPr>
                <w:rFonts w:hint="default" w:ascii="Times New Roman" w:hAnsi="Times New Roman" w:eastAsia="宋体" w:cs="Times New Roman"/>
                <w:color w:val="000000" w:themeColor="text1"/>
                <w:lang w:val="en-US" w:eastAsia="zh-CN"/>
                <w14:textFill>
                  <w14:solidFill>
                    <w14:schemeClr w14:val="tx1"/>
                  </w14:solidFill>
                </w14:textFill>
              </w:rPr>
              <w:t>/d</w:t>
            </w:r>
            <w:r>
              <w:rPr>
                <w:rFonts w:hint="eastAsia" w:ascii="Times New Roman" w:hAnsi="Times New Roman" w:eastAsia="宋体" w:cs="Times New Roman"/>
                <w:color w:val="000000" w:themeColor="text1"/>
                <w:lang w:val="en-US"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1710</w:t>
            </w:r>
            <w:r>
              <w:rPr>
                <w:rFonts w:hint="default" w:ascii="Times New Roman" w:hAnsi="Times New Roman" w:eastAsia="宋体" w:cs="Times New Roman"/>
                <w:color w:val="000000" w:themeColor="text1"/>
                <w:lang w:val="en-US" w:eastAsia="zh-CN"/>
                <w14:textFill>
                  <w14:solidFill>
                    <w14:schemeClr w14:val="tx1"/>
                  </w14:solidFill>
                </w14:textFill>
              </w:rPr>
              <w:t>m</w:t>
            </w:r>
            <w:r>
              <w:rPr>
                <w:rFonts w:hint="default" w:ascii="Times New Roman" w:hAnsi="Times New Roman" w:eastAsia="宋体" w:cs="Times New Roman"/>
                <w:color w:val="000000" w:themeColor="text1"/>
                <w:vertAlign w:val="superscript"/>
                <w:lang w:val="en-US" w:eastAsia="zh-CN"/>
                <w14:textFill>
                  <w14:solidFill>
                    <w14:schemeClr w14:val="tx1"/>
                  </w14:solidFill>
                </w14:textFill>
              </w:rPr>
              <w:t>3</w:t>
            </w:r>
            <w:r>
              <w:rPr>
                <w:rFonts w:hint="default" w:ascii="Times New Roman" w:hAnsi="Times New Roman" w:eastAsia="宋体" w:cs="Times New Roman"/>
                <w:color w:val="000000" w:themeColor="text1"/>
                <w:lang w:val="en-US" w:eastAsia="zh-CN"/>
                <w14:textFill>
                  <w14:solidFill>
                    <w14:schemeClr w14:val="tx1"/>
                  </w14:solidFill>
                </w14:textFill>
              </w:rPr>
              <w:t>/a</w:t>
            </w:r>
            <w:r>
              <w:rPr>
                <w:rFonts w:hint="eastAsia" w:ascii="Times New Roman" w:hAnsi="Times New Roman" w:eastAsia="宋体" w:cs="Times New Roman"/>
                <w:color w:val="000000" w:themeColor="text1"/>
                <w:lang w:val="en-US" w:eastAsia="zh-CN"/>
                <w14:textFill>
                  <w14:solidFill>
                    <w14:schemeClr w14:val="tx1"/>
                  </w14:solidFill>
                </w14:textFill>
              </w:rPr>
              <w:t>；</w:t>
            </w:r>
            <w:r>
              <w:rPr>
                <w:rFonts w:hint="eastAsia"/>
                <w:color w:val="000000" w:themeColor="text1"/>
                <w:vertAlign w:val="baseline"/>
                <w:lang w:val="en-US" w:eastAsia="zh-CN"/>
                <w14:textFill>
                  <w14:solidFill>
                    <w14:schemeClr w14:val="tx1"/>
                  </w14:solidFill>
                </w14:textFill>
              </w:rPr>
              <w:t>产污系数按照0.9计，</w:t>
            </w:r>
            <w:r>
              <w:rPr>
                <w:rFonts w:hint="eastAsia" w:ascii="Times New Roman" w:hAnsi="Times New Roman" w:eastAsia="宋体" w:cs="Times New Roman"/>
                <w:color w:val="000000" w:themeColor="text1"/>
                <w:lang w:val="en-US" w:eastAsia="zh-CN"/>
                <w14:textFill>
                  <w14:solidFill>
                    <w14:schemeClr w14:val="tx1"/>
                  </w14:solidFill>
                </w14:textFill>
              </w:rPr>
              <w:t>则车辆冲洗废水约为</w:t>
            </w:r>
            <w:r>
              <w:rPr>
                <w:rFonts w:hint="eastAsia" w:cs="Times New Roman"/>
                <w:color w:val="000000" w:themeColor="text1"/>
                <w:lang w:val="en-US" w:eastAsia="zh-CN"/>
                <w14:textFill>
                  <w14:solidFill>
                    <w14:schemeClr w14:val="tx1"/>
                  </w14:solidFill>
                </w14:textFill>
              </w:rPr>
              <w:t>4.66</w:t>
            </w:r>
            <w:r>
              <w:rPr>
                <w:rFonts w:hint="default" w:ascii="Times New Roman" w:hAnsi="Times New Roman" w:eastAsia="宋体" w:cs="Times New Roman"/>
                <w:color w:val="000000" w:themeColor="text1"/>
                <w:lang w:val="en-US" w:eastAsia="zh-CN"/>
                <w14:textFill>
                  <w14:solidFill>
                    <w14:schemeClr w14:val="tx1"/>
                  </w14:solidFill>
                </w14:textFill>
              </w:rPr>
              <w:t>m</w:t>
            </w:r>
            <w:r>
              <w:rPr>
                <w:rFonts w:hint="default" w:ascii="Times New Roman" w:hAnsi="Times New Roman" w:eastAsia="宋体" w:cs="Times New Roman"/>
                <w:color w:val="000000" w:themeColor="text1"/>
                <w:vertAlign w:val="superscript"/>
                <w:lang w:val="en-US" w:eastAsia="zh-CN"/>
                <w14:textFill>
                  <w14:solidFill>
                    <w14:schemeClr w14:val="tx1"/>
                  </w14:solidFill>
                </w14:textFill>
              </w:rPr>
              <w:t xml:space="preserve">3 </w:t>
            </w:r>
            <w:r>
              <w:rPr>
                <w:rFonts w:hint="default" w:ascii="Times New Roman" w:hAnsi="Times New Roman" w:eastAsia="宋体" w:cs="Times New Roman"/>
                <w:color w:val="000000" w:themeColor="text1"/>
                <w:lang w:val="en-US" w:eastAsia="zh-CN"/>
                <w14:textFill>
                  <w14:solidFill>
                    <w14:schemeClr w14:val="tx1"/>
                  </w14:solidFill>
                </w14:textFill>
              </w:rPr>
              <w:t>/d</w:t>
            </w:r>
            <w:r>
              <w:rPr>
                <w:rFonts w:hint="eastAsia" w:ascii="Times New Roman" w:hAnsi="Times New Roman" w:eastAsia="宋体" w:cs="Times New Roman"/>
                <w:color w:val="000000" w:themeColor="text1"/>
                <w:lang w:val="en-US"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1537.8</w:t>
            </w:r>
            <w:r>
              <w:rPr>
                <w:rFonts w:hint="default" w:ascii="Times New Roman" w:hAnsi="Times New Roman" w:eastAsia="宋体" w:cs="Times New Roman"/>
                <w:color w:val="000000" w:themeColor="text1"/>
                <w:lang w:val="en-US" w:eastAsia="zh-CN"/>
                <w14:textFill>
                  <w14:solidFill>
                    <w14:schemeClr w14:val="tx1"/>
                  </w14:solidFill>
                </w14:textFill>
              </w:rPr>
              <w:t>m</w:t>
            </w:r>
            <w:r>
              <w:rPr>
                <w:rFonts w:hint="default" w:ascii="Times New Roman" w:hAnsi="Times New Roman" w:eastAsia="宋体" w:cs="Times New Roman"/>
                <w:color w:val="000000" w:themeColor="text1"/>
                <w:vertAlign w:val="superscript"/>
                <w:lang w:val="en-US" w:eastAsia="zh-CN"/>
                <w14:textFill>
                  <w14:solidFill>
                    <w14:schemeClr w14:val="tx1"/>
                  </w14:solidFill>
                </w14:textFill>
              </w:rPr>
              <w:t>3</w:t>
            </w:r>
            <w:r>
              <w:rPr>
                <w:rFonts w:hint="default" w:ascii="Times New Roman" w:hAnsi="Times New Roman" w:eastAsia="宋体" w:cs="Times New Roman"/>
                <w:color w:val="000000" w:themeColor="text1"/>
                <w:lang w:val="en-US" w:eastAsia="zh-CN"/>
                <w14:textFill>
                  <w14:solidFill>
                    <w14:schemeClr w14:val="tx1"/>
                  </w14:solidFill>
                </w14:textFill>
              </w:rPr>
              <w:t xml:space="preserve"> /a</w:t>
            </w:r>
            <w:r>
              <w:rPr>
                <w:rFonts w:hint="eastAsia" w:ascii="Times New Roman" w:hAnsi="Times New Roman" w:eastAsia="宋体" w:cs="Times New Roman"/>
                <w:color w:val="000000" w:themeColor="text1"/>
                <w:lang w:val="en-US"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车辆冲洗水中主要污染成分为COD、SS、石油类等。</w:t>
            </w:r>
          </w:p>
          <w:p w14:paraId="48FB371F">
            <w:pPr>
              <w:ind w:firstLine="480"/>
              <w:rPr>
                <w:rFonts w:hint="eastAsia"/>
                <w:color w:val="000000" w:themeColor="text1"/>
                <w:vertAlign w:val="baseline"/>
                <w:lang w:val="en-US" w:eastAsia="zh-CN"/>
                <w14:textFill>
                  <w14:solidFill>
                    <w14:schemeClr w14:val="tx1"/>
                  </w14:solidFill>
                </w14:textFill>
              </w:rPr>
            </w:pPr>
            <w:r>
              <w:rPr>
                <w:rFonts w:hint="eastAsia"/>
                <w:color w:val="000000" w:themeColor="text1"/>
                <w:vertAlign w:val="baseline"/>
                <w:lang w:val="en-US" w:eastAsia="zh-CN"/>
                <w14:textFill>
                  <w14:solidFill>
                    <w14:schemeClr w14:val="tx1"/>
                  </w14:solidFill>
                </w14:textFill>
              </w:rPr>
              <w:t>冲洗水通过管线送至进入2厂房内水基岩屑储存池内。后续随水基岩屑预处理，一起压滤脱水，最终进入压滤废水内。</w:t>
            </w:r>
          </w:p>
          <w:p w14:paraId="526B7D1D">
            <w:pPr>
              <w:ind w:firstLine="480"/>
              <w:rPr>
                <w:rFonts w:hint="eastAsia" w:cs="Times New Roman"/>
                <w:b/>
                <w:bCs/>
                <w:color w:val="000000" w:themeColor="text1"/>
                <w:lang w:val="en-US" w:eastAsia="zh-CN"/>
                <w14:textFill>
                  <w14:solidFill>
                    <w14:schemeClr w14:val="tx1"/>
                  </w14:solidFill>
                </w14:textFill>
              </w:rPr>
            </w:pPr>
            <w:r>
              <w:rPr>
                <w:rFonts w:hint="eastAsia" w:cs="Times New Roman"/>
                <w:b/>
                <w:bCs/>
                <w:color w:val="000000" w:themeColor="text1"/>
                <w:lang w:val="en-US" w:eastAsia="zh-CN"/>
                <w14:textFill>
                  <w14:solidFill>
                    <w14:schemeClr w14:val="tx1"/>
                  </w14:solidFill>
                </w14:textFill>
              </w:rPr>
              <w:t>（5）W5喷淋废水</w:t>
            </w:r>
          </w:p>
          <w:p w14:paraId="664B7CEC">
            <w:pPr>
              <w:keepNext w:val="0"/>
              <w:keepLines w:val="0"/>
              <w:widowControl/>
              <w:suppressLineNumbers w:val="0"/>
              <w:jc w:val="left"/>
              <w:rPr>
                <w:rFonts w:hint="default"/>
                <w:color w:val="000000" w:themeColor="text1"/>
                <w:vertAlign w:val="baseline"/>
                <w:lang w:val="en-US" w:eastAsia="zh-CN"/>
                <w14:textFill>
                  <w14:solidFill>
                    <w14:schemeClr w14:val="tx1"/>
                  </w14:solidFill>
                </w14:textFill>
              </w:rPr>
            </w:pPr>
            <w:r>
              <w:rPr>
                <w:rFonts w:hint="eastAsia"/>
                <w:color w:val="000000" w:themeColor="text1"/>
                <w:vertAlign w:val="baseline"/>
                <w:lang w:val="en-US" w:eastAsia="zh-CN"/>
                <w14:textFill>
                  <w14:solidFill>
                    <w14:schemeClr w14:val="tx1"/>
                  </w14:solidFill>
                </w14:textFill>
              </w:rPr>
              <w:t>项目设3座脱酸塔，均采用8%的氢氧化钠作为喷淋液，单座循环量为30t/h，脱酸塔采用自动化设计，自动补充碱液，排出废循环液。总体</w:t>
            </w:r>
            <w:r>
              <w:rPr>
                <w:rFonts w:hint="default"/>
                <w:color w:val="000000" w:themeColor="text1"/>
                <w:vertAlign w:val="baseline"/>
                <w:lang w:val="en-US" w:eastAsia="zh-CN"/>
                <w14:textFill>
                  <w14:solidFill>
                    <w14:schemeClr w14:val="tx1"/>
                  </w14:solidFill>
                </w14:textFill>
              </w:rPr>
              <w:t>将循环液盐浓度控制在12%以内，pH维持在8.5~9.5</w:t>
            </w:r>
            <w:r>
              <w:rPr>
                <w:rFonts w:hint="eastAsia"/>
                <w:color w:val="000000" w:themeColor="text1"/>
                <w:vertAlign w:val="baseline"/>
                <w:lang w:val="en-US" w:eastAsia="zh-CN"/>
                <w14:textFill>
                  <w14:solidFill>
                    <w14:schemeClr w14:val="tx1"/>
                  </w14:solidFill>
                </w14:textFill>
              </w:rPr>
              <w:t>，根据设计，每日约排放循环水量的1.5%，排放喷淋废水送至滤液池暂存。</w:t>
            </w:r>
          </w:p>
          <w:p w14:paraId="04B65363">
            <w:pPr>
              <w:keepNext w:val="0"/>
              <w:keepLines w:val="0"/>
              <w:widowControl/>
              <w:suppressLineNumbers w:val="0"/>
              <w:jc w:val="left"/>
              <w:rPr>
                <w:rFonts w:hint="eastAsia"/>
                <w:color w:val="000000" w:themeColor="text1"/>
                <w:vertAlign w:val="baseline"/>
                <w:lang w:val="en-US" w:eastAsia="zh-CN"/>
                <w14:textFill>
                  <w14:solidFill>
                    <w14:schemeClr w14:val="tx1"/>
                  </w14:solidFill>
                </w14:textFill>
              </w:rPr>
            </w:pPr>
            <w:r>
              <w:rPr>
                <w:rFonts w:hint="eastAsia"/>
                <w:color w:val="000000" w:themeColor="text1"/>
                <w:vertAlign w:val="baseline"/>
                <w:lang w:val="en-US" w:eastAsia="zh-CN"/>
                <w14:textFill>
                  <w14:solidFill>
                    <w14:schemeClr w14:val="tx1"/>
                  </w14:solidFill>
                </w14:textFill>
              </w:rPr>
              <w:t>按照每日排放循环水量1.5%计，每日循环过程蒸发量按0.5%计，则项目脱酸塔每日需补水43.2t/d，14256t/a，排放的废水量约32.4t/d</w:t>
            </w:r>
            <w:r>
              <w:rPr>
                <w:rFonts w:hint="eastAsia" w:cs="Times New Roman"/>
                <w:color w:val="000000" w:themeColor="text1"/>
                <w:sz w:val="24"/>
                <w:szCs w:val="24"/>
                <w:vertAlign w:val="baseline"/>
                <w:lang w:val="en-US" w:eastAsia="zh-CN"/>
                <w14:textFill>
                  <w14:solidFill>
                    <w14:schemeClr w14:val="tx1"/>
                  </w14:solidFill>
                </w14:textFill>
              </w:rPr>
              <w:t>（10692t/a）</w:t>
            </w:r>
            <w:r>
              <w:rPr>
                <w:rFonts w:hint="eastAsia"/>
                <w:color w:val="000000" w:themeColor="text1"/>
                <w:vertAlign w:val="baseline"/>
                <w:lang w:val="en-US" w:eastAsia="zh-CN"/>
                <w14:textFill>
                  <w14:solidFill>
                    <w14:schemeClr w14:val="tx1"/>
                  </w14:solidFill>
                </w14:textFill>
              </w:rPr>
              <w:t>。</w:t>
            </w:r>
          </w:p>
          <w:p w14:paraId="11DC4BB3">
            <w:pPr>
              <w:ind w:firstLine="480"/>
              <w:rPr>
                <w:rFonts w:hint="eastAsia"/>
                <w:color w:val="000000" w:themeColor="text1"/>
                <w:vertAlign w:val="baseline"/>
                <w:lang w:val="en-US" w:eastAsia="zh-CN"/>
                <w14:textFill>
                  <w14:solidFill>
                    <w14:schemeClr w14:val="tx1"/>
                  </w14:solidFill>
                </w14:textFill>
              </w:rPr>
            </w:pPr>
            <w:r>
              <w:rPr>
                <w:rFonts w:hint="eastAsia"/>
                <w:color w:val="000000" w:themeColor="text1"/>
                <w:vertAlign w:val="baseline"/>
                <w:lang w:val="en-US" w:eastAsia="zh-CN"/>
                <w14:textFill>
                  <w14:solidFill>
                    <w14:schemeClr w14:val="tx1"/>
                  </w14:solidFill>
                </w14:textFill>
              </w:rPr>
              <w:t>喷淋过程采用氢氧化钠溶液作为喷淋液，主要处理废气中的二氧化硫、氟化物，喷淋废水中主要污染物组分为硫酸盐、SS、氟化物等，送至滤液池和压滤废水一并处理。</w:t>
            </w:r>
          </w:p>
          <w:p w14:paraId="37F0DCAD">
            <w:pPr>
              <w:ind w:firstLine="480"/>
              <w:rPr>
                <w:rFonts w:hint="default" w:cs="Times New Roman"/>
                <w:b/>
                <w:bCs/>
                <w:color w:val="000000" w:themeColor="text1"/>
                <w:lang w:val="en-US" w:eastAsia="zh-CN"/>
                <w14:textFill>
                  <w14:solidFill>
                    <w14:schemeClr w14:val="tx1"/>
                  </w14:solidFill>
                </w14:textFill>
              </w:rPr>
            </w:pPr>
            <w:r>
              <w:rPr>
                <w:rFonts w:hint="eastAsia" w:cs="Times New Roman"/>
                <w:b/>
                <w:bCs/>
                <w:color w:val="000000" w:themeColor="text1"/>
                <w:lang w:val="en-US" w:eastAsia="zh-CN"/>
                <w14:textFill>
                  <w14:solidFill>
                    <w14:schemeClr w14:val="tx1"/>
                  </w14:solidFill>
                </w14:textFill>
              </w:rPr>
              <w:t>（6）W6 蒸养冷凝水</w:t>
            </w:r>
          </w:p>
          <w:p w14:paraId="3191B03D">
            <w:pPr>
              <w:numPr>
                <w:ilvl w:val="0"/>
                <w:numId w:val="0"/>
              </w:numPr>
              <w:ind w:left="0" w:leftChars="0" w:firstLine="480" w:firstLineChars="200"/>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pPr>
            <w:r>
              <w:rPr>
                <w:rFonts w:hint="eastAsia" w:cs="Times New Roman"/>
                <w:color w:val="000000" w:themeColor="text1"/>
                <w:lang w:val="en-US" w:eastAsia="zh-CN"/>
                <w14:textFill>
                  <w14:solidFill>
                    <w14:schemeClr w14:val="tx1"/>
                  </w14:solidFill>
                </w14:textFill>
              </w:rPr>
              <w:t>蒸汽养护采用自来水产蒸汽。</w:t>
            </w:r>
            <w:r>
              <w:rPr>
                <w:rFonts w:hint="eastAsia" w:ascii="宋体" w:hAnsi="宋体" w:eastAsia="宋体" w:cs="宋体"/>
                <w:color w:val="000000" w:themeColor="text1"/>
                <w:kern w:val="0"/>
                <w:sz w:val="24"/>
                <w:szCs w:val="24"/>
                <w:lang w:val="en-US" w:eastAsia="zh-CN" w:bidi="ar"/>
                <w14:textFill>
                  <w14:solidFill>
                    <w14:schemeClr w14:val="tx1"/>
                  </w14:solidFill>
                </w14:textFill>
              </w:rPr>
              <w:t>压制</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好的产品经叉车码垛摆放后，</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送至蒸养箱内，向蒸养箱内通入蒸汽进</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行养护，提高</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产品强度</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。根据设计，</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蒸汽养护采用电加热蒸汽发生器，采用自来水作为水源，产蒸汽量约为0.5t/h。根据计算，总</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用水量约</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3</w:t>
            </w:r>
            <w:r>
              <w:rPr>
                <w:rFonts w:hint="eastAsia" w:cs="Times New Roman"/>
                <w:color w:val="000000" w:themeColor="text1"/>
                <w:kern w:val="0"/>
                <w:sz w:val="24"/>
                <w:szCs w:val="24"/>
                <w:lang w:val="en-US" w:eastAsia="zh-CN" w:bidi="ar"/>
                <w14:textFill>
                  <w14:solidFill>
                    <w14:schemeClr w14:val="tx1"/>
                  </w14:solidFill>
                </w14:textFill>
              </w:rPr>
              <w:t>96</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0</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t/a。</w:t>
            </w:r>
          </w:p>
          <w:p w14:paraId="38984E3C">
            <w:pPr>
              <w:numPr>
                <w:ilvl w:val="0"/>
                <w:numId w:val="0"/>
              </w:numPr>
              <w:ind w:left="0" w:leftChars="0" w:firstLine="480" w:firstLineChars="200"/>
              <w:rPr>
                <w:rFonts w:hint="default" w:ascii="Times New Roman" w:hAnsi="Times New Roman" w:cs="Times New Roman"/>
                <w:color w:val="000000" w:themeColor="text1"/>
                <w:kern w:val="0"/>
                <w:sz w:val="24"/>
                <w:szCs w:val="24"/>
                <w:lang w:val="en-US" w:eastAsia="zh-CN" w:bidi="ar"/>
                <w14:textFill>
                  <w14:solidFill>
                    <w14:schemeClr w14:val="tx1"/>
                  </w14:solidFill>
                </w14:textFill>
              </w:rPr>
            </w:pP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根据前文水平衡核算，蒸养过程产生冷凝水量总计约（3</w:t>
            </w:r>
            <w:r>
              <w:rPr>
                <w:rFonts w:hint="eastAsia" w:cs="Times New Roman"/>
                <w:color w:val="000000" w:themeColor="text1"/>
                <w:kern w:val="0"/>
                <w:sz w:val="24"/>
                <w:szCs w:val="24"/>
                <w:lang w:val="en-US" w:eastAsia="zh-CN" w:bidi="ar"/>
                <w14:textFill>
                  <w14:solidFill>
                    <w14:schemeClr w14:val="tx1"/>
                  </w14:solidFill>
                </w14:textFill>
              </w:rPr>
              <w:t>960</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+1</w:t>
            </w:r>
            <w:r>
              <w:rPr>
                <w:rFonts w:hint="eastAsia" w:cs="Times New Roman"/>
                <w:color w:val="000000" w:themeColor="text1"/>
                <w:kern w:val="0"/>
                <w:sz w:val="24"/>
                <w:szCs w:val="24"/>
                <w:lang w:val="en-US" w:eastAsia="zh-CN" w:bidi="ar"/>
                <w14:textFill>
                  <w14:solidFill>
                    <w14:schemeClr w14:val="tx1"/>
                  </w14:solidFill>
                </w14:textFill>
              </w:rPr>
              <w:t>815</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）×80%=</w:t>
            </w:r>
            <w:r>
              <w:rPr>
                <w:rFonts w:hint="eastAsia" w:cs="Times New Roman"/>
                <w:color w:val="000000" w:themeColor="text1"/>
                <w:kern w:val="0"/>
                <w:sz w:val="24"/>
                <w:szCs w:val="24"/>
                <w:lang w:val="en-US" w:eastAsia="zh-CN" w:bidi="ar"/>
                <w14:textFill>
                  <w14:solidFill>
                    <w14:schemeClr w14:val="tx1"/>
                  </w14:solidFill>
                </w14:textFill>
              </w:rPr>
              <w:t>3820</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t/a，约</w:t>
            </w:r>
            <w:r>
              <w:rPr>
                <w:rFonts w:hint="eastAsia" w:cs="Times New Roman"/>
                <w:color w:val="000000" w:themeColor="text1"/>
                <w:kern w:val="0"/>
                <w:sz w:val="24"/>
                <w:szCs w:val="24"/>
                <w:lang w:val="en-US" w:eastAsia="zh-CN" w:bidi="ar"/>
                <w14:textFill>
                  <w14:solidFill>
                    <w14:schemeClr w14:val="tx1"/>
                  </w14:solidFill>
                </w14:textFill>
              </w:rPr>
              <w:t>955</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t以水蒸气形式排放。</w:t>
            </w:r>
          </w:p>
          <w:p w14:paraId="361BE416">
            <w:pPr>
              <w:ind w:firstLine="480"/>
              <w:rPr>
                <w:rFonts w:hint="default" w:ascii="Times New Roman" w:hAnsi="Times New Roman" w:cs="Times New Roman"/>
                <w:color w:val="000000" w:themeColor="text1"/>
                <w:vertAlign w:val="baseline"/>
                <w:lang w:val="en-US" w:eastAsia="zh-CN"/>
                <w14:textFill>
                  <w14:solidFill>
                    <w14:schemeClr w14:val="tx1"/>
                  </w14:solidFill>
                </w14:textFill>
              </w:rPr>
            </w:pPr>
            <w:r>
              <w:rPr>
                <w:rFonts w:hint="default" w:ascii="Times New Roman" w:hAnsi="Times New Roman" w:cs="Times New Roman"/>
                <w:color w:val="000000" w:themeColor="text1"/>
                <w:vertAlign w:val="baseline"/>
                <w:lang w:val="en-US" w:eastAsia="zh-CN"/>
                <w14:textFill>
                  <w14:solidFill>
                    <w14:schemeClr w14:val="tx1"/>
                  </w14:solidFill>
                </w14:textFill>
              </w:rPr>
              <w:t>蒸养冷凝水水质较好，主要污染物为SS等，经蒸养箱底部的排水系统收集后，全部回用于</w:t>
            </w:r>
            <w:r>
              <w:rPr>
                <w:rFonts w:hint="eastAsia" w:cs="Times New Roman"/>
                <w:color w:val="000000" w:themeColor="text1"/>
                <w:vertAlign w:val="baseline"/>
                <w:lang w:val="en-US" w:eastAsia="zh-CN"/>
                <w14:textFill>
                  <w14:solidFill>
                    <w14:schemeClr w14:val="tx1"/>
                  </w14:solidFill>
                </w14:textFill>
              </w:rPr>
              <w:t>免烧砌块</w:t>
            </w:r>
            <w:r>
              <w:rPr>
                <w:rFonts w:hint="default" w:ascii="Times New Roman" w:hAnsi="Times New Roman" w:cs="Times New Roman"/>
                <w:color w:val="000000" w:themeColor="text1"/>
                <w:vertAlign w:val="baseline"/>
                <w:lang w:val="en-US" w:eastAsia="zh-CN"/>
                <w14:textFill>
                  <w14:solidFill>
                    <w14:schemeClr w14:val="tx1"/>
                  </w14:solidFill>
                </w14:textFill>
              </w:rPr>
              <w:t>生产过程。</w:t>
            </w:r>
          </w:p>
          <w:p w14:paraId="2708E616">
            <w:pPr>
              <w:ind w:firstLine="480"/>
              <w:rPr>
                <w:rFonts w:cs="Times New Roman"/>
                <w:b/>
                <w:color w:val="000000" w:themeColor="text1"/>
                <w14:textFill>
                  <w14:solidFill>
                    <w14:schemeClr w14:val="tx1"/>
                  </w14:solidFill>
                </w14:textFill>
              </w:rPr>
            </w:pPr>
            <w:r>
              <w:rPr>
                <w:rFonts w:hint="eastAsia" w:cs="Times New Roman"/>
                <w:b/>
                <w:bCs/>
                <w:color w:val="000000" w:themeColor="text1"/>
                <w:lang w:val="en-US" w:eastAsia="zh-CN"/>
                <w14:textFill>
                  <w14:solidFill>
                    <w14:schemeClr w14:val="tx1"/>
                  </w14:solidFill>
                </w14:textFill>
              </w:rPr>
              <w:t>（7）W7生活污水</w:t>
            </w:r>
          </w:p>
          <w:p w14:paraId="5B3A9223">
            <w:pPr>
              <w:ind w:firstLine="48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本项目劳动定员</w:t>
            </w:r>
            <w:r>
              <w:rPr>
                <w:rFonts w:hint="eastAsia" w:cs="Times New Roman"/>
                <w:color w:val="000000" w:themeColor="text1"/>
                <w:lang w:val="en-US" w:eastAsia="zh-CN"/>
                <w14:textFill>
                  <w14:solidFill>
                    <w14:schemeClr w14:val="tx1"/>
                  </w14:solidFill>
                </w14:textFill>
              </w:rPr>
              <w:t>20</w:t>
            </w:r>
            <w:r>
              <w:rPr>
                <w:rFonts w:cs="Times New Roman"/>
                <w:color w:val="000000" w:themeColor="text1"/>
                <w14:textFill>
                  <w14:solidFill>
                    <w14:schemeClr w14:val="tx1"/>
                  </w14:solidFill>
                </w14:textFill>
              </w:rPr>
              <w:t>人，厂区内食宿，根据水平衡分析，生活用水量为</w:t>
            </w:r>
            <w:r>
              <w:rPr>
                <w:rFonts w:hint="eastAsia" w:cs="Times New Roman"/>
                <w:color w:val="000000" w:themeColor="text1"/>
                <w:lang w:val="en-US" w:eastAsia="zh-CN"/>
                <w14:textFill>
                  <w14:solidFill>
                    <w14:schemeClr w14:val="tx1"/>
                  </w14:solidFill>
                </w14:textFill>
              </w:rPr>
              <w:t>2.6</w:t>
            </w:r>
            <w:r>
              <w:rPr>
                <w:rFonts w:cs="Times New Roman"/>
                <w:color w:val="000000" w:themeColor="text1"/>
                <w14:textFill>
                  <w14:solidFill>
                    <w14:schemeClr w14:val="tx1"/>
                  </w14:solidFill>
                </w14:textFill>
              </w:rPr>
              <w:t>m</w:t>
            </w:r>
            <w:r>
              <w:rPr>
                <w:rFonts w:cs="Times New Roman"/>
                <w:color w:val="000000" w:themeColor="text1"/>
                <w:vertAlign w:val="superscript"/>
                <w14:textFill>
                  <w14:solidFill>
                    <w14:schemeClr w14:val="tx1"/>
                  </w14:solidFill>
                </w14:textFill>
              </w:rPr>
              <w:t>3</w:t>
            </w:r>
            <w:r>
              <w:rPr>
                <w:rFonts w:cs="Times New Roman"/>
                <w:color w:val="000000" w:themeColor="text1"/>
                <w14:textFill>
                  <w14:solidFill>
                    <w14:schemeClr w14:val="tx1"/>
                  </w14:solidFill>
                </w14:textFill>
              </w:rPr>
              <w:t>/d，</w:t>
            </w:r>
            <w:r>
              <w:rPr>
                <w:rFonts w:hint="eastAsia" w:cs="Times New Roman"/>
                <w:color w:val="000000" w:themeColor="text1"/>
                <w:lang w:val="en-US" w:eastAsia="zh-CN"/>
                <w14:textFill>
                  <w14:solidFill>
                    <w14:schemeClr w14:val="tx1"/>
                  </w14:solidFill>
                </w14:textFill>
              </w:rPr>
              <w:t>858</w:t>
            </w:r>
            <w:r>
              <w:rPr>
                <w:rFonts w:cs="Times New Roman"/>
                <w:color w:val="000000" w:themeColor="text1"/>
                <w14:textFill>
                  <w14:solidFill>
                    <w14:schemeClr w14:val="tx1"/>
                  </w14:solidFill>
                </w14:textFill>
              </w:rPr>
              <w:t>m</w:t>
            </w:r>
            <w:r>
              <w:rPr>
                <w:rFonts w:cs="Times New Roman"/>
                <w:color w:val="000000" w:themeColor="text1"/>
                <w:vertAlign w:val="superscript"/>
                <w14:textFill>
                  <w14:solidFill>
                    <w14:schemeClr w14:val="tx1"/>
                  </w14:solidFill>
                </w14:textFill>
              </w:rPr>
              <w:t>3</w:t>
            </w:r>
            <w:r>
              <w:rPr>
                <w:rFonts w:cs="Times New Roman"/>
                <w:color w:val="000000" w:themeColor="text1"/>
                <w14:textFill>
                  <w14:solidFill>
                    <w14:schemeClr w14:val="tx1"/>
                  </w14:solidFill>
                </w14:textFill>
              </w:rPr>
              <w:t>/a，生活污水按排污系数按用水量的90%计算，生活污水产生量为</w:t>
            </w:r>
            <w:r>
              <w:rPr>
                <w:rFonts w:hint="eastAsia" w:cs="Times New Roman"/>
                <w:color w:val="000000" w:themeColor="text1"/>
                <w:lang w:val="en-US" w:eastAsia="zh-CN"/>
                <w14:textFill>
                  <w14:solidFill>
                    <w14:schemeClr w14:val="tx1"/>
                  </w14:solidFill>
                </w14:textFill>
              </w:rPr>
              <w:t>2.34</w:t>
            </w:r>
            <w:r>
              <w:rPr>
                <w:rFonts w:cs="Times New Roman"/>
                <w:color w:val="000000" w:themeColor="text1"/>
                <w14:textFill>
                  <w14:solidFill>
                    <w14:schemeClr w14:val="tx1"/>
                  </w14:solidFill>
                </w14:textFill>
              </w:rPr>
              <w:t>m</w:t>
            </w:r>
            <w:r>
              <w:rPr>
                <w:rFonts w:cs="Times New Roman"/>
                <w:color w:val="000000" w:themeColor="text1"/>
                <w:vertAlign w:val="superscript"/>
                <w14:textFill>
                  <w14:solidFill>
                    <w14:schemeClr w14:val="tx1"/>
                  </w14:solidFill>
                </w14:textFill>
              </w:rPr>
              <w:t>3</w:t>
            </w:r>
            <w:r>
              <w:rPr>
                <w:rFonts w:cs="Times New Roman"/>
                <w:color w:val="000000" w:themeColor="text1"/>
                <w14:textFill>
                  <w14:solidFill>
                    <w14:schemeClr w14:val="tx1"/>
                  </w14:solidFill>
                </w14:textFill>
              </w:rPr>
              <w:t>/d，</w:t>
            </w:r>
            <w:r>
              <w:rPr>
                <w:rFonts w:hint="eastAsia" w:cs="Times New Roman"/>
                <w:color w:val="000000" w:themeColor="text1"/>
                <w:lang w:val="en-US" w:eastAsia="zh-CN"/>
                <w14:textFill>
                  <w14:solidFill>
                    <w14:schemeClr w14:val="tx1"/>
                  </w14:solidFill>
                </w14:textFill>
              </w:rPr>
              <w:t>772.2</w:t>
            </w:r>
            <w:r>
              <w:rPr>
                <w:rFonts w:cs="Times New Roman"/>
                <w:color w:val="000000" w:themeColor="text1"/>
                <w14:textFill>
                  <w14:solidFill>
                    <w14:schemeClr w14:val="tx1"/>
                  </w14:solidFill>
                </w14:textFill>
              </w:rPr>
              <w:t>m</w:t>
            </w:r>
            <w:r>
              <w:rPr>
                <w:rFonts w:cs="Times New Roman"/>
                <w:color w:val="000000" w:themeColor="text1"/>
                <w:vertAlign w:val="superscript"/>
                <w14:textFill>
                  <w14:solidFill>
                    <w14:schemeClr w14:val="tx1"/>
                  </w14:solidFill>
                </w14:textFill>
              </w:rPr>
              <w:t>3</w:t>
            </w:r>
            <w:r>
              <w:rPr>
                <w:rFonts w:cs="Times New Roman"/>
                <w:color w:val="000000" w:themeColor="text1"/>
                <w14:textFill>
                  <w14:solidFill>
                    <w14:schemeClr w14:val="tx1"/>
                  </w14:solidFill>
                </w14:textFill>
              </w:rPr>
              <w:t>/a，主要污染物浓度分别为</w:t>
            </w:r>
            <w:r>
              <w:rPr>
                <w:rFonts w:eastAsia="Times New Roman" w:cs="Times New Roman"/>
                <w:color w:val="000000" w:themeColor="text1"/>
                <w14:textFill>
                  <w14:solidFill>
                    <w14:schemeClr w14:val="tx1"/>
                  </w14:solidFill>
                </w14:textFill>
              </w:rPr>
              <w:t>COD</w:t>
            </w:r>
            <w:r>
              <w:rPr>
                <w:rFonts w:cs="Times New Roman"/>
                <w:color w:val="000000" w:themeColor="text1"/>
                <w14:textFill>
                  <w14:solidFill>
                    <w14:schemeClr w14:val="tx1"/>
                  </w14:solidFill>
                </w14:textFill>
              </w:rPr>
              <w:t>：50</w:t>
            </w:r>
            <w:r>
              <w:rPr>
                <w:rFonts w:eastAsia="Times New Roman" w:cs="Times New Roman"/>
                <w:color w:val="000000" w:themeColor="text1"/>
                <w14:textFill>
                  <w14:solidFill>
                    <w14:schemeClr w14:val="tx1"/>
                  </w14:solidFill>
                </w14:textFill>
              </w:rPr>
              <w:t>0mg/L</w:t>
            </w:r>
            <w:r>
              <w:rPr>
                <w:rFonts w:cs="Times New Roman"/>
                <w:color w:val="000000" w:themeColor="text1"/>
                <w14:textFill>
                  <w14:solidFill>
                    <w14:schemeClr w14:val="tx1"/>
                  </w14:solidFill>
                </w14:textFill>
              </w:rPr>
              <w:t>、B</w:t>
            </w:r>
            <w:r>
              <w:rPr>
                <w:rFonts w:eastAsia="Times New Roman" w:cs="Times New Roman"/>
                <w:color w:val="000000" w:themeColor="text1"/>
                <w14:textFill>
                  <w14:solidFill>
                    <w14:schemeClr w14:val="tx1"/>
                  </w14:solidFill>
                </w14:textFill>
              </w:rPr>
              <w:t>OD</w:t>
            </w:r>
            <w:r>
              <w:rPr>
                <w:rFonts w:cs="Times New Roman"/>
                <w:color w:val="000000" w:themeColor="text1"/>
                <w:vertAlign w:val="subscript"/>
                <w14:textFill>
                  <w14:solidFill>
                    <w14:schemeClr w14:val="tx1"/>
                  </w14:solidFill>
                </w14:textFill>
              </w:rPr>
              <w:t>5</w:t>
            </w:r>
            <w:r>
              <w:rPr>
                <w:rFonts w:cs="Times New Roman"/>
                <w:color w:val="000000" w:themeColor="text1"/>
                <w14:textFill>
                  <w14:solidFill>
                    <w14:schemeClr w14:val="tx1"/>
                  </w14:solidFill>
                </w14:textFill>
              </w:rPr>
              <w:t>：30</w:t>
            </w:r>
            <w:r>
              <w:rPr>
                <w:rFonts w:eastAsia="Times New Roman" w:cs="Times New Roman"/>
                <w:color w:val="000000" w:themeColor="text1"/>
                <w14:textFill>
                  <w14:solidFill>
                    <w14:schemeClr w14:val="tx1"/>
                  </w14:solidFill>
                </w14:textFill>
              </w:rPr>
              <w:t>0mg/L</w:t>
            </w:r>
            <w:r>
              <w:rPr>
                <w:rFonts w:cs="Times New Roman"/>
                <w:color w:val="000000" w:themeColor="text1"/>
                <w14:textFill>
                  <w14:solidFill>
                    <w14:schemeClr w14:val="tx1"/>
                  </w14:solidFill>
                </w14:textFill>
              </w:rPr>
              <w:t>、</w:t>
            </w:r>
            <w:r>
              <w:rPr>
                <w:rFonts w:eastAsia="Times New Roman" w:cs="Times New Roman"/>
                <w:color w:val="000000" w:themeColor="text1"/>
                <w14:textFill>
                  <w14:solidFill>
                    <w14:schemeClr w14:val="tx1"/>
                  </w14:solidFill>
                </w14:textFill>
              </w:rPr>
              <w:t>SS</w:t>
            </w:r>
            <w:r>
              <w:rPr>
                <w:rFonts w:cs="Times New Roman"/>
                <w:color w:val="000000" w:themeColor="text1"/>
                <w14:textFill>
                  <w14:solidFill>
                    <w14:schemeClr w14:val="tx1"/>
                  </w14:solidFill>
                </w14:textFill>
              </w:rPr>
              <w:t>：30</w:t>
            </w:r>
            <w:r>
              <w:rPr>
                <w:rFonts w:eastAsia="Times New Roman" w:cs="Times New Roman"/>
                <w:color w:val="000000" w:themeColor="text1"/>
                <w14:textFill>
                  <w14:solidFill>
                    <w14:schemeClr w14:val="tx1"/>
                  </w14:solidFill>
                </w14:textFill>
              </w:rPr>
              <w:t>0mg/L</w:t>
            </w:r>
            <w:r>
              <w:rPr>
                <w:rFonts w:cs="Times New Roman"/>
                <w:color w:val="000000" w:themeColor="text1"/>
                <w14:textFill>
                  <w14:solidFill>
                    <w14:schemeClr w14:val="tx1"/>
                  </w14:solidFill>
                </w14:textFill>
              </w:rPr>
              <w:t>、氨氮：</w:t>
            </w:r>
            <w:r>
              <w:rPr>
                <w:rFonts w:hint="eastAsia" w:cs="Times New Roman"/>
                <w:color w:val="000000" w:themeColor="text1"/>
                <w:lang w:val="en-US" w:eastAsia="zh-CN"/>
                <w14:textFill>
                  <w14:solidFill>
                    <w14:schemeClr w14:val="tx1"/>
                  </w14:solidFill>
                </w14:textFill>
              </w:rPr>
              <w:t>35</w:t>
            </w:r>
            <w:r>
              <w:rPr>
                <w:rFonts w:eastAsia="Times New Roman" w:cs="Times New Roman"/>
                <w:color w:val="000000" w:themeColor="text1"/>
                <w14:textFill>
                  <w14:solidFill>
                    <w14:schemeClr w14:val="tx1"/>
                  </w14:solidFill>
                </w14:textFill>
              </w:rPr>
              <w:t>mg/L</w:t>
            </w:r>
            <w:r>
              <w:rPr>
                <w:rFonts w:cs="Times New Roman"/>
                <w:color w:val="000000" w:themeColor="text1"/>
                <w14:textFill>
                  <w14:solidFill>
                    <w14:schemeClr w14:val="tx1"/>
                  </w14:solidFill>
                </w14:textFill>
              </w:rPr>
              <w:t>、总磷：6</w:t>
            </w:r>
            <w:r>
              <w:rPr>
                <w:rFonts w:eastAsia="Times New Roman" w:cs="Times New Roman"/>
                <w:color w:val="000000" w:themeColor="text1"/>
                <w14:textFill>
                  <w14:solidFill>
                    <w14:schemeClr w14:val="tx1"/>
                  </w14:solidFill>
                </w14:textFill>
              </w:rPr>
              <w:t>mg/L</w:t>
            </w:r>
            <w:r>
              <w:rPr>
                <w:rFonts w:hint="eastAsia" w:eastAsia="宋体" w:cs="Times New Roman"/>
                <w:color w:val="000000" w:themeColor="text1"/>
                <w:lang w:eastAsia="zh-CN"/>
                <w14:textFill>
                  <w14:solidFill>
                    <w14:schemeClr w14:val="tx1"/>
                  </w14:solidFill>
                </w14:textFill>
              </w:rPr>
              <w:t>、</w:t>
            </w:r>
            <w:r>
              <w:rPr>
                <w:rFonts w:hint="eastAsia" w:eastAsia="宋体" w:cs="Times New Roman"/>
                <w:color w:val="000000" w:themeColor="text1"/>
                <w:lang w:val="en-US" w:eastAsia="zh-CN"/>
                <w14:textFill>
                  <w14:solidFill>
                    <w14:schemeClr w14:val="tx1"/>
                  </w14:solidFill>
                </w14:textFill>
              </w:rPr>
              <w:t>氯化物：150mg/L</w:t>
            </w:r>
            <w:r>
              <w:rPr>
                <w:rFonts w:cs="Times New Roman"/>
                <w:color w:val="000000" w:themeColor="text1"/>
                <w14:textFill>
                  <w14:solidFill>
                    <w14:schemeClr w14:val="tx1"/>
                  </w14:solidFill>
                </w14:textFill>
              </w:rPr>
              <w:t>。</w:t>
            </w:r>
          </w:p>
          <w:p w14:paraId="360D9CC3">
            <w:pPr>
              <w:ind w:firstLine="480"/>
              <w:rPr>
                <w:rFonts w:hint="default" w:eastAsia="宋体" w:cs="Times New Roman"/>
                <w:color w:val="000000" w:themeColor="text1"/>
                <w:lang w:val="en-US" w:eastAsia="zh-CN"/>
                <w14:textFill>
                  <w14:solidFill>
                    <w14:schemeClr w14:val="tx1"/>
                  </w14:solidFill>
                </w14:textFill>
              </w:rPr>
            </w:pPr>
            <w:r>
              <w:rPr>
                <w:rFonts w:cs="Times New Roman"/>
                <w:color w:val="000000" w:themeColor="text1"/>
                <w:szCs w:val="21"/>
                <w14:textFill>
                  <w14:solidFill>
                    <w14:schemeClr w14:val="tx1"/>
                  </w14:solidFill>
                </w14:textFill>
              </w:rPr>
              <w:t>生活污水</w:t>
            </w:r>
            <w:bookmarkStart w:id="66" w:name="OLE_LINK240"/>
            <w:bookmarkStart w:id="67" w:name="OLE_LINK241"/>
            <w:r>
              <w:rPr>
                <w:rFonts w:hint="eastAsia" w:cs="Times New Roman"/>
                <w:color w:val="000000" w:themeColor="text1"/>
                <w:szCs w:val="21"/>
                <w:lang w:val="en-US" w:eastAsia="zh-CN"/>
                <w14:textFill>
                  <w14:solidFill>
                    <w14:schemeClr w14:val="tx1"/>
                  </w14:solidFill>
                </w14:textFill>
              </w:rPr>
              <w:t>中食堂生活污水经隔油后，与其他生活污水一并，</w:t>
            </w:r>
            <w:r>
              <w:rPr>
                <w:rFonts w:cs="Times New Roman"/>
                <w:color w:val="000000" w:themeColor="text1"/>
                <w:szCs w:val="21"/>
                <w14:textFill>
                  <w14:solidFill>
                    <w14:schemeClr w14:val="tx1"/>
                  </w14:solidFill>
                </w14:textFill>
              </w:rPr>
              <w:t>依托租赁车间所在厂区已有的预处理池</w:t>
            </w:r>
            <w:r>
              <w:rPr>
                <w:rFonts w:cs="Times New Roman"/>
                <w:color w:val="000000" w:themeColor="text1"/>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1</w:t>
            </w:r>
            <w:r>
              <w:rPr>
                <w:rFonts w:cs="Times New Roman"/>
                <w:color w:val="000000" w:themeColor="text1"/>
                <w14:textFill>
                  <w14:solidFill>
                    <w14:schemeClr w14:val="tx1"/>
                  </w14:solidFill>
                </w14:textFill>
              </w:rPr>
              <w:t>0m</w:t>
            </w:r>
            <w:r>
              <w:rPr>
                <w:rFonts w:cs="Times New Roman"/>
                <w:color w:val="000000" w:themeColor="text1"/>
                <w:vertAlign w:val="superscript"/>
                <w14:textFill>
                  <w14:solidFill>
                    <w14:schemeClr w14:val="tx1"/>
                  </w14:solidFill>
                </w14:textFill>
              </w:rPr>
              <w:t>3</w:t>
            </w:r>
            <w:r>
              <w:rPr>
                <w:rFonts w:cs="Times New Roman"/>
                <w:color w:val="000000" w:themeColor="text1"/>
                <w14:textFill>
                  <w14:solidFill>
                    <w14:schemeClr w14:val="tx1"/>
                  </w14:solidFill>
                </w14:textFill>
              </w:rPr>
              <w:t>）处理达到</w:t>
            </w:r>
            <w:r>
              <w:rPr>
                <w:rFonts w:hint="eastAsia" w:cs="Times New Roman"/>
                <w:color w:val="000000" w:themeColor="text1"/>
                <w:lang w:val="en-US" w:eastAsia="zh-CN"/>
                <w14:textFill>
                  <w14:solidFill>
                    <w14:schemeClr w14:val="tx1"/>
                  </w14:solidFill>
                </w14:textFill>
              </w:rPr>
              <w:t>星光工业园区污水处理厂废水接纳要求</w:t>
            </w:r>
            <w:r>
              <w:rPr>
                <w:rFonts w:cs="Times New Roman"/>
                <w:color w:val="000000" w:themeColor="text1"/>
                <w14:textFill>
                  <w14:solidFill>
                    <w14:schemeClr w14:val="tx1"/>
                  </w14:solidFill>
                </w14:textFill>
              </w:rPr>
              <w:t>后，</w:t>
            </w:r>
            <w:r>
              <w:rPr>
                <w:rFonts w:hint="eastAsia" w:cs="Times New Roman"/>
                <w:color w:val="000000" w:themeColor="text1"/>
                <w:lang w:val="en-US" w:eastAsia="zh-CN"/>
                <w14:textFill>
                  <w14:solidFill>
                    <w14:schemeClr w14:val="tx1"/>
                  </w14:solidFill>
                </w14:textFill>
              </w:rPr>
              <w:t>经污水总排口排入园区污水管网，送至星光工业园区污水处理厂进一步处理。星光工业园区污水处理厂处理达</w:t>
            </w:r>
            <w:r>
              <w:rPr>
                <w:rFonts w:hint="default" w:ascii="Times New Roman" w:hAnsi="Times New Roman" w:cs="Times New Roman"/>
                <w:color w:val="000000" w:themeColor="text1"/>
                <w:lang w:val="en-US" w:eastAsia="zh-CN"/>
                <w14:textFill>
                  <w14:solidFill>
                    <w14:schemeClr w14:val="tx1"/>
                  </w14:solidFill>
                </w14:textFill>
              </w:rPr>
              <w:t>《城镇污水处理厂污染物排放标准》（GB18918-2002）中一级A</w:t>
            </w:r>
            <w:r>
              <w:rPr>
                <w:rFonts w:hint="default" w:ascii="Times New Roman" w:hAnsi="Times New Roman" w:cs="Times New Roman"/>
                <w:color w:val="000000" w:themeColor="text1"/>
                <w14:textFill>
                  <w14:solidFill>
                    <w14:schemeClr w14:val="tx1"/>
                  </w14:solidFill>
                </w14:textFill>
              </w:rPr>
              <w:t>标准</w:t>
            </w:r>
            <w:r>
              <w:rPr>
                <w:rFonts w:hint="eastAsia" w:ascii="Times New Roman" w:hAnsi="Times New Roman" w:cs="Times New Roman"/>
                <w:color w:val="000000" w:themeColor="text1"/>
                <w:lang w:eastAsia="zh-CN"/>
                <w14:textFill>
                  <w14:solidFill>
                    <w14:schemeClr w14:val="tx1"/>
                  </w14:solidFill>
                </w14:textFill>
              </w:rPr>
              <w:t>，</w:t>
            </w:r>
            <w:r>
              <w:rPr>
                <w:rFonts w:hint="eastAsia" w:ascii="Times New Roman" w:hAnsi="Times New Roman" w:cs="Times New Roman"/>
                <w:color w:val="000000" w:themeColor="text1"/>
                <w:lang w:val="en-US" w:eastAsia="zh-CN"/>
                <w14:textFill>
                  <w14:solidFill>
                    <w14:schemeClr w14:val="tx1"/>
                  </w14:solidFill>
                </w14:textFill>
              </w:rPr>
              <w:t>最终排入巴河。</w:t>
            </w:r>
          </w:p>
          <w:p w14:paraId="56A87AAB">
            <w:pPr>
              <w:ind w:firstLine="480"/>
              <w:rPr>
                <w:rFonts w:hint="eastAsia" w:eastAsia="宋体" w:cs="Times New Roman"/>
                <w:b/>
                <w:color w:val="000000" w:themeColor="text1"/>
                <w:lang w:val="en-US" w:eastAsia="zh-CN"/>
                <w14:textFill>
                  <w14:solidFill>
                    <w14:schemeClr w14:val="tx1"/>
                  </w14:solidFill>
                </w14:textFill>
              </w:rPr>
            </w:pPr>
            <w:r>
              <w:rPr>
                <w:rFonts w:cs="Times New Roman"/>
                <w:b/>
                <w:color w:val="000000" w:themeColor="text1"/>
                <w14:textFill>
                  <w14:solidFill>
                    <w14:schemeClr w14:val="tx1"/>
                  </w14:solidFill>
                </w14:textFill>
              </w:rPr>
              <w:t>（</w:t>
            </w:r>
            <w:r>
              <w:rPr>
                <w:rFonts w:hint="eastAsia" w:cs="Times New Roman"/>
                <w:b/>
                <w:color w:val="000000" w:themeColor="text1"/>
                <w:lang w:val="en-US" w:eastAsia="zh-CN"/>
                <w14:textFill>
                  <w14:solidFill>
                    <w14:schemeClr w14:val="tx1"/>
                  </w14:solidFill>
                </w14:textFill>
              </w:rPr>
              <w:t>8</w:t>
            </w:r>
            <w:r>
              <w:rPr>
                <w:rFonts w:cs="Times New Roman"/>
                <w:b/>
                <w:color w:val="000000" w:themeColor="text1"/>
                <w14:textFill>
                  <w14:solidFill>
                    <w14:schemeClr w14:val="tx1"/>
                  </w14:solidFill>
                </w14:textFill>
              </w:rPr>
              <w:t>）</w:t>
            </w:r>
            <w:r>
              <w:rPr>
                <w:rFonts w:hint="eastAsia" w:cs="Times New Roman"/>
                <w:b/>
                <w:color w:val="000000" w:themeColor="text1"/>
                <w:lang w:val="en-US" w:eastAsia="zh-CN"/>
                <w14:textFill>
                  <w14:solidFill>
                    <w14:schemeClr w14:val="tx1"/>
                  </w14:solidFill>
                </w14:textFill>
              </w:rPr>
              <w:t>初期雨水</w:t>
            </w:r>
          </w:p>
          <w:p w14:paraId="3D929920">
            <w:pPr>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auto"/>
              <w:rPr>
                <w:rFonts w:hint="default" w:cs="Times New Roman"/>
                <w:b w:val="0"/>
                <w:bCs w:val="0"/>
                <w:color w:val="000000" w:themeColor="text1"/>
                <w:szCs w:val="24"/>
                <w14:textFill>
                  <w14:solidFill>
                    <w14:schemeClr w14:val="tx1"/>
                  </w14:solidFill>
                </w14:textFill>
              </w:rPr>
            </w:pPr>
            <w:r>
              <w:rPr>
                <w:rFonts w:hint="default" w:cs="Times New Roman"/>
                <w:b w:val="0"/>
                <w:bCs w:val="0"/>
                <w:color w:val="000000" w:themeColor="text1"/>
                <w:szCs w:val="24"/>
                <w14:textFill>
                  <w14:solidFill>
                    <w14:schemeClr w14:val="tx1"/>
                  </w14:solidFill>
                </w14:textFill>
              </w:rPr>
              <w:t>厂区已采用雨、污分流制。考虑到项目生产区、</w:t>
            </w:r>
            <w:r>
              <w:rPr>
                <w:rFonts w:hint="eastAsia" w:cs="Times New Roman"/>
                <w:b w:val="0"/>
                <w:bCs w:val="0"/>
                <w:color w:val="000000" w:themeColor="text1"/>
                <w:szCs w:val="24"/>
                <w:lang w:val="en-US" w:eastAsia="zh-CN"/>
                <w14:textFill>
                  <w14:solidFill>
                    <w14:schemeClr w14:val="tx1"/>
                  </w14:solidFill>
                </w14:textFill>
              </w:rPr>
              <w:t>滤液池</w:t>
            </w:r>
            <w:r>
              <w:rPr>
                <w:rFonts w:hint="default" w:cs="Times New Roman"/>
                <w:b w:val="0"/>
                <w:bCs w:val="0"/>
                <w:color w:val="000000" w:themeColor="text1"/>
                <w:szCs w:val="24"/>
                <w14:textFill>
                  <w14:solidFill>
                    <w14:schemeClr w14:val="tx1"/>
                  </w14:solidFill>
                </w14:textFill>
              </w:rPr>
              <w:t>在废液回收生产过程中可能存在跑冒滴漏现象。在降雨时，产生的初期雨水可能会受污染，因此要求对生产区域初期雨水进行收集。</w:t>
            </w:r>
          </w:p>
          <w:p w14:paraId="6F3CFB06">
            <w:pPr>
              <w:ind w:firstLine="480"/>
              <w:rPr>
                <w:rFonts w:cs="Times New Roman"/>
                <w:b/>
                <w:color w:val="000000" w:themeColor="text1"/>
                <w14:textFill>
                  <w14:solidFill>
                    <w14:schemeClr w14:val="tx1"/>
                  </w14:solidFill>
                </w14:textFill>
              </w:rPr>
            </w:pPr>
            <w:r>
              <w:rPr>
                <w:rFonts w:hint="default" w:cs="Times New Roman"/>
                <w:b w:val="0"/>
                <w:bCs w:val="0"/>
                <w:color w:val="000000" w:themeColor="text1"/>
                <w:szCs w:val="24"/>
                <w14:textFill>
                  <w14:solidFill>
                    <w14:schemeClr w14:val="tx1"/>
                  </w14:solidFill>
                </w14:textFill>
              </w:rPr>
              <w:t>厂区初期雨水收集系统的汇水面积为</w:t>
            </w:r>
            <w:r>
              <w:rPr>
                <w:rFonts w:hint="eastAsia" w:cs="Times New Roman"/>
                <w:b w:val="0"/>
                <w:bCs w:val="0"/>
                <w:color w:val="000000" w:themeColor="text1"/>
                <w:szCs w:val="24"/>
                <w:lang w:val="en-US" w:eastAsia="zh-CN"/>
                <w14:textFill>
                  <w14:solidFill>
                    <w14:schemeClr w14:val="tx1"/>
                  </w14:solidFill>
                </w14:textFill>
              </w:rPr>
              <w:t>17114-10000=7114</w:t>
            </w:r>
            <w:r>
              <w:rPr>
                <w:rFonts w:hint="default" w:cs="Times New Roman"/>
                <w:b w:val="0"/>
                <w:bCs w:val="0"/>
                <w:color w:val="000000" w:themeColor="text1"/>
                <w:szCs w:val="24"/>
                <w14:textFill>
                  <w14:solidFill>
                    <w14:schemeClr w14:val="tx1"/>
                  </w14:solidFill>
                </w14:textFill>
              </w:rPr>
              <w:t>m</w:t>
            </w:r>
            <w:r>
              <w:rPr>
                <w:rFonts w:hint="default" w:cs="Times New Roman"/>
                <w:b w:val="0"/>
                <w:bCs w:val="0"/>
                <w:color w:val="000000" w:themeColor="text1"/>
                <w:szCs w:val="24"/>
                <w:vertAlign w:val="superscript"/>
                <w14:textFill>
                  <w14:solidFill>
                    <w14:schemeClr w14:val="tx1"/>
                  </w14:solidFill>
                </w14:textFill>
              </w:rPr>
              <w:t>2</w:t>
            </w:r>
            <w:r>
              <w:rPr>
                <w:rFonts w:hint="default" w:cs="Times New Roman"/>
                <w:b w:val="0"/>
                <w:bCs w:val="0"/>
                <w:color w:val="000000" w:themeColor="text1"/>
                <w:szCs w:val="24"/>
                <w14:textFill>
                  <w14:solidFill>
                    <w14:schemeClr w14:val="tx1"/>
                  </w14:solidFill>
                </w14:textFill>
              </w:rPr>
              <w:t>。参照《石油化工给水排水系统设计规范》（SH/T 3015-2019）要求初期污染雨水收集量取降水深度15mm计算，则初期雨水最大收集量为</w:t>
            </w:r>
            <w:r>
              <w:rPr>
                <w:rFonts w:hint="eastAsia" w:cs="Times New Roman"/>
                <w:b w:val="0"/>
                <w:bCs w:val="0"/>
                <w:color w:val="000000" w:themeColor="text1"/>
                <w:szCs w:val="24"/>
                <w:lang w:val="en-US" w:eastAsia="zh-CN"/>
                <w14:textFill>
                  <w14:solidFill>
                    <w14:schemeClr w14:val="tx1"/>
                  </w14:solidFill>
                </w14:textFill>
              </w:rPr>
              <w:t>106.71</w:t>
            </w:r>
            <w:r>
              <w:rPr>
                <w:rFonts w:hint="default" w:cs="Times New Roman"/>
                <w:b w:val="0"/>
                <w:bCs w:val="0"/>
                <w:color w:val="000000" w:themeColor="text1"/>
                <w:szCs w:val="24"/>
                <w14:textFill>
                  <w14:solidFill>
                    <w14:schemeClr w14:val="tx1"/>
                  </w14:solidFill>
                </w14:textFill>
              </w:rPr>
              <w:t>m</w:t>
            </w:r>
            <w:r>
              <w:rPr>
                <w:rFonts w:hint="default" w:cs="Times New Roman"/>
                <w:b w:val="0"/>
                <w:bCs w:val="0"/>
                <w:color w:val="000000" w:themeColor="text1"/>
                <w:szCs w:val="24"/>
                <w:vertAlign w:val="superscript"/>
                <w14:textFill>
                  <w14:solidFill>
                    <w14:schemeClr w14:val="tx1"/>
                  </w14:solidFill>
                </w14:textFill>
              </w:rPr>
              <w:t>3</w:t>
            </w:r>
            <w:r>
              <w:rPr>
                <w:rFonts w:hint="default" w:cs="Times New Roman"/>
                <w:b w:val="0"/>
                <w:bCs w:val="0"/>
                <w:color w:val="000000" w:themeColor="text1"/>
                <w:szCs w:val="24"/>
                <w14:textFill>
                  <w14:solidFill>
                    <w14:schemeClr w14:val="tx1"/>
                  </w14:solidFill>
                </w14:textFill>
              </w:rPr>
              <w:t>/次（</w:t>
            </w:r>
            <w:r>
              <w:rPr>
                <w:rFonts w:hint="eastAsia" w:cs="Times New Roman"/>
                <w:b w:val="0"/>
                <w:bCs w:val="0"/>
                <w:color w:val="000000" w:themeColor="text1"/>
                <w:szCs w:val="24"/>
                <w:lang w:val="en-US" w:eastAsia="zh-CN"/>
                <w14:textFill>
                  <w14:solidFill>
                    <w14:schemeClr w14:val="tx1"/>
                  </w14:solidFill>
                </w14:textFill>
              </w:rPr>
              <w:t>426.84m</w:t>
            </w:r>
            <w:r>
              <w:rPr>
                <w:rFonts w:hint="default" w:cs="Times New Roman"/>
                <w:b w:val="0"/>
                <w:bCs w:val="0"/>
                <w:color w:val="000000" w:themeColor="text1"/>
                <w:szCs w:val="24"/>
                <w:vertAlign w:val="superscript"/>
                <w14:textFill>
                  <w14:solidFill>
                    <w14:schemeClr w14:val="tx1"/>
                  </w14:solidFill>
                </w14:textFill>
              </w:rPr>
              <w:t>3</w:t>
            </w:r>
            <w:r>
              <w:rPr>
                <w:rFonts w:hint="default" w:cs="Times New Roman"/>
                <w:b w:val="0"/>
                <w:bCs w:val="0"/>
                <w:color w:val="000000" w:themeColor="text1"/>
                <w:szCs w:val="24"/>
                <w14:textFill>
                  <w14:solidFill>
                    <w14:schemeClr w14:val="tx1"/>
                  </w14:solidFill>
                </w14:textFill>
              </w:rPr>
              <w:t>/a（每年4次））。厂区设置1座容积约</w:t>
            </w:r>
            <w:r>
              <w:rPr>
                <w:rFonts w:hint="eastAsia" w:cs="Times New Roman"/>
                <w:b w:val="0"/>
                <w:bCs w:val="0"/>
                <w:color w:val="000000" w:themeColor="text1"/>
                <w:szCs w:val="24"/>
                <w:lang w:val="en-US" w:eastAsia="zh-CN"/>
                <w14:textFill>
                  <w14:solidFill>
                    <w14:schemeClr w14:val="tx1"/>
                  </w14:solidFill>
                </w14:textFill>
              </w:rPr>
              <w:t>150</w:t>
            </w:r>
            <w:r>
              <w:rPr>
                <w:rFonts w:hint="default" w:cs="Times New Roman"/>
                <w:b w:val="0"/>
                <w:bCs w:val="0"/>
                <w:color w:val="000000" w:themeColor="text1"/>
                <w:szCs w:val="24"/>
                <w14:textFill>
                  <w14:solidFill>
                    <w14:schemeClr w14:val="tx1"/>
                  </w14:solidFill>
                </w14:textFill>
              </w:rPr>
              <w:t>m</w:t>
            </w:r>
            <w:r>
              <w:rPr>
                <w:rFonts w:hint="default" w:cs="Times New Roman"/>
                <w:b w:val="0"/>
                <w:bCs w:val="0"/>
                <w:color w:val="000000" w:themeColor="text1"/>
                <w:szCs w:val="24"/>
                <w:vertAlign w:val="superscript"/>
                <w14:textFill>
                  <w14:solidFill>
                    <w14:schemeClr w14:val="tx1"/>
                  </w14:solidFill>
                </w14:textFill>
              </w:rPr>
              <w:t>3</w:t>
            </w:r>
            <w:r>
              <w:rPr>
                <w:rFonts w:hint="default" w:cs="Times New Roman"/>
                <w:b w:val="0"/>
                <w:bCs w:val="0"/>
                <w:color w:val="000000" w:themeColor="text1"/>
                <w:szCs w:val="24"/>
                <w14:textFill>
                  <w14:solidFill>
                    <w14:schemeClr w14:val="tx1"/>
                  </w14:solidFill>
                </w14:textFill>
              </w:rPr>
              <w:t>的初期雨水收集池，初期雨水经收集</w:t>
            </w:r>
            <w:r>
              <w:rPr>
                <w:rFonts w:hint="eastAsia" w:cs="Times New Roman"/>
                <w:b w:val="0"/>
                <w:bCs w:val="0"/>
                <w:color w:val="000000" w:themeColor="text1"/>
                <w:szCs w:val="24"/>
                <w:lang w:val="en-US" w:eastAsia="zh-CN"/>
                <w14:textFill>
                  <w14:solidFill>
                    <w14:schemeClr w14:val="tx1"/>
                  </w14:solidFill>
                </w14:textFill>
              </w:rPr>
              <w:t>沉淀</w:t>
            </w:r>
            <w:r>
              <w:rPr>
                <w:rFonts w:hint="default" w:cs="Times New Roman"/>
                <w:b w:val="0"/>
                <w:bCs w:val="0"/>
                <w:color w:val="000000" w:themeColor="text1"/>
                <w:szCs w:val="24"/>
                <w14:textFill>
                  <w14:solidFill>
                    <w14:schemeClr w14:val="tx1"/>
                  </w14:solidFill>
                </w14:textFill>
              </w:rPr>
              <w:t>后，再排放到园区污水管网。</w:t>
            </w:r>
          </w:p>
          <w:p w14:paraId="255D968E">
            <w:pPr>
              <w:ind w:firstLine="480"/>
              <w:rPr>
                <w:rFonts w:hint="eastAsia" w:cs="Times New Roman"/>
                <w:b/>
                <w:color w:val="000000" w:themeColor="text1"/>
                <w:lang w:val="en-US" w:eastAsia="zh-CN"/>
                <w14:textFill>
                  <w14:solidFill>
                    <w14:schemeClr w14:val="tx1"/>
                  </w14:solidFill>
                </w14:textFill>
              </w:rPr>
            </w:pPr>
            <w:r>
              <w:rPr>
                <w:rFonts w:hint="eastAsia" w:cs="Times New Roman"/>
                <w:b/>
                <w:color w:val="000000" w:themeColor="text1"/>
                <w:lang w:eastAsia="zh-CN"/>
                <w14:textFill>
                  <w14:solidFill>
                    <w14:schemeClr w14:val="tx1"/>
                  </w14:solidFill>
                </w14:textFill>
              </w:rPr>
              <w:t>（</w:t>
            </w:r>
            <w:r>
              <w:rPr>
                <w:rFonts w:hint="eastAsia" w:cs="Times New Roman"/>
                <w:b/>
                <w:color w:val="000000" w:themeColor="text1"/>
                <w:lang w:val="en-US" w:eastAsia="zh-CN"/>
                <w14:textFill>
                  <w14:solidFill>
                    <w14:schemeClr w14:val="tx1"/>
                  </w14:solidFill>
                </w14:textFill>
              </w:rPr>
              <w:t>9</w:t>
            </w:r>
            <w:r>
              <w:rPr>
                <w:rFonts w:hint="eastAsia" w:cs="Times New Roman"/>
                <w:b/>
                <w:color w:val="000000" w:themeColor="text1"/>
                <w:lang w:eastAsia="zh-CN"/>
                <w14:textFill>
                  <w14:solidFill>
                    <w14:schemeClr w14:val="tx1"/>
                  </w14:solidFill>
                </w14:textFill>
              </w:rPr>
              <w:t>）</w:t>
            </w:r>
            <w:r>
              <w:rPr>
                <w:rFonts w:hint="eastAsia" w:cs="Times New Roman"/>
                <w:b/>
                <w:color w:val="000000" w:themeColor="text1"/>
                <w14:textFill>
                  <w14:solidFill>
                    <w14:schemeClr w14:val="tx1"/>
                  </w14:solidFill>
                </w14:textFill>
              </w:rPr>
              <w:t>废水</w:t>
            </w:r>
            <w:r>
              <w:rPr>
                <w:rFonts w:hint="eastAsia" w:cs="Times New Roman"/>
                <w:b/>
                <w:color w:val="000000" w:themeColor="text1"/>
                <w:lang w:val="en-US" w:eastAsia="zh-CN"/>
                <w14:textFill>
                  <w14:solidFill>
                    <w14:schemeClr w14:val="tx1"/>
                  </w14:solidFill>
                </w14:textFill>
              </w:rPr>
              <w:t>排放汇总</w:t>
            </w:r>
          </w:p>
          <w:p w14:paraId="6A7D60CC">
            <w:pPr>
              <w:keepNext w:val="0"/>
              <w:keepLines w:val="0"/>
              <w:widowControl/>
              <w:suppressLineNumbers w:val="0"/>
              <w:jc w:val="left"/>
              <w:rPr>
                <w:rFonts w:hint="default"/>
                <w:color w:val="000000" w:themeColor="text1"/>
                <w:lang w:val="en-US"/>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本项目</w:t>
            </w:r>
            <w:r>
              <w:rPr>
                <w:rFonts w:hint="eastAsia" w:ascii="宋体" w:hAnsi="宋体" w:cs="宋体"/>
                <w:color w:val="000000" w:themeColor="text1"/>
                <w:kern w:val="0"/>
                <w:sz w:val="24"/>
                <w:szCs w:val="24"/>
                <w:lang w:val="en-US" w:eastAsia="zh-CN" w:bidi="ar"/>
                <w14:textFill>
                  <w14:solidFill>
                    <w14:schemeClr w14:val="tx1"/>
                  </w14:solidFill>
                </w14:textFill>
              </w:rPr>
              <w:t>水基岩屑堆存区</w:t>
            </w:r>
            <w:r>
              <w:rPr>
                <w:rFonts w:hint="eastAsia" w:ascii="宋体" w:hAnsi="宋体" w:eastAsia="宋体" w:cs="宋体"/>
                <w:color w:val="000000" w:themeColor="text1"/>
                <w:kern w:val="0"/>
                <w:sz w:val="24"/>
                <w:szCs w:val="24"/>
                <w:lang w:val="en-US" w:eastAsia="zh-CN" w:bidi="ar"/>
                <w14:textFill>
                  <w14:solidFill>
                    <w14:schemeClr w14:val="tx1"/>
                  </w14:solidFill>
                </w14:textFill>
              </w:rPr>
              <w:t>渗滤液进入</w:t>
            </w:r>
            <w:r>
              <w:rPr>
                <w:rFonts w:hint="eastAsia" w:ascii="宋体" w:hAnsi="宋体" w:cs="宋体"/>
                <w:color w:val="000000" w:themeColor="text1"/>
                <w:kern w:val="0"/>
                <w:sz w:val="24"/>
                <w:szCs w:val="24"/>
                <w:lang w:val="en-US" w:eastAsia="zh-CN" w:bidi="ar"/>
                <w14:textFill>
                  <w14:solidFill>
                    <w14:schemeClr w14:val="tx1"/>
                  </w14:solidFill>
                </w14:textFill>
              </w:rPr>
              <w:t>煅烧</w:t>
            </w:r>
            <w:r>
              <w:rPr>
                <w:rFonts w:hint="eastAsia" w:ascii="宋体" w:hAnsi="宋体" w:eastAsia="宋体" w:cs="宋体"/>
                <w:color w:val="000000" w:themeColor="text1"/>
                <w:kern w:val="0"/>
                <w:sz w:val="24"/>
                <w:szCs w:val="24"/>
                <w:lang w:val="en-US" w:eastAsia="zh-CN" w:bidi="ar"/>
                <w14:textFill>
                  <w14:solidFill>
                    <w14:schemeClr w14:val="tx1"/>
                  </w14:solidFill>
                </w14:textFill>
              </w:rPr>
              <w:t>系统；地面冲洗废水、车辆冲洗废水排入</w:t>
            </w:r>
            <w:r>
              <w:rPr>
                <w:rFonts w:hint="eastAsia" w:ascii="宋体" w:hAnsi="宋体" w:cs="宋体"/>
                <w:color w:val="000000" w:themeColor="text1"/>
                <w:kern w:val="0"/>
                <w:sz w:val="24"/>
                <w:szCs w:val="24"/>
                <w:lang w:val="en-US" w:eastAsia="zh-CN" w:bidi="ar"/>
                <w14:textFill>
                  <w14:solidFill>
                    <w14:schemeClr w14:val="tx1"/>
                  </w14:solidFill>
                </w14:textFill>
              </w:rPr>
              <w:t>水基岩屑</w:t>
            </w:r>
            <w:r>
              <w:rPr>
                <w:rFonts w:hint="eastAsia" w:ascii="宋体" w:hAnsi="宋体" w:eastAsia="宋体" w:cs="宋体"/>
                <w:color w:val="000000" w:themeColor="text1"/>
                <w:kern w:val="0"/>
                <w:sz w:val="24"/>
                <w:szCs w:val="24"/>
                <w:lang w:val="en-US" w:eastAsia="zh-CN" w:bidi="ar"/>
                <w14:textFill>
                  <w14:solidFill>
                    <w14:schemeClr w14:val="tx1"/>
                  </w14:solidFill>
                </w14:textFill>
              </w:rPr>
              <w:t>储存池中随</w:t>
            </w:r>
            <w:r>
              <w:rPr>
                <w:rFonts w:hint="eastAsia" w:ascii="宋体" w:hAnsi="宋体" w:cs="宋体"/>
                <w:color w:val="000000" w:themeColor="text1"/>
                <w:kern w:val="0"/>
                <w:sz w:val="24"/>
                <w:szCs w:val="24"/>
                <w:lang w:val="en-US" w:eastAsia="zh-CN" w:bidi="ar"/>
                <w14:textFill>
                  <w14:solidFill>
                    <w14:schemeClr w14:val="tx1"/>
                  </w14:solidFill>
                </w14:textFill>
              </w:rPr>
              <w:t>水基岩屑</w:t>
            </w:r>
            <w:r>
              <w:rPr>
                <w:rFonts w:hint="eastAsia" w:ascii="宋体" w:hAnsi="宋体" w:eastAsia="宋体" w:cs="宋体"/>
                <w:color w:val="000000" w:themeColor="text1"/>
                <w:kern w:val="0"/>
                <w:sz w:val="24"/>
                <w:szCs w:val="24"/>
                <w:lang w:val="en-US" w:eastAsia="zh-CN" w:bidi="ar"/>
                <w14:textFill>
                  <w14:solidFill>
                    <w14:schemeClr w14:val="tx1"/>
                  </w14:solidFill>
                </w14:textFill>
              </w:rPr>
              <w:t>一同预处理（絮凝+压滤）</w:t>
            </w:r>
            <w:r>
              <w:rPr>
                <w:rFonts w:hint="eastAsia" w:ascii="宋体" w:hAnsi="宋体" w:cs="宋体"/>
                <w:color w:val="000000" w:themeColor="text1"/>
                <w:kern w:val="0"/>
                <w:sz w:val="24"/>
                <w:szCs w:val="24"/>
                <w:lang w:val="en-US" w:eastAsia="zh-CN" w:bidi="ar"/>
                <w14:textFill>
                  <w14:solidFill>
                    <w14:schemeClr w14:val="tx1"/>
                  </w14:solidFill>
                </w14:textFill>
              </w:rPr>
              <w:t>，进入压滤废水中；喷淋废水排入滤液池，与压滤废水一并处理</w:t>
            </w:r>
            <w:r>
              <w:rPr>
                <w:rFonts w:hint="eastAsia" w:ascii="宋体" w:hAnsi="宋体" w:eastAsia="宋体" w:cs="宋体"/>
                <w:color w:val="000000" w:themeColor="text1"/>
                <w:kern w:val="0"/>
                <w:sz w:val="24"/>
                <w:szCs w:val="24"/>
                <w:lang w:val="en-US" w:eastAsia="zh-CN" w:bidi="ar"/>
                <w14:textFill>
                  <w14:solidFill>
                    <w14:schemeClr w14:val="tx1"/>
                  </w14:solidFill>
                </w14:textFill>
              </w:rPr>
              <w:t>；</w:t>
            </w:r>
            <w:r>
              <w:rPr>
                <w:rFonts w:hint="eastAsia" w:ascii="宋体" w:hAnsi="宋体" w:cs="宋体"/>
                <w:color w:val="000000" w:themeColor="text1"/>
                <w:kern w:val="0"/>
                <w:sz w:val="24"/>
                <w:szCs w:val="24"/>
                <w:lang w:val="en-US" w:eastAsia="zh-CN" w:bidi="ar"/>
                <w14:textFill>
                  <w14:solidFill>
                    <w14:schemeClr w14:val="tx1"/>
                  </w14:solidFill>
                </w14:textFill>
              </w:rPr>
              <w:t>滤液池内的废</w:t>
            </w:r>
            <w:r>
              <w:rPr>
                <w:rFonts w:hint="eastAsia" w:ascii="宋体" w:hAnsi="宋体" w:eastAsia="宋体" w:cs="宋体"/>
                <w:color w:val="000000" w:themeColor="text1"/>
                <w:kern w:val="0"/>
                <w:sz w:val="24"/>
                <w:szCs w:val="24"/>
                <w:lang w:val="en-US" w:eastAsia="zh-CN" w:bidi="ar"/>
                <w14:textFill>
                  <w14:solidFill>
                    <w14:schemeClr w14:val="tx1"/>
                  </w14:solidFill>
                </w14:textFill>
              </w:rPr>
              <w:t>水部分回用，部分</w:t>
            </w:r>
            <w:r>
              <w:rPr>
                <w:rFonts w:hint="eastAsia" w:ascii="宋体" w:hAnsi="宋体" w:cs="宋体"/>
                <w:color w:val="000000" w:themeColor="text1"/>
                <w:kern w:val="0"/>
                <w:sz w:val="24"/>
                <w:szCs w:val="24"/>
                <w:lang w:val="en-US" w:eastAsia="zh-CN" w:bidi="ar"/>
                <w14:textFill>
                  <w14:solidFill>
                    <w14:schemeClr w14:val="tx1"/>
                  </w14:solidFill>
                </w14:textFill>
              </w:rPr>
              <w:t>委托专业单位每日清运处置。</w:t>
            </w:r>
            <w:r>
              <w:rPr>
                <w:rFonts w:hint="eastAsia" w:ascii="宋体" w:hAnsi="宋体" w:eastAsia="宋体" w:cs="宋体"/>
                <w:color w:val="000000" w:themeColor="text1"/>
                <w:kern w:val="0"/>
                <w:sz w:val="24"/>
                <w:szCs w:val="24"/>
                <w:lang w:val="en-US" w:eastAsia="zh-CN" w:bidi="ar"/>
                <w14:textFill>
                  <w14:solidFill>
                    <w14:schemeClr w14:val="tx1"/>
                  </w14:solidFill>
                </w14:textFill>
              </w:rPr>
              <w:t>生活污水经预处理池处理后排入园区污水管网。本项目污水总排口</w:t>
            </w:r>
            <w:r>
              <w:rPr>
                <w:rFonts w:hint="eastAsia" w:ascii="宋体" w:hAnsi="宋体" w:cs="宋体"/>
                <w:color w:val="000000" w:themeColor="text1"/>
                <w:kern w:val="0"/>
                <w:sz w:val="24"/>
                <w:szCs w:val="24"/>
                <w:lang w:val="en-US" w:eastAsia="zh-CN" w:bidi="ar"/>
                <w14:textFill>
                  <w14:solidFill>
                    <w14:schemeClr w14:val="tx1"/>
                  </w14:solidFill>
                </w14:textFill>
              </w:rPr>
              <w:t>仅排放生活污水</w:t>
            </w:r>
            <w:r>
              <w:rPr>
                <w:rFonts w:hint="eastAsia" w:ascii="宋体" w:hAnsi="宋体" w:eastAsia="宋体" w:cs="宋体"/>
                <w:color w:val="000000" w:themeColor="text1"/>
                <w:kern w:val="0"/>
                <w:sz w:val="24"/>
                <w:szCs w:val="24"/>
                <w:lang w:val="en-US" w:eastAsia="zh-CN" w:bidi="ar"/>
                <w14:textFill>
                  <w14:solidFill>
                    <w14:schemeClr w14:val="tx1"/>
                  </w14:solidFill>
                </w14:textFill>
              </w:rPr>
              <w:t>，排放情况如下。</w:t>
            </w:r>
          </w:p>
          <w:p w14:paraId="396A9203">
            <w:pPr>
              <w:pStyle w:val="11"/>
              <w:keepNext/>
              <w:keepLines w:val="0"/>
              <w:pageBreakBefore w:val="0"/>
              <w:widowControl/>
              <w:kinsoku/>
              <w:wordWrap/>
              <w:overflowPunct/>
              <w:topLinePunct w:val="0"/>
              <w:autoSpaceDE/>
              <w:autoSpaceDN/>
              <w:bidi w:val="0"/>
              <w:adjustRightInd w:val="0"/>
              <w:snapToGrid w:val="0"/>
              <w:spacing w:after="0"/>
              <w:textAlignment w:val="auto"/>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表</w:t>
            </w:r>
            <w:r>
              <w:rPr>
                <w:rFonts w:cs="Times New Roman"/>
                <w:color w:val="000000" w:themeColor="text1"/>
                <w14:textFill>
                  <w14:solidFill>
                    <w14:schemeClr w14:val="tx1"/>
                  </w14:solidFill>
                </w14:textFill>
              </w:rPr>
              <w:fldChar w:fldCharType="begin"/>
            </w:r>
            <w:r>
              <w:rPr>
                <w:rFonts w:cs="Times New Roman"/>
                <w:color w:val="000000" w:themeColor="text1"/>
                <w14:textFill>
                  <w14:solidFill>
                    <w14:schemeClr w14:val="tx1"/>
                  </w14:solidFill>
                </w14:textFill>
              </w:rPr>
              <w:instrText xml:space="preserve"> SEQ seq \c </w:instrText>
            </w:r>
            <w:r>
              <w:rPr>
                <w:rFonts w:cs="Times New Roman"/>
                <w:color w:val="000000" w:themeColor="text1"/>
                <w14:textFill>
                  <w14:solidFill>
                    <w14:schemeClr w14:val="tx1"/>
                  </w14:solidFill>
                </w14:textFill>
              </w:rPr>
              <w:fldChar w:fldCharType="separate"/>
            </w:r>
            <w:r>
              <w:rPr>
                <w:rFonts w:cs="Times New Roman"/>
                <w:color w:val="000000" w:themeColor="text1"/>
                <w14:textFill>
                  <w14:solidFill>
                    <w14:schemeClr w14:val="tx1"/>
                  </w14:solidFill>
                </w14:textFill>
              </w:rPr>
              <w:t>4</w:t>
            </w:r>
            <w:r>
              <w:rPr>
                <w:rFonts w:cs="Times New Roman"/>
                <w:color w:val="000000" w:themeColor="text1"/>
                <w14:textFill>
                  <w14:solidFill>
                    <w14:schemeClr w14:val="tx1"/>
                  </w14:solidFill>
                </w14:textFill>
              </w:rPr>
              <w:fldChar w:fldCharType="end"/>
            </w:r>
            <w:r>
              <w:rPr>
                <w:rFonts w:cs="Times New Roman"/>
                <w:color w:val="000000" w:themeColor="text1"/>
                <w14:textFill>
                  <w14:solidFill>
                    <w14:schemeClr w14:val="tx1"/>
                  </w14:solidFill>
                </w14:textFill>
              </w:rPr>
              <w:noBreakHyphen/>
            </w:r>
            <w:r>
              <w:rPr>
                <w:rFonts w:hint="eastAsia" w:cs="Times New Roman"/>
                <w:color w:val="000000" w:themeColor="text1"/>
                <w:lang w:val="en-US" w:eastAsia="zh-CN"/>
                <w14:textFill>
                  <w14:solidFill>
                    <w14:schemeClr w14:val="tx1"/>
                  </w14:solidFill>
                </w14:textFill>
              </w:rPr>
              <w:t>13</w:t>
            </w:r>
            <w:r>
              <w:rPr>
                <w:rFonts w:cs="Times New Roman"/>
                <w:color w:val="000000" w:themeColor="text1"/>
                <w14:textFill>
                  <w14:solidFill>
                    <w14:schemeClr w14:val="tx1"/>
                  </w14:solidFill>
                </w14:textFill>
              </w:rPr>
              <w:t xml:space="preserve"> 本项目废水源强及排放情况</w:t>
            </w:r>
          </w:p>
          <w:tbl>
            <w:tblPr>
              <w:tblStyle w:val="26"/>
              <w:tblW w:w="4997" w:type="pct"/>
              <w:tblInd w:w="-34" w:type="dxa"/>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Layout w:type="autofit"/>
              <w:tblCellMar>
                <w:top w:w="0" w:type="dxa"/>
                <w:left w:w="0" w:type="dxa"/>
                <w:bottom w:w="0" w:type="dxa"/>
                <w:right w:w="0" w:type="dxa"/>
              </w:tblCellMar>
            </w:tblPr>
            <w:tblGrid>
              <w:gridCol w:w="761"/>
              <w:gridCol w:w="774"/>
              <w:gridCol w:w="1520"/>
              <w:gridCol w:w="1048"/>
              <w:gridCol w:w="769"/>
              <w:gridCol w:w="968"/>
              <w:gridCol w:w="898"/>
              <w:gridCol w:w="831"/>
              <w:gridCol w:w="944"/>
              <w:gridCol w:w="1000"/>
            </w:tblGrid>
            <w:tr w14:paraId="71DDEAFB">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606" w:type="pct"/>
                  <w:gridSpan w:val="3"/>
                  <w:tcBorders>
                    <w:tl2br w:val="nil"/>
                    <w:tr2bl w:val="nil"/>
                  </w:tcBorders>
                  <w:tcMar>
                    <w:top w:w="15" w:type="dxa"/>
                    <w:left w:w="15" w:type="dxa"/>
                    <w:right w:w="15" w:type="dxa"/>
                  </w:tcMar>
                  <w:vAlign w:val="center"/>
                </w:tcPr>
                <w:p w14:paraId="0B59D4EE">
                  <w:pPr>
                    <w:pStyle w:val="45"/>
                    <w:rPr>
                      <w:rFonts w:cs="Times New Roman"/>
                      <w:color w:val="000000" w:themeColor="text1"/>
                      <w14:textFill>
                        <w14:solidFill>
                          <w14:schemeClr w14:val="tx1"/>
                        </w14:solidFill>
                      </w14:textFill>
                    </w:rPr>
                  </w:pPr>
                  <w:r>
                    <w:rPr>
                      <w:rFonts w:cs="Times New Roman"/>
                      <w:color w:val="000000" w:themeColor="text1"/>
                      <w:lang w:bidi="ar"/>
                      <w14:textFill>
                        <w14:solidFill>
                          <w14:schemeClr w14:val="tx1"/>
                        </w14:solidFill>
                      </w14:textFill>
                    </w:rPr>
                    <w:t>废水性质</w:t>
                  </w:r>
                </w:p>
              </w:tc>
              <w:tc>
                <w:tcPr>
                  <w:tcW w:w="551" w:type="pct"/>
                  <w:tcBorders>
                    <w:tl2br w:val="nil"/>
                    <w:tr2bl w:val="nil"/>
                  </w:tcBorders>
                  <w:tcMar>
                    <w:top w:w="15" w:type="dxa"/>
                    <w:left w:w="15" w:type="dxa"/>
                    <w:right w:w="15" w:type="dxa"/>
                  </w:tcMar>
                  <w:vAlign w:val="center"/>
                </w:tcPr>
                <w:p w14:paraId="1E6CB25F">
                  <w:pPr>
                    <w:pStyle w:val="45"/>
                    <w:rPr>
                      <w:rFonts w:cs="Times New Roman"/>
                      <w:color w:val="000000" w:themeColor="text1"/>
                      <w14:textFill>
                        <w14:solidFill>
                          <w14:schemeClr w14:val="tx1"/>
                        </w14:solidFill>
                      </w14:textFill>
                    </w:rPr>
                  </w:pPr>
                  <w:r>
                    <w:rPr>
                      <w:rFonts w:cs="Times New Roman"/>
                      <w:color w:val="000000" w:themeColor="text1"/>
                      <w:lang w:bidi="ar"/>
                      <w14:textFill>
                        <w14:solidFill>
                          <w14:schemeClr w14:val="tx1"/>
                        </w14:solidFill>
                      </w14:textFill>
                    </w:rPr>
                    <w:t>废水量（m</w:t>
                  </w:r>
                  <w:r>
                    <w:rPr>
                      <w:rFonts w:cs="Times New Roman"/>
                      <w:color w:val="000000" w:themeColor="text1"/>
                      <w:vertAlign w:val="superscript"/>
                      <w:lang w:bidi="ar"/>
                      <w14:textFill>
                        <w14:solidFill>
                          <w14:schemeClr w14:val="tx1"/>
                        </w14:solidFill>
                      </w14:textFill>
                    </w:rPr>
                    <w:t>3</w:t>
                  </w:r>
                  <w:r>
                    <w:rPr>
                      <w:rFonts w:cs="Times New Roman"/>
                      <w:color w:val="000000" w:themeColor="text1"/>
                      <w14:textFill>
                        <w14:solidFill>
                          <w14:schemeClr w14:val="tx1"/>
                        </w14:solidFill>
                      </w14:textFill>
                    </w:rPr>
                    <w:t>/a</w:t>
                  </w:r>
                  <w:r>
                    <w:rPr>
                      <w:rFonts w:cs="Times New Roman"/>
                      <w:color w:val="000000" w:themeColor="text1"/>
                      <w:lang w:bidi="ar"/>
                      <w14:textFill>
                        <w14:solidFill>
                          <w14:schemeClr w14:val="tx1"/>
                        </w14:solidFill>
                      </w14:textFill>
                    </w:rPr>
                    <w:t>）</w:t>
                  </w:r>
                </w:p>
              </w:tc>
              <w:tc>
                <w:tcPr>
                  <w:tcW w:w="404" w:type="pct"/>
                  <w:tcBorders>
                    <w:tl2br w:val="nil"/>
                    <w:tr2bl w:val="nil"/>
                  </w:tcBorders>
                  <w:tcMar>
                    <w:top w:w="15" w:type="dxa"/>
                    <w:left w:w="15" w:type="dxa"/>
                    <w:right w:w="15" w:type="dxa"/>
                  </w:tcMar>
                  <w:vAlign w:val="center"/>
                </w:tcPr>
                <w:p w14:paraId="5E901EB9">
                  <w:pPr>
                    <w:pStyle w:val="45"/>
                    <w:rPr>
                      <w:rFonts w:cs="Times New Roman"/>
                      <w:color w:val="000000" w:themeColor="text1"/>
                      <w14:textFill>
                        <w14:solidFill>
                          <w14:schemeClr w14:val="tx1"/>
                        </w14:solidFill>
                      </w14:textFill>
                    </w:rPr>
                  </w:pPr>
                  <w:r>
                    <w:rPr>
                      <w:rFonts w:cs="Times New Roman"/>
                      <w:color w:val="000000" w:themeColor="text1"/>
                      <w:lang w:bidi="ar"/>
                      <w14:textFill>
                        <w14:solidFill>
                          <w14:schemeClr w14:val="tx1"/>
                        </w14:solidFill>
                      </w14:textFill>
                    </w:rPr>
                    <w:t>COD</w:t>
                  </w:r>
                </w:p>
              </w:tc>
              <w:tc>
                <w:tcPr>
                  <w:tcW w:w="509" w:type="pct"/>
                  <w:tcBorders>
                    <w:tl2br w:val="nil"/>
                    <w:tr2bl w:val="nil"/>
                  </w:tcBorders>
                  <w:tcMar>
                    <w:top w:w="15" w:type="dxa"/>
                    <w:left w:w="15" w:type="dxa"/>
                    <w:right w:w="15" w:type="dxa"/>
                  </w:tcMar>
                  <w:vAlign w:val="center"/>
                </w:tcPr>
                <w:p w14:paraId="0EF7288F">
                  <w:pPr>
                    <w:pStyle w:val="45"/>
                    <w:rPr>
                      <w:rFonts w:cs="Times New Roman"/>
                      <w:color w:val="000000" w:themeColor="text1"/>
                      <w14:textFill>
                        <w14:solidFill>
                          <w14:schemeClr w14:val="tx1"/>
                        </w14:solidFill>
                      </w14:textFill>
                    </w:rPr>
                  </w:pPr>
                  <w:r>
                    <w:rPr>
                      <w:rFonts w:cs="Times New Roman"/>
                      <w:color w:val="000000" w:themeColor="text1"/>
                      <w:lang w:bidi="ar"/>
                      <w14:textFill>
                        <w14:solidFill>
                          <w14:schemeClr w14:val="tx1"/>
                        </w14:solidFill>
                      </w14:textFill>
                    </w:rPr>
                    <w:t>BOD</w:t>
                  </w:r>
                  <w:r>
                    <w:rPr>
                      <w:rFonts w:cs="Times New Roman"/>
                      <w:color w:val="000000" w:themeColor="text1"/>
                      <w:szCs w:val="21"/>
                      <w:vertAlign w:val="subscript"/>
                      <w:lang w:bidi="ar"/>
                      <w14:textFill>
                        <w14:solidFill>
                          <w14:schemeClr w14:val="tx1"/>
                        </w14:solidFill>
                      </w14:textFill>
                    </w:rPr>
                    <w:t>5</w:t>
                  </w:r>
                </w:p>
              </w:tc>
              <w:tc>
                <w:tcPr>
                  <w:tcW w:w="472" w:type="pct"/>
                  <w:tcBorders>
                    <w:tl2br w:val="nil"/>
                    <w:tr2bl w:val="nil"/>
                  </w:tcBorders>
                  <w:tcMar>
                    <w:top w:w="15" w:type="dxa"/>
                    <w:left w:w="15" w:type="dxa"/>
                    <w:right w:w="15" w:type="dxa"/>
                  </w:tcMar>
                  <w:vAlign w:val="center"/>
                </w:tcPr>
                <w:p w14:paraId="3916AF76">
                  <w:pPr>
                    <w:pStyle w:val="45"/>
                    <w:rPr>
                      <w:rFonts w:cs="Times New Roman"/>
                      <w:color w:val="000000" w:themeColor="text1"/>
                      <w14:textFill>
                        <w14:solidFill>
                          <w14:schemeClr w14:val="tx1"/>
                        </w14:solidFill>
                      </w14:textFill>
                    </w:rPr>
                  </w:pPr>
                  <w:r>
                    <w:rPr>
                      <w:rFonts w:cs="Times New Roman"/>
                      <w:color w:val="000000" w:themeColor="text1"/>
                      <w:lang w:bidi="ar"/>
                      <w14:textFill>
                        <w14:solidFill>
                          <w14:schemeClr w14:val="tx1"/>
                        </w14:solidFill>
                      </w14:textFill>
                    </w:rPr>
                    <w:t>SS</w:t>
                  </w:r>
                </w:p>
              </w:tc>
              <w:tc>
                <w:tcPr>
                  <w:tcW w:w="437" w:type="pct"/>
                  <w:tcBorders>
                    <w:tl2br w:val="nil"/>
                    <w:tr2bl w:val="nil"/>
                  </w:tcBorders>
                  <w:tcMar>
                    <w:top w:w="15" w:type="dxa"/>
                    <w:left w:w="15" w:type="dxa"/>
                    <w:right w:w="15" w:type="dxa"/>
                  </w:tcMar>
                  <w:vAlign w:val="center"/>
                </w:tcPr>
                <w:p w14:paraId="7B3EA0E7">
                  <w:pPr>
                    <w:pStyle w:val="45"/>
                    <w:rPr>
                      <w:rFonts w:cs="Times New Roman"/>
                      <w:color w:val="000000" w:themeColor="text1"/>
                      <w14:textFill>
                        <w14:solidFill>
                          <w14:schemeClr w14:val="tx1"/>
                        </w14:solidFill>
                      </w14:textFill>
                    </w:rPr>
                  </w:pPr>
                  <w:r>
                    <w:rPr>
                      <w:rFonts w:cs="Times New Roman"/>
                      <w:color w:val="000000" w:themeColor="text1"/>
                      <w:lang w:bidi="ar"/>
                      <w14:textFill>
                        <w14:solidFill>
                          <w14:schemeClr w14:val="tx1"/>
                        </w14:solidFill>
                      </w14:textFill>
                    </w:rPr>
                    <w:t>NH</w:t>
                  </w:r>
                  <w:r>
                    <w:rPr>
                      <w:rFonts w:cs="Times New Roman"/>
                      <w:color w:val="000000" w:themeColor="text1"/>
                      <w:szCs w:val="21"/>
                      <w:vertAlign w:val="subscript"/>
                      <w:lang w:bidi="ar"/>
                      <w14:textFill>
                        <w14:solidFill>
                          <w14:schemeClr w14:val="tx1"/>
                        </w14:solidFill>
                      </w14:textFill>
                    </w:rPr>
                    <w:t>3</w:t>
                  </w:r>
                  <w:r>
                    <w:rPr>
                      <w:rFonts w:cs="Times New Roman"/>
                      <w:color w:val="000000" w:themeColor="text1"/>
                      <w14:textFill>
                        <w14:solidFill>
                          <w14:schemeClr w14:val="tx1"/>
                        </w14:solidFill>
                      </w14:textFill>
                    </w:rPr>
                    <w:t>-N</w:t>
                  </w:r>
                </w:p>
              </w:tc>
              <w:tc>
                <w:tcPr>
                  <w:tcW w:w="496" w:type="pct"/>
                  <w:tcBorders>
                    <w:tl2br w:val="nil"/>
                    <w:tr2bl w:val="nil"/>
                  </w:tcBorders>
                  <w:tcMar>
                    <w:top w:w="15" w:type="dxa"/>
                    <w:left w:w="15" w:type="dxa"/>
                    <w:right w:w="15" w:type="dxa"/>
                  </w:tcMar>
                  <w:vAlign w:val="center"/>
                </w:tcPr>
                <w:p w14:paraId="56D0E15A">
                  <w:pPr>
                    <w:pStyle w:val="45"/>
                    <w:rPr>
                      <w:rFonts w:cs="Times New Roman"/>
                      <w:color w:val="000000" w:themeColor="text1"/>
                      <w14:textFill>
                        <w14:solidFill>
                          <w14:schemeClr w14:val="tx1"/>
                        </w14:solidFill>
                      </w14:textFill>
                    </w:rPr>
                  </w:pPr>
                  <w:r>
                    <w:rPr>
                      <w:rFonts w:cs="Times New Roman"/>
                      <w:color w:val="000000" w:themeColor="text1"/>
                      <w:lang w:bidi="ar"/>
                      <w14:textFill>
                        <w14:solidFill>
                          <w14:schemeClr w14:val="tx1"/>
                        </w14:solidFill>
                      </w14:textFill>
                    </w:rPr>
                    <w:t>TP</w:t>
                  </w:r>
                </w:p>
              </w:tc>
              <w:tc>
                <w:tcPr>
                  <w:tcW w:w="521" w:type="pct"/>
                  <w:tcBorders>
                    <w:tl2br w:val="nil"/>
                    <w:tr2bl w:val="nil"/>
                  </w:tcBorders>
                  <w:vAlign w:val="center"/>
                </w:tcPr>
                <w:p w14:paraId="3E8B0C59">
                  <w:pPr>
                    <w:pStyle w:val="45"/>
                    <w:rPr>
                      <w:rFonts w:cs="Times New Roman"/>
                      <w:color w:val="000000" w:themeColor="text1"/>
                      <w:lang w:bidi="ar"/>
                      <w14:textFill>
                        <w14:solidFill>
                          <w14:schemeClr w14:val="tx1"/>
                        </w14:solidFill>
                      </w14:textFill>
                    </w:rPr>
                  </w:pPr>
                  <w:r>
                    <w:rPr>
                      <w:rFonts w:hint="eastAsia" w:cs="Times New Roman"/>
                      <w:color w:val="000000" w:themeColor="text1"/>
                      <w:lang w:bidi="ar"/>
                      <w14:textFill>
                        <w14:solidFill>
                          <w14:schemeClr w14:val="tx1"/>
                        </w14:solidFill>
                      </w14:textFill>
                    </w:rPr>
                    <w:t>石油类</w:t>
                  </w:r>
                </w:p>
              </w:tc>
            </w:tr>
            <w:tr w14:paraId="629A279C">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400" w:type="pct"/>
                  <w:vMerge w:val="restart"/>
                  <w:tcBorders>
                    <w:tl2br w:val="nil"/>
                    <w:tr2bl w:val="nil"/>
                  </w:tcBorders>
                  <w:tcMar>
                    <w:top w:w="15" w:type="dxa"/>
                    <w:left w:w="15" w:type="dxa"/>
                    <w:right w:w="15" w:type="dxa"/>
                  </w:tcMar>
                  <w:vAlign w:val="center"/>
                </w:tcPr>
                <w:p w14:paraId="7295F284">
                  <w:pPr>
                    <w:pStyle w:val="12"/>
                    <w:rPr>
                      <w:rFonts w:cs="Times New Roman"/>
                      <w:color w:val="000000" w:themeColor="text1"/>
                      <w14:textFill>
                        <w14:solidFill>
                          <w14:schemeClr w14:val="tx1"/>
                        </w14:solidFill>
                      </w14:textFill>
                    </w:rPr>
                  </w:pPr>
                  <w:r>
                    <w:rPr>
                      <w:rFonts w:cs="Times New Roman"/>
                      <w:color w:val="000000" w:themeColor="text1"/>
                      <w:lang w:bidi="ar"/>
                      <w14:textFill>
                        <w14:solidFill>
                          <w14:schemeClr w14:val="tx1"/>
                        </w14:solidFill>
                      </w14:textFill>
                    </w:rPr>
                    <w:t>预处理池处理前</w:t>
                  </w:r>
                </w:p>
              </w:tc>
              <w:tc>
                <w:tcPr>
                  <w:tcW w:w="407" w:type="pct"/>
                  <w:vMerge w:val="restart"/>
                  <w:tcBorders>
                    <w:tl2br w:val="nil"/>
                    <w:tr2bl w:val="nil"/>
                  </w:tcBorders>
                  <w:vAlign w:val="center"/>
                </w:tcPr>
                <w:p w14:paraId="7EE3F986">
                  <w:pPr>
                    <w:pStyle w:val="12"/>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生活污水</w:t>
                  </w:r>
                </w:p>
              </w:tc>
              <w:tc>
                <w:tcPr>
                  <w:tcW w:w="798" w:type="pct"/>
                  <w:tcBorders>
                    <w:tl2br w:val="nil"/>
                    <w:tr2bl w:val="nil"/>
                  </w:tcBorders>
                  <w:tcMar>
                    <w:top w:w="15" w:type="dxa"/>
                    <w:left w:w="15" w:type="dxa"/>
                    <w:right w:w="15" w:type="dxa"/>
                  </w:tcMar>
                  <w:vAlign w:val="center"/>
                </w:tcPr>
                <w:p w14:paraId="0261AE1A">
                  <w:pPr>
                    <w:pStyle w:val="12"/>
                    <w:rPr>
                      <w:rFonts w:cs="Times New Roman"/>
                      <w:color w:val="000000" w:themeColor="text1"/>
                      <w14:textFill>
                        <w14:solidFill>
                          <w14:schemeClr w14:val="tx1"/>
                        </w14:solidFill>
                      </w14:textFill>
                    </w:rPr>
                  </w:pPr>
                  <w:r>
                    <w:rPr>
                      <w:rFonts w:cs="Times New Roman"/>
                      <w:color w:val="000000" w:themeColor="text1"/>
                      <w:lang w:bidi="ar"/>
                      <w14:textFill>
                        <w14:solidFill>
                          <w14:schemeClr w14:val="tx1"/>
                        </w14:solidFill>
                      </w14:textFill>
                    </w:rPr>
                    <w:t>浓度（mg/L</w:t>
                  </w:r>
                  <w:r>
                    <w:rPr>
                      <w:rFonts w:cs="Times New Roman"/>
                      <w:color w:val="000000" w:themeColor="text1"/>
                      <w:szCs w:val="21"/>
                      <w:lang w:bidi="ar"/>
                      <w14:textFill>
                        <w14:solidFill>
                          <w14:schemeClr w14:val="tx1"/>
                        </w14:solidFill>
                      </w14:textFill>
                    </w:rPr>
                    <w:t>）</w:t>
                  </w:r>
                </w:p>
              </w:tc>
              <w:tc>
                <w:tcPr>
                  <w:tcW w:w="551" w:type="pct"/>
                  <w:vMerge w:val="restart"/>
                  <w:tcBorders>
                    <w:tl2br w:val="nil"/>
                    <w:tr2bl w:val="nil"/>
                  </w:tcBorders>
                  <w:tcMar>
                    <w:top w:w="15" w:type="dxa"/>
                    <w:left w:w="15" w:type="dxa"/>
                    <w:right w:w="15" w:type="dxa"/>
                  </w:tcMar>
                  <w:vAlign w:val="center"/>
                </w:tcPr>
                <w:p w14:paraId="1C2E3B2A">
                  <w:pPr>
                    <w:pStyle w:val="12"/>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772.2</w:t>
                  </w:r>
                </w:p>
              </w:tc>
              <w:tc>
                <w:tcPr>
                  <w:tcW w:w="404" w:type="pct"/>
                  <w:tcBorders>
                    <w:tl2br w:val="nil"/>
                    <w:tr2bl w:val="nil"/>
                  </w:tcBorders>
                  <w:tcMar>
                    <w:top w:w="15" w:type="dxa"/>
                    <w:left w:w="15" w:type="dxa"/>
                    <w:right w:w="15" w:type="dxa"/>
                  </w:tcMar>
                  <w:vAlign w:val="center"/>
                </w:tcPr>
                <w:p w14:paraId="12EB3800">
                  <w:pPr>
                    <w:pStyle w:val="12"/>
                    <w:rPr>
                      <w:rFonts w:hint="eastAsia"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500</w:t>
                  </w:r>
                </w:p>
              </w:tc>
              <w:tc>
                <w:tcPr>
                  <w:tcW w:w="509" w:type="pct"/>
                  <w:tcBorders>
                    <w:tl2br w:val="nil"/>
                    <w:tr2bl w:val="nil"/>
                  </w:tcBorders>
                  <w:tcMar>
                    <w:top w:w="15" w:type="dxa"/>
                    <w:left w:w="15" w:type="dxa"/>
                    <w:right w:w="15" w:type="dxa"/>
                  </w:tcMar>
                  <w:vAlign w:val="center"/>
                </w:tcPr>
                <w:p w14:paraId="1CDADBFC">
                  <w:pPr>
                    <w:pStyle w:val="12"/>
                    <w:rPr>
                      <w:rFonts w:hint="eastAsia"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300</w:t>
                  </w:r>
                </w:p>
              </w:tc>
              <w:tc>
                <w:tcPr>
                  <w:tcW w:w="472" w:type="pct"/>
                  <w:tcBorders>
                    <w:tl2br w:val="nil"/>
                    <w:tr2bl w:val="nil"/>
                  </w:tcBorders>
                  <w:tcMar>
                    <w:top w:w="15" w:type="dxa"/>
                    <w:left w:w="15" w:type="dxa"/>
                    <w:right w:w="15" w:type="dxa"/>
                  </w:tcMar>
                  <w:vAlign w:val="center"/>
                </w:tcPr>
                <w:p w14:paraId="5A2245A4">
                  <w:pPr>
                    <w:pStyle w:val="12"/>
                    <w:rPr>
                      <w:rFonts w:hint="eastAsia"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300</w:t>
                  </w:r>
                </w:p>
              </w:tc>
              <w:tc>
                <w:tcPr>
                  <w:tcW w:w="437" w:type="pct"/>
                  <w:tcBorders>
                    <w:tl2br w:val="nil"/>
                    <w:tr2bl w:val="nil"/>
                  </w:tcBorders>
                  <w:tcMar>
                    <w:top w:w="15" w:type="dxa"/>
                    <w:left w:w="15" w:type="dxa"/>
                    <w:right w:w="15" w:type="dxa"/>
                  </w:tcMar>
                  <w:vAlign w:val="center"/>
                </w:tcPr>
                <w:p w14:paraId="260CCE78">
                  <w:pPr>
                    <w:pStyle w:val="12"/>
                    <w:rPr>
                      <w:rFonts w:hint="eastAsia"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35</w:t>
                  </w:r>
                </w:p>
              </w:tc>
              <w:tc>
                <w:tcPr>
                  <w:tcW w:w="496" w:type="pct"/>
                  <w:tcBorders>
                    <w:tl2br w:val="nil"/>
                    <w:tr2bl w:val="nil"/>
                  </w:tcBorders>
                  <w:tcMar>
                    <w:top w:w="15" w:type="dxa"/>
                    <w:left w:w="15" w:type="dxa"/>
                    <w:right w:w="15" w:type="dxa"/>
                  </w:tcMar>
                  <w:vAlign w:val="center"/>
                </w:tcPr>
                <w:p w14:paraId="1D58CB9D">
                  <w:pPr>
                    <w:pStyle w:val="12"/>
                    <w:rPr>
                      <w:rFonts w:hint="eastAsia"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6</w:t>
                  </w:r>
                </w:p>
              </w:tc>
              <w:tc>
                <w:tcPr>
                  <w:tcW w:w="521" w:type="pct"/>
                  <w:tcBorders>
                    <w:tl2br w:val="nil"/>
                    <w:tr2bl w:val="nil"/>
                  </w:tcBorders>
                  <w:vAlign w:val="center"/>
                </w:tcPr>
                <w:p w14:paraId="1FAE899B">
                  <w:pPr>
                    <w:pStyle w:val="12"/>
                    <w:rPr>
                      <w:rFonts w:hint="eastAsia"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w:t>
                  </w:r>
                </w:p>
              </w:tc>
            </w:tr>
            <w:tr w14:paraId="2736330D">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400" w:type="pct"/>
                  <w:vMerge w:val="continue"/>
                  <w:tcBorders>
                    <w:tl2br w:val="nil"/>
                    <w:tr2bl w:val="nil"/>
                  </w:tcBorders>
                  <w:tcMar>
                    <w:top w:w="15" w:type="dxa"/>
                    <w:left w:w="15" w:type="dxa"/>
                    <w:right w:w="15" w:type="dxa"/>
                  </w:tcMar>
                  <w:vAlign w:val="center"/>
                </w:tcPr>
                <w:p w14:paraId="7627BB04">
                  <w:pPr>
                    <w:pStyle w:val="12"/>
                    <w:rPr>
                      <w:rFonts w:cs="Times New Roman"/>
                      <w:color w:val="000000" w:themeColor="text1"/>
                      <w14:textFill>
                        <w14:solidFill>
                          <w14:schemeClr w14:val="tx1"/>
                        </w14:solidFill>
                      </w14:textFill>
                    </w:rPr>
                  </w:pPr>
                </w:p>
              </w:tc>
              <w:tc>
                <w:tcPr>
                  <w:tcW w:w="407" w:type="pct"/>
                  <w:vMerge w:val="continue"/>
                  <w:tcBorders>
                    <w:tl2br w:val="nil"/>
                    <w:tr2bl w:val="nil"/>
                  </w:tcBorders>
                  <w:vAlign w:val="center"/>
                </w:tcPr>
                <w:p w14:paraId="5893F044">
                  <w:pPr>
                    <w:pStyle w:val="12"/>
                    <w:rPr>
                      <w:rFonts w:cs="Times New Roman"/>
                      <w:color w:val="000000" w:themeColor="text1"/>
                      <w14:textFill>
                        <w14:solidFill>
                          <w14:schemeClr w14:val="tx1"/>
                        </w14:solidFill>
                      </w14:textFill>
                    </w:rPr>
                  </w:pPr>
                </w:p>
              </w:tc>
              <w:tc>
                <w:tcPr>
                  <w:tcW w:w="798" w:type="pct"/>
                  <w:tcBorders>
                    <w:tl2br w:val="nil"/>
                    <w:tr2bl w:val="nil"/>
                  </w:tcBorders>
                  <w:tcMar>
                    <w:top w:w="15" w:type="dxa"/>
                    <w:left w:w="15" w:type="dxa"/>
                    <w:right w:w="15" w:type="dxa"/>
                  </w:tcMar>
                  <w:vAlign w:val="center"/>
                </w:tcPr>
                <w:p w14:paraId="64A5615E">
                  <w:pPr>
                    <w:pStyle w:val="12"/>
                    <w:rPr>
                      <w:rFonts w:cs="Times New Roman"/>
                      <w:color w:val="000000" w:themeColor="text1"/>
                      <w14:textFill>
                        <w14:solidFill>
                          <w14:schemeClr w14:val="tx1"/>
                        </w14:solidFill>
                      </w14:textFill>
                    </w:rPr>
                  </w:pPr>
                  <w:r>
                    <w:rPr>
                      <w:rFonts w:cs="Times New Roman"/>
                      <w:color w:val="000000" w:themeColor="text1"/>
                      <w:lang w:bidi="ar"/>
                      <w14:textFill>
                        <w14:solidFill>
                          <w14:schemeClr w14:val="tx1"/>
                        </w14:solidFill>
                      </w14:textFill>
                    </w:rPr>
                    <w:t>产生量（t/a</w:t>
                  </w:r>
                  <w:r>
                    <w:rPr>
                      <w:rFonts w:cs="Times New Roman"/>
                      <w:color w:val="000000" w:themeColor="text1"/>
                      <w:szCs w:val="21"/>
                      <w:lang w:bidi="ar"/>
                      <w14:textFill>
                        <w14:solidFill>
                          <w14:schemeClr w14:val="tx1"/>
                        </w14:solidFill>
                      </w14:textFill>
                    </w:rPr>
                    <w:t>）</w:t>
                  </w:r>
                </w:p>
              </w:tc>
              <w:tc>
                <w:tcPr>
                  <w:tcW w:w="551" w:type="pct"/>
                  <w:vMerge w:val="continue"/>
                  <w:tcBorders>
                    <w:tl2br w:val="nil"/>
                    <w:tr2bl w:val="nil"/>
                  </w:tcBorders>
                  <w:tcMar>
                    <w:top w:w="15" w:type="dxa"/>
                    <w:left w:w="15" w:type="dxa"/>
                    <w:right w:w="15" w:type="dxa"/>
                  </w:tcMar>
                  <w:vAlign w:val="center"/>
                </w:tcPr>
                <w:p w14:paraId="4909BB24">
                  <w:pPr>
                    <w:pStyle w:val="12"/>
                    <w:rPr>
                      <w:rFonts w:cs="Times New Roman"/>
                      <w:color w:val="000000" w:themeColor="text1"/>
                      <w14:textFill>
                        <w14:solidFill>
                          <w14:schemeClr w14:val="tx1"/>
                        </w14:solidFill>
                      </w14:textFill>
                    </w:rPr>
                  </w:pPr>
                </w:p>
              </w:tc>
              <w:tc>
                <w:tcPr>
                  <w:tcW w:w="404" w:type="pct"/>
                  <w:tcBorders>
                    <w:tl2br w:val="nil"/>
                    <w:tr2bl w:val="nil"/>
                  </w:tcBorders>
                  <w:tcMar>
                    <w:top w:w="15" w:type="dxa"/>
                    <w:left w:w="15" w:type="dxa"/>
                    <w:right w:w="15" w:type="dxa"/>
                  </w:tcMar>
                  <w:vAlign w:val="center"/>
                </w:tcPr>
                <w:p w14:paraId="6F81AAC3">
                  <w:pPr>
                    <w:pStyle w:val="12"/>
                    <w:rPr>
                      <w:rFonts w:hint="eastAsia"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 xml:space="preserve">0.3861 </w:t>
                  </w:r>
                </w:p>
              </w:tc>
              <w:tc>
                <w:tcPr>
                  <w:tcW w:w="509" w:type="pct"/>
                  <w:tcBorders>
                    <w:tl2br w:val="nil"/>
                    <w:tr2bl w:val="nil"/>
                  </w:tcBorders>
                  <w:tcMar>
                    <w:top w:w="15" w:type="dxa"/>
                    <w:left w:w="15" w:type="dxa"/>
                    <w:right w:w="15" w:type="dxa"/>
                  </w:tcMar>
                  <w:vAlign w:val="center"/>
                </w:tcPr>
                <w:p w14:paraId="74A4AB60">
                  <w:pPr>
                    <w:pStyle w:val="12"/>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 xml:space="preserve">0.2317 </w:t>
                  </w:r>
                </w:p>
              </w:tc>
              <w:tc>
                <w:tcPr>
                  <w:tcW w:w="472" w:type="pct"/>
                  <w:tcBorders>
                    <w:tl2br w:val="nil"/>
                    <w:tr2bl w:val="nil"/>
                  </w:tcBorders>
                  <w:tcMar>
                    <w:top w:w="15" w:type="dxa"/>
                    <w:left w:w="15" w:type="dxa"/>
                    <w:right w:w="15" w:type="dxa"/>
                  </w:tcMar>
                  <w:vAlign w:val="center"/>
                </w:tcPr>
                <w:p w14:paraId="254B77DD">
                  <w:pPr>
                    <w:pStyle w:val="12"/>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 xml:space="preserve">0.2317 </w:t>
                  </w:r>
                </w:p>
              </w:tc>
              <w:tc>
                <w:tcPr>
                  <w:tcW w:w="437" w:type="pct"/>
                  <w:tcBorders>
                    <w:tl2br w:val="nil"/>
                    <w:tr2bl w:val="nil"/>
                  </w:tcBorders>
                  <w:tcMar>
                    <w:top w:w="15" w:type="dxa"/>
                    <w:left w:w="15" w:type="dxa"/>
                    <w:right w:w="15" w:type="dxa"/>
                  </w:tcMar>
                  <w:vAlign w:val="center"/>
                </w:tcPr>
                <w:p w14:paraId="21C0377B">
                  <w:pPr>
                    <w:pStyle w:val="12"/>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 xml:space="preserve">0.0270 </w:t>
                  </w:r>
                </w:p>
              </w:tc>
              <w:tc>
                <w:tcPr>
                  <w:tcW w:w="496" w:type="pct"/>
                  <w:tcBorders>
                    <w:tl2br w:val="nil"/>
                    <w:tr2bl w:val="nil"/>
                  </w:tcBorders>
                  <w:tcMar>
                    <w:top w:w="15" w:type="dxa"/>
                    <w:left w:w="15" w:type="dxa"/>
                    <w:right w:w="15" w:type="dxa"/>
                  </w:tcMar>
                  <w:vAlign w:val="center"/>
                </w:tcPr>
                <w:p w14:paraId="3E107AB8">
                  <w:pPr>
                    <w:pStyle w:val="12"/>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 xml:space="preserve">0.0046 </w:t>
                  </w:r>
                </w:p>
              </w:tc>
              <w:tc>
                <w:tcPr>
                  <w:tcW w:w="521" w:type="pct"/>
                  <w:tcBorders>
                    <w:tl2br w:val="nil"/>
                    <w:tr2bl w:val="nil"/>
                  </w:tcBorders>
                  <w:vAlign w:val="center"/>
                </w:tcPr>
                <w:p w14:paraId="31B78882">
                  <w:pPr>
                    <w:pStyle w:val="12"/>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w:t>
                  </w:r>
                  <w:r>
                    <w:rPr>
                      <w:rFonts w:hint="default" w:ascii="Times New Roman" w:hAnsi="Times New Roman" w:eastAsia="宋体" w:cs="Times New Roman"/>
                      <w:color w:val="000000" w:themeColor="text1"/>
                      <w:lang w:val="en-US" w:eastAsia="zh-CN"/>
                      <w14:textFill>
                        <w14:solidFill>
                          <w14:schemeClr w14:val="tx1"/>
                        </w14:solidFill>
                      </w14:textFill>
                    </w:rPr>
                    <w:t xml:space="preserve"> </w:t>
                  </w:r>
                </w:p>
              </w:tc>
            </w:tr>
            <w:tr w14:paraId="59EC8D4B">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807" w:type="pct"/>
                  <w:gridSpan w:val="2"/>
                  <w:tcBorders>
                    <w:tl2br w:val="nil"/>
                    <w:tr2bl w:val="nil"/>
                  </w:tcBorders>
                  <w:tcMar>
                    <w:top w:w="15" w:type="dxa"/>
                    <w:left w:w="15" w:type="dxa"/>
                    <w:right w:w="15" w:type="dxa"/>
                  </w:tcMar>
                  <w:vAlign w:val="center"/>
                </w:tcPr>
                <w:p w14:paraId="60F0EC95">
                  <w:pPr>
                    <w:pStyle w:val="12"/>
                    <w:rPr>
                      <w:rFonts w:cs="Times New Roman"/>
                      <w:color w:val="000000" w:themeColor="text1"/>
                      <w:lang w:bidi="ar"/>
                      <w14:textFill>
                        <w14:solidFill>
                          <w14:schemeClr w14:val="tx1"/>
                        </w14:solidFill>
                      </w14:textFill>
                    </w:rPr>
                  </w:pPr>
                  <w:r>
                    <w:rPr>
                      <w:rFonts w:hint="eastAsia" w:cs="Times New Roman"/>
                      <w:color w:val="000000" w:themeColor="text1"/>
                      <w:lang w:bidi="ar"/>
                      <w14:textFill>
                        <w14:solidFill>
                          <w14:schemeClr w14:val="tx1"/>
                        </w14:solidFill>
                      </w14:textFill>
                    </w:rPr>
                    <w:t>去除效率</w:t>
                  </w:r>
                </w:p>
              </w:tc>
              <w:tc>
                <w:tcPr>
                  <w:tcW w:w="798" w:type="pct"/>
                  <w:tcBorders>
                    <w:tl2br w:val="nil"/>
                    <w:tr2bl w:val="nil"/>
                  </w:tcBorders>
                  <w:tcMar>
                    <w:top w:w="15" w:type="dxa"/>
                    <w:left w:w="15" w:type="dxa"/>
                    <w:right w:w="15" w:type="dxa"/>
                  </w:tcMar>
                  <w:vAlign w:val="center"/>
                </w:tcPr>
                <w:p w14:paraId="7EFC4024">
                  <w:pPr>
                    <w:pStyle w:val="12"/>
                    <w:rPr>
                      <w:rFonts w:cs="Times New Roman"/>
                      <w:color w:val="000000" w:themeColor="text1"/>
                      <w:lang w:bidi="ar"/>
                      <w14:textFill>
                        <w14:solidFill>
                          <w14:schemeClr w14:val="tx1"/>
                        </w14:solidFill>
                      </w14:textFill>
                    </w:rPr>
                  </w:pPr>
                  <w:r>
                    <w:rPr>
                      <w:rFonts w:hint="eastAsia" w:cs="Times New Roman"/>
                      <w:color w:val="000000" w:themeColor="text1"/>
                      <w:lang w:bidi="ar"/>
                      <w14:textFill>
                        <w14:solidFill>
                          <w14:schemeClr w14:val="tx1"/>
                        </w14:solidFill>
                      </w14:textFill>
                    </w:rPr>
                    <w:t>%</w:t>
                  </w:r>
                </w:p>
              </w:tc>
              <w:tc>
                <w:tcPr>
                  <w:tcW w:w="551" w:type="pct"/>
                  <w:tcBorders>
                    <w:tl2br w:val="nil"/>
                    <w:tr2bl w:val="nil"/>
                  </w:tcBorders>
                  <w:tcMar>
                    <w:top w:w="15" w:type="dxa"/>
                    <w:left w:w="15" w:type="dxa"/>
                    <w:right w:w="15" w:type="dxa"/>
                  </w:tcMar>
                  <w:vAlign w:val="center"/>
                </w:tcPr>
                <w:p w14:paraId="5E037CF0">
                  <w:pPr>
                    <w:pStyle w:val="12"/>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w:t>
                  </w:r>
                </w:p>
              </w:tc>
              <w:tc>
                <w:tcPr>
                  <w:tcW w:w="404" w:type="pct"/>
                  <w:tcBorders>
                    <w:tl2br w:val="nil"/>
                    <w:tr2bl w:val="nil"/>
                  </w:tcBorders>
                  <w:tcMar>
                    <w:top w:w="15" w:type="dxa"/>
                    <w:left w:w="15" w:type="dxa"/>
                    <w:right w:w="15" w:type="dxa"/>
                  </w:tcMar>
                  <w:vAlign w:val="center"/>
                </w:tcPr>
                <w:p w14:paraId="04E801B8">
                  <w:pPr>
                    <w:pStyle w:val="12"/>
                    <w:rPr>
                      <w:rFonts w:hint="eastAsia"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30%</w:t>
                  </w:r>
                </w:p>
              </w:tc>
              <w:tc>
                <w:tcPr>
                  <w:tcW w:w="509" w:type="pct"/>
                  <w:tcBorders>
                    <w:tl2br w:val="nil"/>
                    <w:tr2bl w:val="nil"/>
                  </w:tcBorders>
                  <w:tcMar>
                    <w:top w:w="15" w:type="dxa"/>
                    <w:left w:w="15" w:type="dxa"/>
                    <w:right w:w="15" w:type="dxa"/>
                  </w:tcMar>
                  <w:vAlign w:val="center"/>
                </w:tcPr>
                <w:p w14:paraId="2974510E">
                  <w:pPr>
                    <w:pStyle w:val="12"/>
                    <w:rPr>
                      <w:rFonts w:hint="eastAsia"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20%</w:t>
                  </w:r>
                </w:p>
              </w:tc>
              <w:tc>
                <w:tcPr>
                  <w:tcW w:w="472" w:type="pct"/>
                  <w:tcBorders>
                    <w:tl2br w:val="nil"/>
                    <w:tr2bl w:val="nil"/>
                  </w:tcBorders>
                  <w:tcMar>
                    <w:top w:w="15" w:type="dxa"/>
                    <w:left w:w="15" w:type="dxa"/>
                    <w:right w:w="15" w:type="dxa"/>
                  </w:tcMar>
                  <w:vAlign w:val="center"/>
                </w:tcPr>
                <w:p w14:paraId="5C06C002">
                  <w:pPr>
                    <w:pStyle w:val="12"/>
                    <w:rPr>
                      <w:rFonts w:hint="eastAsia"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10%</w:t>
                  </w:r>
                </w:p>
              </w:tc>
              <w:tc>
                <w:tcPr>
                  <w:tcW w:w="437" w:type="pct"/>
                  <w:tcBorders>
                    <w:tl2br w:val="nil"/>
                    <w:tr2bl w:val="nil"/>
                  </w:tcBorders>
                  <w:tcMar>
                    <w:top w:w="15" w:type="dxa"/>
                    <w:left w:w="15" w:type="dxa"/>
                    <w:right w:w="15" w:type="dxa"/>
                  </w:tcMar>
                  <w:vAlign w:val="center"/>
                </w:tcPr>
                <w:p w14:paraId="15FC4CF4">
                  <w:pPr>
                    <w:pStyle w:val="12"/>
                    <w:rPr>
                      <w:rFonts w:hint="eastAsia"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0%</w:t>
                  </w:r>
                </w:p>
              </w:tc>
              <w:tc>
                <w:tcPr>
                  <w:tcW w:w="496" w:type="pct"/>
                  <w:tcBorders>
                    <w:tl2br w:val="nil"/>
                    <w:tr2bl w:val="nil"/>
                  </w:tcBorders>
                  <w:tcMar>
                    <w:top w:w="15" w:type="dxa"/>
                    <w:left w:w="15" w:type="dxa"/>
                    <w:right w:w="15" w:type="dxa"/>
                  </w:tcMar>
                  <w:vAlign w:val="center"/>
                </w:tcPr>
                <w:p w14:paraId="32865DB3">
                  <w:pPr>
                    <w:pStyle w:val="12"/>
                    <w:rPr>
                      <w:rFonts w:hint="eastAsia"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0%</w:t>
                  </w:r>
                </w:p>
              </w:tc>
              <w:tc>
                <w:tcPr>
                  <w:tcW w:w="521" w:type="pct"/>
                  <w:tcBorders>
                    <w:tl2br w:val="nil"/>
                    <w:tr2bl w:val="nil"/>
                  </w:tcBorders>
                  <w:vAlign w:val="center"/>
                </w:tcPr>
                <w:p w14:paraId="03167686">
                  <w:pPr>
                    <w:pStyle w:val="12"/>
                    <w:rPr>
                      <w:rFonts w:hint="eastAsia"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0%</w:t>
                  </w:r>
                </w:p>
              </w:tc>
            </w:tr>
            <w:tr w14:paraId="4796BA9F">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807" w:type="pct"/>
                  <w:gridSpan w:val="2"/>
                  <w:vMerge w:val="restart"/>
                  <w:tcBorders>
                    <w:tl2br w:val="nil"/>
                    <w:tr2bl w:val="nil"/>
                  </w:tcBorders>
                  <w:tcMar>
                    <w:top w:w="15" w:type="dxa"/>
                    <w:left w:w="15" w:type="dxa"/>
                    <w:right w:w="15" w:type="dxa"/>
                  </w:tcMar>
                  <w:vAlign w:val="center"/>
                </w:tcPr>
                <w:p w14:paraId="5ADA9610">
                  <w:pPr>
                    <w:pStyle w:val="12"/>
                    <w:rPr>
                      <w:rFonts w:hint="default" w:eastAsia="宋体" w:cs="Times New Roman"/>
                      <w:color w:val="000000" w:themeColor="text1"/>
                      <w:lang w:val="en-US" w:eastAsia="zh-CN" w:bidi="ar"/>
                      <w14:textFill>
                        <w14:solidFill>
                          <w14:schemeClr w14:val="tx1"/>
                        </w14:solidFill>
                      </w14:textFill>
                    </w:rPr>
                  </w:pPr>
                  <w:r>
                    <w:rPr>
                      <w:rFonts w:cs="Times New Roman"/>
                      <w:color w:val="000000" w:themeColor="text1"/>
                      <w:lang w:bidi="ar"/>
                      <w14:textFill>
                        <w14:solidFill>
                          <w14:schemeClr w14:val="tx1"/>
                        </w14:solidFill>
                      </w14:textFill>
                    </w:rPr>
                    <w:t>预处理池处理后</w:t>
                  </w:r>
                  <w:r>
                    <w:rPr>
                      <w:rFonts w:hint="eastAsia" w:cs="Times New Roman"/>
                      <w:color w:val="000000" w:themeColor="text1"/>
                      <w:lang w:val="en-US" w:eastAsia="zh-CN" w:bidi="ar"/>
                      <w14:textFill>
                        <w14:solidFill>
                          <w14:schemeClr w14:val="tx1"/>
                        </w14:solidFill>
                      </w14:textFill>
                    </w:rPr>
                    <w:t>生活污水</w:t>
                  </w:r>
                </w:p>
              </w:tc>
              <w:tc>
                <w:tcPr>
                  <w:tcW w:w="798" w:type="pct"/>
                  <w:tcBorders>
                    <w:tl2br w:val="nil"/>
                    <w:tr2bl w:val="nil"/>
                  </w:tcBorders>
                  <w:tcMar>
                    <w:top w:w="15" w:type="dxa"/>
                    <w:left w:w="15" w:type="dxa"/>
                    <w:right w:w="15" w:type="dxa"/>
                  </w:tcMar>
                  <w:vAlign w:val="center"/>
                </w:tcPr>
                <w:p w14:paraId="4244DCF5">
                  <w:pPr>
                    <w:pStyle w:val="12"/>
                    <w:rPr>
                      <w:rFonts w:cs="Times New Roman"/>
                      <w:color w:val="000000" w:themeColor="text1"/>
                      <w14:textFill>
                        <w14:solidFill>
                          <w14:schemeClr w14:val="tx1"/>
                        </w14:solidFill>
                      </w14:textFill>
                    </w:rPr>
                  </w:pPr>
                  <w:r>
                    <w:rPr>
                      <w:rFonts w:cs="Times New Roman"/>
                      <w:color w:val="000000" w:themeColor="text1"/>
                      <w:lang w:bidi="ar"/>
                      <w14:textFill>
                        <w14:solidFill>
                          <w14:schemeClr w14:val="tx1"/>
                        </w14:solidFill>
                      </w14:textFill>
                    </w:rPr>
                    <w:t>浓度（mg/L</w:t>
                  </w:r>
                  <w:r>
                    <w:rPr>
                      <w:rFonts w:cs="Times New Roman"/>
                      <w:color w:val="000000" w:themeColor="text1"/>
                      <w:szCs w:val="21"/>
                      <w:lang w:bidi="ar"/>
                      <w14:textFill>
                        <w14:solidFill>
                          <w14:schemeClr w14:val="tx1"/>
                        </w14:solidFill>
                      </w14:textFill>
                    </w:rPr>
                    <w:t>）</w:t>
                  </w:r>
                </w:p>
              </w:tc>
              <w:tc>
                <w:tcPr>
                  <w:tcW w:w="551" w:type="pct"/>
                  <w:vMerge w:val="restart"/>
                  <w:tcBorders>
                    <w:tl2br w:val="nil"/>
                    <w:tr2bl w:val="nil"/>
                  </w:tcBorders>
                  <w:tcMar>
                    <w:top w:w="15" w:type="dxa"/>
                    <w:left w:w="15" w:type="dxa"/>
                    <w:right w:w="15" w:type="dxa"/>
                  </w:tcMar>
                  <w:vAlign w:val="center"/>
                </w:tcPr>
                <w:p w14:paraId="03B0C10E">
                  <w:pPr>
                    <w:pStyle w:val="12"/>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772.2</w:t>
                  </w:r>
                </w:p>
              </w:tc>
              <w:tc>
                <w:tcPr>
                  <w:tcW w:w="404" w:type="pct"/>
                  <w:tcBorders>
                    <w:tl2br w:val="nil"/>
                    <w:tr2bl w:val="nil"/>
                  </w:tcBorders>
                  <w:tcMar>
                    <w:top w:w="15" w:type="dxa"/>
                    <w:left w:w="15" w:type="dxa"/>
                    <w:right w:w="15" w:type="dxa"/>
                  </w:tcMar>
                  <w:vAlign w:val="center"/>
                </w:tcPr>
                <w:p w14:paraId="1DE3C7F7">
                  <w:pPr>
                    <w:pStyle w:val="12"/>
                    <w:rPr>
                      <w:rFonts w:hint="eastAsia"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350</w:t>
                  </w:r>
                </w:p>
              </w:tc>
              <w:tc>
                <w:tcPr>
                  <w:tcW w:w="509" w:type="pct"/>
                  <w:tcBorders>
                    <w:tl2br w:val="nil"/>
                    <w:tr2bl w:val="nil"/>
                  </w:tcBorders>
                  <w:tcMar>
                    <w:top w:w="15" w:type="dxa"/>
                    <w:left w:w="15" w:type="dxa"/>
                    <w:right w:w="15" w:type="dxa"/>
                  </w:tcMar>
                  <w:vAlign w:val="center"/>
                </w:tcPr>
                <w:p w14:paraId="6D09FC41">
                  <w:pPr>
                    <w:pStyle w:val="12"/>
                    <w:rPr>
                      <w:rFonts w:hint="eastAsia"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240</w:t>
                  </w:r>
                </w:p>
              </w:tc>
              <w:tc>
                <w:tcPr>
                  <w:tcW w:w="472" w:type="pct"/>
                  <w:tcBorders>
                    <w:tl2br w:val="nil"/>
                    <w:tr2bl w:val="nil"/>
                  </w:tcBorders>
                  <w:tcMar>
                    <w:top w:w="15" w:type="dxa"/>
                    <w:left w:w="15" w:type="dxa"/>
                    <w:right w:w="15" w:type="dxa"/>
                  </w:tcMar>
                  <w:vAlign w:val="center"/>
                </w:tcPr>
                <w:p w14:paraId="788C72A3">
                  <w:pPr>
                    <w:pStyle w:val="12"/>
                    <w:rPr>
                      <w:rFonts w:hint="eastAsia"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270</w:t>
                  </w:r>
                </w:p>
              </w:tc>
              <w:tc>
                <w:tcPr>
                  <w:tcW w:w="437" w:type="pct"/>
                  <w:tcBorders>
                    <w:tl2br w:val="nil"/>
                    <w:tr2bl w:val="nil"/>
                  </w:tcBorders>
                  <w:tcMar>
                    <w:top w:w="15" w:type="dxa"/>
                    <w:left w:w="15" w:type="dxa"/>
                    <w:right w:w="15" w:type="dxa"/>
                  </w:tcMar>
                  <w:vAlign w:val="center"/>
                </w:tcPr>
                <w:p w14:paraId="77849850">
                  <w:pPr>
                    <w:pStyle w:val="12"/>
                    <w:rPr>
                      <w:rFonts w:hint="eastAsia"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35</w:t>
                  </w:r>
                </w:p>
              </w:tc>
              <w:tc>
                <w:tcPr>
                  <w:tcW w:w="496" w:type="pct"/>
                  <w:tcBorders>
                    <w:tl2br w:val="nil"/>
                    <w:tr2bl w:val="nil"/>
                  </w:tcBorders>
                  <w:tcMar>
                    <w:top w:w="15" w:type="dxa"/>
                    <w:left w:w="15" w:type="dxa"/>
                    <w:right w:w="15" w:type="dxa"/>
                  </w:tcMar>
                  <w:vAlign w:val="center"/>
                </w:tcPr>
                <w:p w14:paraId="025ABEDC">
                  <w:pPr>
                    <w:pStyle w:val="12"/>
                    <w:rPr>
                      <w:rFonts w:hint="eastAsia"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6</w:t>
                  </w:r>
                </w:p>
              </w:tc>
              <w:tc>
                <w:tcPr>
                  <w:tcW w:w="521" w:type="pct"/>
                  <w:tcBorders>
                    <w:tl2br w:val="nil"/>
                    <w:tr2bl w:val="nil"/>
                  </w:tcBorders>
                  <w:vAlign w:val="center"/>
                </w:tcPr>
                <w:p w14:paraId="11663B72">
                  <w:pPr>
                    <w:pStyle w:val="12"/>
                    <w:rPr>
                      <w:rFonts w:hint="eastAsia"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w:t>
                  </w:r>
                </w:p>
              </w:tc>
            </w:tr>
            <w:tr w14:paraId="291D81C5">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807" w:type="pct"/>
                  <w:gridSpan w:val="2"/>
                  <w:vMerge w:val="continue"/>
                  <w:tcBorders>
                    <w:tl2br w:val="nil"/>
                    <w:tr2bl w:val="nil"/>
                  </w:tcBorders>
                  <w:tcMar>
                    <w:top w:w="15" w:type="dxa"/>
                    <w:left w:w="15" w:type="dxa"/>
                    <w:right w:w="15" w:type="dxa"/>
                  </w:tcMar>
                  <w:vAlign w:val="center"/>
                </w:tcPr>
                <w:p w14:paraId="73102A39">
                  <w:pPr>
                    <w:pStyle w:val="12"/>
                    <w:rPr>
                      <w:rFonts w:cs="Times New Roman"/>
                      <w:color w:val="000000" w:themeColor="text1"/>
                      <w:lang w:bidi="ar"/>
                      <w14:textFill>
                        <w14:solidFill>
                          <w14:schemeClr w14:val="tx1"/>
                        </w14:solidFill>
                      </w14:textFill>
                    </w:rPr>
                  </w:pPr>
                </w:p>
              </w:tc>
              <w:tc>
                <w:tcPr>
                  <w:tcW w:w="798" w:type="pct"/>
                  <w:tcBorders>
                    <w:tl2br w:val="nil"/>
                    <w:tr2bl w:val="nil"/>
                  </w:tcBorders>
                  <w:tcMar>
                    <w:top w:w="15" w:type="dxa"/>
                    <w:left w:w="15" w:type="dxa"/>
                    <w:right w:w="15" w:type="dxa"/>
                  </w:tcMar>
                  <w:vAlign w:val="center"/>
                </w:tcPr>
                <w:p w14:paraId="2A41A596">
                  <w:pPr>
                    <w:pStyle w:val="12"/>
                    <w:rPr>
                      <w:rFonts w:cs="Times New Roman"/>
                      <w:color w:val="000000" w:themeColor="text1"/>
                      <w14:textFill>
                        <w14:solidFill>
                          <w14:schemeClr w14:val="tx1"/>
                        </w14:solidFill>
                      </w14:textFill>
                    </w:rPr>
                  </w:pPr>
                  <w:r>
                    <w:rPr>
                      <w:rFonts w:cs="Times New Roman"/>
                      <w:color w:val="000000" w:themeColor="text1"/>
                      <w:lang w:bidi="ar"/>
                      <w14:textFill>
                        <w14:solidFill>
                          <w14:schemeClr w14:val="tx1"/>
                        </w14:solidFill>
                      </w14:textFill>
                    </w:rPr>
                    <w:t>排放量（t/a</w:t>
                  </w:r>
                  <w:r>
                    <w:rPr>
                      <w:rFonts w:cs="Times New Roman"/>
                      <w:color w:val="000000" w:themeColor="text1"/>
                      <w:szCs w:val="21"/>
                      <w:lang w:bidi="ar"/>
                      <w14:textFill>
                        <w14:solidFill>
                          <w14:schemeClr w14:val="tx1"/>
                        </w14:solidFill>
                      </w14:textFill>
                    </w:rPr>
                    <w:t>）</w:t>
                  </w:r>
                </w:p>
              </w:tc>
              <w:tc>
                <w:tcPr>
                  <w:tcW w:w="551" w:type="pct"/>
                  <w:vMerge w:val="continue"/>
                  <w:tcBorders>
                    <w:tl2br w:val="nil"/>
                    <w:tr2bl w:val="nil"/>
                  </w:tcBorders>
                  <w:tcMar>
                    <w:top w:w="15" w:type="dxa"/>
                    <w:left w:w="15" w:type="dxa"/>
                    <w:right w:w="15" w:type="dxa"/>
                  </w:tcMar>
                  <w:vAlign w:val="center"/>
                </w:tcPr>
                <w:p w14:paraId="7A4B32F6">
                  <w:pPr>
                    <w:pStyle w:val="12"/>
                    <w:rPr>
                      <w:rFonts w:cs="Times New Roman"/>
                      <w:color w:val="000000" w:themeColor="text1"/>
                      <w14:textFill>
                        <w14:solidFill>
                          <w14:schemeClr w14:val="tx1"/>
                        </w14:solidFill>
                      </w14:textFill>
                    </w:rPr>
                  </w:pPr>
                </w:p>
              </w:tc>
              <w:tc>
                <w:tcPr>
                  <w:tcW w:w="404" w:type="pct"/>
                  <w:tcBorders>
                    <w:tl2br w:val="nil"/>
                    <w:tr2bl w:val="nil"/>
                  </w:tcBorders>
                  <w:tcMar>
                    <w:top w:w="15" w:type="dxa"/>
                    <w:left w:w="15" w:type="dxa"/>
                    <w:right w:w="15" w:type="dxa"/>
                  </w:tcMar>
                  <w:vAlign w:val="center"/>
                </w:tcPr>
                <w:p w14:paraId="7CA73F4A">
                  <w:pPr>
                    <w:pStyle w:val="12"/>
                    <w:rPr>
                      <w:rFonts w:hint="eastAsia"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 xml:space="preserve">0.2703 </w:t>
                  </w:r>
                </w:p>
              </w:tc>
              <w:tc>
                <w:tcPr>
                  <w:tcW w:w="509" w:type="pct"/>
                  <w:tcBorders>
                    <w:tl2br w:val="nil"/>
                    <w:tr2bl w:val="nil"/>
                  </w:tcBorders>
                  <w:tcMar>
                    <w:top w:w="15" w:type="dxa"/>
                    <w:left w:w="15" w:type="dxa"/>
                    <w:right w:w="15" w:type="dxa"/>
                  </w:tcMar>
                  <w:vAlign w:val="center"/>
                </w:tcPr>
                <w:p w14:paraId="69E44470">
                  <w:pPr>
                    <w:pStyle w:val="12"/>
                    <w:rPr>
                      <w:rFonts w:hint="eastAsia"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 xml:space="preserve">0.1853 </w:t>
                  </w:r>
                </w:p>
              </w:tc>
              <w:tc>
                <w:tcPr>
                  <w:tcW w:w="472" w:type="pct"/>
                  <w:tcBorders>
                    <w:tl2br w:val="nil"/>
                    <w:tr2bl w:val="nil"/>
                  </w:tcBorders>
                  <w:tcMar>
                    <w:top w:w="15" w:type="dxa"/>
                    <w:left w:w="15" w:type="dxa"/>
                    <w:right w:w="15" w:type="dxa"/>
                  </w:tcMar>
                  <w:vAlign w:val="center"/>
                </w:tcPr>
                <w:p w14:paraId="3BAF33C4">
                  <w:pPr>
                    <w:pStyle w:val="12"/>
                    <w:rPr>
                      <w:rFonts w:hint="eastAsia"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 xml:space="preserve">0.2085 </w:t>
                  </w:r>
                </w:p>
              </w:tc>
              <w:tc>
                <w:tcPr>
                  <w:tcW w:w="437" w:type="pct"/>
                  <w:tcBorders>
                    <w:tl2br w:val="nil"/>
                    <w:tr2bl w:val="nil"/>
                  </w:tcBorders>
                  <w:tcMar>
                    <w:top w:w="15" w:type="dxa"/>
                    <w:left w:w="15" w:type="dxa"/>
                    <w:right w:w="15" w:type="dxa"/>
                  </w:tcMar>
                  <w:vAlign w:val="center"/>
                </w:tcPr>
                <w:p w14:paraId="49A4669C">
                  <w:pPr>
                    <w:pStyle w:val="12"/>
                    <w:rPr>
                      <w:rFonts w:hint="eastAsia"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 xml:space="preserve">0.0270 </w:t>
                  </w:r>
                </w:p>
              </w:tc>
              <w:tc>
                <w:tcPr>
                  <w:tcW w:w="496" w:type="pct"/>
                  <w:tcBorders>
                    <w:tl2br w:val="nil"/>
                    <w:tr2bl w:val="nil"/>
                  </w:tcBorders>
                  <w:tcMar>
                    <w:top w:w="15" w:type="dxa"/>
                    <w:left w:w="15" w:type="dxa"/>
                    <w:right w:w="15" w:type="dxa"/>
                  </w:tcMar>
                  <w:vAlign w:val="center"/>
                </w:tcPr>
                <w:p w14:paraId="62270D64">
                  <w:pPr>
                    <w:pStyle w:val="12"/>
                    <w:rPr>
                      <w:rFonts w:hint="eastAsia"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 xml:space="preserve">0.0046 </w:t>
                  </w:r>
                </w:p>
              </w:tc>
              <w:tc>
                <w:tcPr>
                  <w:tcW w:w="521" w:type="pct"/>
                  <w:tcBorders>
                    <w:tl2br w:val="nil"/>
                    <w:tr2bl w:val="nil"/>
                  </w:tcBorders>
                  <w:vAlign w:val="center"/>
                </w:tcPr>
                <w:p w14:paraId="6CDD36A8">
                  <w:pPr>
                    <w:pStyle w:val="12"/>
                    <w:rPr>
                      <w:rFonts w:hint="eastAsia"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w:t>
                  </w:r>
                </w:p>
              </w:tc>
            </w:tr>
            <w:tr w14:paraId="485F3191">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2157" w:type="pct"/>
                  <w:gridSpan w:val="4"/>
                  <w:tcBorders>
                    <w:tl2br w:val="nil"/>
                    <w:tr2bl w:val="nil"/>
                  </w:tcBorders>
                  <w:tcMar>
                    <w:top w:w="15" w:type="dxa"/>
                    <w:left w:w="15" w:type="dxa"/>
                    <w:right w:w="15" w:type="dxa"/>
                  </w:tcMar>
                  <w:vAlign w:val="center"/>
                </w:tcPr>
                <w:p w14:paraId="729D42F8">
                  <w:pPr>
                    <w:pStyle w:val="12"/>
                    <w:rPr>
                      <w:rFonts w:cs="Times New Roman"/>
                      <w:color w:val="000000" w:themeColor="text1"/>
                      <w14:textFill>
                        <w14:solidFill>
                          <w14:schemeClr w14:val="tx1"/>
                        </w14:solidFill>
                      </w14:textFill>
                    </w:rPr>
                  </w:pPr>
                  <w:r>
                    <w:rPr>
                      <w:rFonts w:hint="eastAsia" w:cs="Times New Roman"/>
                      <w:color w:val="000000" w:themeColor="text1"/>
                      <w:lang w:bidi="ar"/>
                      <w14:textFill>
                        <w14:solidFill>
                          <w14:schemeClr w14:val="tx1"/>
                        </w14:solidFill>
                      </w14:textFill>
                    </w:rPr>
                    <w:t>排放标准</w:t>
                  </w:r>
                </w:p>
              </w:tc>
              <w:tc>
                <w:tcPr>
                  <w:tcW w:w="404" w:type="pct"/>
                  <w:tcBorders>
                    <w:tl2br w:val="nil"/>
                    <w:tr2bl w:val="nil"/>
                  </w:tcBorders>
                  <w:tcMar>
                    <w:top w:w="15" w:type="dxa"/>
                    <w:left w:w="15" w:type="dxa"/>
                    <w:right w:w="15" w:type="dxa"/>
                  </w:tcMar>
                  <w:vAlign w:val="center"/>
                </w:tcPr>
                <w:p w14:paraId="7F4C7489">
                  <w:pPr>
                    <w:pStyle w:val="12"/>
                    <w:rPr>
                      <w:rFonts w:hint="eastAsia"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700</w:t>
                  </w:r>
                </w:p>
              </w:tc>
              <w:tc>
                <w:tcPr>
                  <w:tcW w:w="509" w:type="pct"/>
                  <w:tcBorders>
                    <w:tl2br w:val="nil"/>
                    <w:tr2bl w:val="nil"/>
                  </w:tcBorders>
                  <w:tcMar>
                    <w:top w:w="15" w:type="dxa"/>
                    <w:left w:w="15" w:type="dxa"/>
                    <w:right w:w="15" w:type="dxa"/>
                  </w:tcMar>
                  <w:vAlign w:val="center"/>
                </w:tcPr>
                <w:p w14:paraId="69AC43E6">
                  <w:pPr>
                    <w:pStyle w:val="12"/>
                    <w:rPr>
                      <w:rFonts w:hint="eastAsia"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280</w:t>
                  </w:r>
                </w:p>
              </w:tc>
              <w:tc>
                <w:tcPr>
                  <w:tcW w:w="472" w:type="pct"/>
                  <w:tcBorders>
                    <w:tl2br w:val="nil"/>
                    <w:tr2bl w:val="nil"/>
                  </w:tcBorders>
                  <w:tcMar>
                    <w:top w:w="15" w:type="dxa"/>
                    <w:left w:w="15" w:type="dxa"/>
                    <w:right w:w="15" w:type="dxa"/>
                  </w:tcMar>
                  <w:vAlign w:val="center"/>
                </w:tcPr>
                <w:p w14:paraId="71B559BB">
                  <w:pPr>
                    <w:pStyle w:val="12"/>
                    <w:rPr>
                      <w:rFonts w:hint="eastAsia"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300</w:t>
                  </w:r>
                </w:p>
              </w:tc>
              <w:tc>
                <w:tcPr>
                  <w:tcW w:w="437" w:type="pct"/>
                  <w:tcBorders>
                    <w:tl2br w:val="nil"/>
                    <w:tr2bl w:val="nil"/>
                  </w:tcBorders>
                  <w:tcMar>
                    <w:top w:w="15" w:type="dxa"/>
                    <w:left w:w="15" w:type="dxa"/>
                    <w:right w:w="15" w:type="dxa"/>
                  </w:tcMar>
                  <w:vAlign w:val="center"/>
                </w:tcPr>
                <w:p w14:paraId="75F7BD48">
                  <w:pPr>
                    <w:pStyle w:val="12"/>
                    <w:rPr>
                      <w:rFonts w:hint="eastAsia"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35</w:t>
                  </w:r>
                </w:p>
              </w:tc>
              <w:tc>
                <w:tcPr>
                  <w:tcW w:w="496" w:type="pct"/>
                  <w:tcBorders>
                    <w:tl2br w:val="nil"/>
                    <w:tr2bl w:val="nil"/>
                  </w:tcBorders>
                  <w:tcMar>
                    <w:top w:w="15" w:type="dxa"/>
                    <w:left w:w="15" w:type="dxa"/>
                    <w:right w:w="15" w:type="dxa"/>
                  </w:tcMar>
                  <w:vAlign w:val="center"/>
                </w:tcPr>
                <w:p w14:paraId="73D92789">
                  <w:pPr>
                    <w:pStyle w:val="12"/>
                    <w:rPr>
                      <w:rFonts w:hint="eastAsia"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8</w:t>
                  </w:r>
                </w:p>
              </w:tc>
              <w:tc>
                <w:tcPr>
                  <w:tcW w:w="521" w:type="pct"/>
                  <w:tcBorders>
                    <w:tl2br w:val="nil"/>
                    <w:tr2bl w:val="nil"/>
                  </w:tcBorders>
                  <w:vAlign w:val="center"/>
                </w:tcPr>
                <w:p w14:paraId="665378D4">
                  <w:pPr>
                    <w:pStyle w:val="12"/>
                    <w:rPr>
                      <w:rFonts w:hint="eastAsia"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15</w:t>
                  </w:r>
                </w:p>
              </w:tc>
            </w:tr>
            <w:tr w14:paraId="7978D43F">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807" w:type="pct"/>
                  <w:gridSpan w:val="2"/>
                  <w:vMerge w:val="restart"/>
                  <w:tcBorders>
                    <w:tl2br w:val="nil"/>
                    <w:tr2bl w:val="nil"/>
                  </w:tcBorders>
                  <w:tcMar>
                    <w:top w:w="15" w:type="dxa"/>
                    <w:left w:w="15" w:type="dxa"/>
                    <w:right w:w="15" w:type="dxa"/>
                  </w:tcMar>
                  <w:vAlign w:val="center"/>
                </w:tcPr>
                <w:p w14:paraId="278BACC7">
                  <w:pPr>
                    <w:pStyle w:val="12"/>
                    <w:rPr>
                      <w:rFonts w:cs="Times New Roman"/>
                      <w:color w:val="000000" w:themeColor="text1"/>
                      <w:lang w:bidi="ar"/>
                      <w14:textFill>
                        <w14:solidFill>
                          <w14:schemeClr w14:val="tx1"/>
                        </w14:solidFill>
                      </w14:textFill>
                    </w:rPr>
                  </w:pPr>
                  <w:r>
                    <w:rPr>
                      <w:rFonts w:hint="eastAsia" w:cs="Times New Roman"/>
                      <w:color w:val="000000" w:themeColor="text1"/>
                      <w:lang w:val="en-US" w:eastAsia="zh-CN" w:bidi="ar"/>
                      <w14:textFill>
                        <w14:solidFill>
                          <w14:schemeClr w14:val="tx1"/>
                        </w14:solidFill>
                      </w14:textFill>
                    </w:rPr>
                    <w:t>星光工业园区</w:t>
                  </w:r>
                  <w:r>
                    <w:rPr>
                      <w:rFonts w:cs="Times New Roman"/>
                      <w:color w:val="000000" w:themeColor="text1"/>
                      <w:lang w:bidi="ar"/>
                      <w14:textFill>
                        <w14:solidFill>
                          <w14:schemeClr w14:val="tx1"/>
                        </w14:solidFill>
                      </w14:textFill>
                    </w:rPr>
                    <w:t>污水处理厂处理后</w:t>
                  </w:r>
                </w:p>
              </w:tc>
              <w:tc>
                <w:tcPr>
                  <w:tcW w:w="798" w:type="pct"/>
                  <w:tcBorders>
                    <w:tl2br w:val="nil"/>
                    <w:tr2bl w:val="nil"/>
                  </w:tcBorders>
                  <w:tcMar>
                    <w:top w:w="15" w:type="dxa"/>
                    <w:left w:w="15" w:type="dxa"/>
                    <w:right w:w="15" w:type="dxa"/>
                  </w:tcMar>
                  <w:vAlign w:val="center"/>
                </w:tcPr>
                <w:p w14:paraId="5F5507A7">
                  <w:pPr>
                    <w:pStyle w:val="12"/>
                    <w:rPr>
                      <w:rFonts w:cs="Times New Roman"/>
                      <w:color w:val="000000" w:themeColor="text1"/>
                      <w14:textFill>
                        <w14:solidFill>
                          <w14:schemeClr w14:val="tx1"/>
                        </w14:solidFill>
                      </w14:textFill>
                    </w:rPr>
                  </w:pPr>
                  <w:r>
                    <w:rPr>
                      <w:rFonts w:cs="Times New Roman"/>
                      <w:color w:val="000000" w:themeColor="text1"/>
                      <w:lang w:bidi="ar"/>
                      <w14:textFill>
                        <w14:solidFill>
                          <w14:schemeClr w14:val="tx1"/>
                        </w14:solidFill>
                      </w14:textFill>
                    </w:rPr>
                    <w:t>浓度（mg/L</w:t>
                  </w:r>
                  <w:r>
                    <w:rPr>
                      <w:rFonts w:cs="Times New Roman"/>
                      <w:color w:val="000000" w:themeColor="text1"/>
                      <w:szCs w:val="21"/>
                      <w:lang w:bidi="ar"/>
                      <w14:textFill>
                        <w14:solidFill>
                          <w14:schemeClr w14:val="tx1"/>
                        </w14:solidFill>
                      </w14:textFill>
                    </w:rPr>
                    <w:t>）</w:t>
                  </w:r>
                </w:p>
              </w:tc>
              <w:tc>
                <w:tcPr>
                  <w:tcW w:w="551" w:type="pct"/>
                  <w:vMerge w:val="restart"/>
                  <w:tcBorders>
                    <w:tl2br w:val="nil"/>
                    <w:tr2bl w:val="nil"/>
                  </w:tcBorders>
                  <w:tcMar>
                    <w:top w:w="15" w:type="dxa"/>
                    <w:left w:w="15" w:type="dxa"/>
                    <w:right w:w="15" w:type="dxa"/>
                  </w:tcMar>
                  <w:vAlign w:val="center"/>
                </w:tcPr>
                <w:p w14:paraId="185FB393">
                  <w:pPr>
                    <w:pStyle w:val="12"/>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772.2</w:t>
                  </w:r>
                </w:p>
              </w:tc>
              <w:tc>
                <w:tcPr>
                  <w:tcW w:w="404" w:type="pct"/>
                  <w:tcBorders>
                    <w:tl2br w:val="nil"/>
                    <w:tr2bl w:val="nil"/>
                  </w:tcBorders>
                  <w:tcMar>
                    <w:top w:w="15" w:type="dxa"/>
                    <w:left w:w="15" w:type="dxa"/>
                    <w:right w:w="15" w:type="dxa"/>
                  </w:tcMar>
                  <w:vAlign w:val="center"/>
                </w:tcPr>
                <w:p w14:paraId="14B68CF1">
                  <w:pPr>
                    <w:pStyle w:val="12"/>
                    <w:rPr>
                      <w:rFonts w:hint="eastAsia"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50</w:t>
                  </w:r>
                </w:p>
              </w:tc>
              <w:tc>
                <w:tcPr>
                  <w:tcW w:w="509" w:type="pct"/>
                  <w:tcBorders>
                    <w:tl2br w:val="nil"/>
                    <w:tr2bl w:val="nil"/>
                  </w:tcBorders>
                  <w:tcMar>
                    <w:top w:w="15" w:type="dxa"/>
                    <w:left w:w="15" w:type="dxa"/>
                    <w:right w:w="15" w:type="dxa"/>
                  </w:tcMar>
                  <w:vAlign w:val="center"/>
                </w:tcPr>
                <w:p w14:paraId="20B86572">
                  <w:pPr>
                    <w:pStyle w:val="12"/>
                    <w:rPr>
                      <w:rFonts w:hint="eastAsia"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10</w:t>
                  </w:r>
                </w:p>
              </w:tc>
              <w:tc>
                <w:tcPr>
                  <w:tcW w:w="472" w:type="pct"/>
                  <w:tcBorders>
                    <w:tl2br w:val="nil"/>
                    <w:tr2bl w:val="nil"/>
                  </w:tcBorders>
                  <w:tcMar>
                    <w:top w:w="15" w:type="dxa"/>
                    <w:left w:w="15" w:type="dxa"/>
                    <w:right w:w="15" w:type="dxa"/>
                  </w:tcMar>
                  <w:vAlign w:val="center"/>
                </w:tcPr>
                <w:p w14:paraId="189DF264">
                  <w:pPr>
                    <w:pStyle w:val="12"/>
                    <w:rPr>
                      <w:rFonts w:hint="eastAsia"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10</w:t>
                  </w:r>
                </w:p>
              </w:tc>
              <w:tc>
                <w:tcPr>
                  <w:tcW w:w="437" w:type="pct"/>
                  <w:tcBorders>
                    <w:tl2br w:val="nil"/>
                    <w:tr2bl w:val="nil"/>
                  </w:tcBorders>
                  <w:tcMar>
                    <w:top w:w="15" w:type="dxa"/>
                    <w:left w:w="15" w:type="dxa"/>
                    <w:right w:w="15" w:type="dxa"/>
                  </w:tcMar>
                  <w:vAlign w:val="center"/>
                </w:tcPr>
                <w:p w14:paraId="4C2BB350">
                  <w:pPr>
                    <w:pStyle w:val="12"/>
                    <w:rPr>
                      <w:rFonts w:hint="eastAsia"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8</w:t>
                  </w:r>
                </w:p>
              </w:tc>
              <w:tc>
                <w:tcPr>
                  <w:tcW w:w="496" w:type="pct"/>
                  <w:tcBorders>
                    <w:tl2br w:val="nil"/>
                    <w:tr2bl w:val="nil"/>
                  </w:tcBorders>
                  <w:tcMar>
                    <w:top w:w="15" w:type="dxa"/>
                    <w:left w:w="15" w:type="dxa"/>
                    <w:right w:w="15" w:type="dxa"/>
                  </w:tcMar>
                  <w:vAlign w:val="center"/>
                </w:tcPr>
                <w:p w14:paraId="5A3E3A15">
                  <w:pPr>
                    <w:pStyle w:val="12"/>
                    <w:rPr>
                      <w:rFonts w:hint="eastAsia"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0.5</w:t>
                  </w:r>
                </w:p>
              </w:tc>
              <w:tc>
                <w:tcPr>
                  <w:tcW w:w="521" w:type="pct"/>
                  <w:tcBorders>
                    <w:tl2br w:val="nil"/>
                    <w:tr2bl w:val="nil"/>
                  </w:tcBorders>
                  <w:vAlign w:val="center"/>
                </w:tcPr>
                <w:p w14:paraId="3BAEA1C7">
                  <w:pPr>
                    <w:pStyle w:val="12"/>
                    <w:rPr>
                      <w:rFonts w:hint="eastAsia"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1</w:t>
                  </w:r>
                </w:p>
              </w:tc>
            </w:tr>
            <w:tr w14:paraId="4280EC1A">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807" w:type="pct"/>
                  <w:gridSpan w:val="2"/>
                  <w:vMerge w:val="continue"/>
                  <w:tcBorders>
                    <w:tl2br w:val="nil"/>
                    <w:tr2bl w:val="nil"/>
                  </w:tcBorders>
                  <w:tcMar>
                    <w:top w:w="15" w:type="dxa"/>
                    <w:left w:w="15" w:type="dxa"/>
                    <w:right w:w="15" w:type="dxa"/>
                  </w:tcMar>
                  <w:vAlign w:val="center"/>
                </w:tcPr>
                <w:p w14:paraId="6BA0A204">
                  <w:pPr>
                    <w:pStyle w:val="12"/>
                    <w:rPr>
                      <w:rFonts w:cs="Times New Roman"/>
                      <w:color w:val="000000" w:themeColor="text1"/>
                      <w14:textFill>
                        <w14:solidFill>
                          <w14:schemeClr w14:val="tx1"/>
                        </w14:solidFill>
                      </w14:textFill>
                    </w:rPr>
                  </w:pPr>
                </w:p>
              </w:tc>
              <w:tc>
                <w:tcPr>
                  <w:tcW w:w="798" w:type="pct"/>
                  <w:tcBorders>
                    <w:tl2br w:val="nil"/>
                    <w:tr2bl w:val="nil"/>
                  </w:tcBorders>
                  <w:tcMar>
                    <w:top w:w="15" w:type="dxa"/>
                    <w:left w:w="15" w:type="dxa"/>
                    <w:right w:w="15" w:type="dxa"/>
                  </w:tcMar>
                  <w:vAlign w:val="center"/>
                </w:tcPr>
                <w:p w14:paraId="3A466DAF">
                  <w:pPr>
                    <w:pStyle w:val="12"/>
                    <w:rPr>
                      <w:rFonts w:cs="Times New Roman"/>
                      <w:color w:val="000000" w:themeColor="text1"/>
                      <w14:textFill>
                        <w14:solidFill>
                          <w14:schemeClr w14:val="tx1"/>
                        </w14:solidFill>
                      </w14:textFill>
                    </w:rPr>
                  </w:pPr>
                  <w:r>
                    <w:rPr>
                      <w:rFonts w:cs="Times New Roman"/>
                      <w:color w:val="000000" w:themeColor="text1"/>
                      <w:lang w:bidi="ar"/>
                      <w14:textFill>
                        <w14:solidFill>
                          <w14:schemeClr w14:val="tx1"/>
                        </w14:solidFill>
                      </w14:textFill>
                    </w:rPr>
                    <w:t>排放量（t/a</w:t>
                  </w:r>
                  <w:r>
                    <w:rPr>
                      <w:rFonts w:cs="Times New Roman"/>
                      <w:color w:val="000000" w:themeColor="text1"/>
                      <w:szCs w:val="21"/>
                      <w:lang w:bidi="ar"/>
                      <w14:textFill>
                        <w14:solidFill>
                          <w14:schemeClr w14:val="tx1"/>
                        </w14:solidFill>
                      </w14:textFill>
                    </w:rPr>
                    <w:t>）</w:t>
                  </w:r>
                </w:p>
              </w:tc>
              <w:tc>
                <w:tcPr>
                  <w:tcW w:w="551" w:type="pct"/>
                  <w:vMerge w:val="continue"/>
                  <w:tcBorders>
                    <w:tl2br w:val="nil"/>
                    <w:tr2bl w:val="nil"/>
                  </w:tcBorders>
                  <w:tcMar>
                    <w:top w:w="15" w:type="dxa"/>
                    <w:left w:w="15" w:type="dxa"/>
                    <w:right w:w="15" w:type="dxa"/>
                  </w:tcMar>
                  <w:vAlign w:val="center"/>
                </w:tcPr>
                <w:p w14:paraId="41822A7D">
                  <w:pPr>
                    <w:pStyle w:val="12"/>
                    <w:rPr>
                      <w:rFonts w:cs="Times New Roman"/>
                      <w:color w:val="000000" w:themeColor="text1"/>
                      <w14:textFill>
                        <w14:solidFill>
                          <w14:schemeClr w14:val="tx1"/>
                        </w14:solidFill>
                      </w14:textFill>
                    </w:rPr>
                  </w:pPr>
                </w:p>
              </w:tc>
              <w:tc>
                <w:tcPr>
                  <w:tcW w:w="712" w:type="dxa"/>
                  <w:tcBorders>
                    <w:tl2br w:val="nil"/>
                    <w:tr2bl w:val="nil"/>
                  </w:tcBorders>
                  <w:tcMar>
                    <w:top w:w="15" w:type="dxa"/>
                    <w:left w:w="15" w:type="dxa"/>
                    <w:right w:w="15" w:type="dxa"/>
                  </w:tcMar>
                  <w:vAlign w:val="center"/>
                </w:tcPr>
                <w:p w14:paraId="2CF9372C">
                  <w:pPr>
                    <w:pStyle w:val="12"/>
                    <w:rPr>
                      <w:rFonts w:hint="eastAsia"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 xml:space="preserve">0.0386 </w:t>
                  </w:r>
                </w:p>
              </w:tc>
              <w:tc>
                <w:tcPr>
                  <w:tcW w:w="896" w:type="dxa"/>
                  <w:tcBorders>
                    <w:tl2br w:val="nil"/>
                    <w:tr2bl w:val="nil"/>
                  </w:tcBorders>
                  <w:tcMar>
                    <w:top w:w="15" w:type="dxa"/>
                    <w:left w:w="15" w:type="dxa"/>
                    <w:right w:w="15" w:type="dxa"/>
                  </w:tcMar>
                  <w:vAlign w:val="center"/>
                </w:tcPr>
                <w:p w14:paraId="556D73EC">
                  <w:pPr>
                    <w:pStyle w:val="12"/>
                    <w:rPr>
                      <w:rFonts w:hint="eastAsia"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 xml:space="preserve">0.0077 </w:t>
                  </w:r>
                </w:p>
              </w:tc>
              <w:tc>
                <w:tcPr>
                  <w:tcW w:w="831" w:type="dxa"/>
                  <w:tcBorders>
                    <w:tl2br w:val="nil"/>
                    <w:tr2bl w:val="nil"/>
                  </w:tcBorders>
                  <w:tcMar>
                    <w:top w:w="15" w:type="dxa"/>
                    <w:left w:w="15" w:type="dxa"/>
                    <w:right w:w="15" w:type="dxa"/>
                  </w:tcMar>
                  <w:vAlign w:val="center"/>
                </w:tcPr>
                <w:p w14:paraId="60175590">
                  <w:pPr>
                    <w:pStyle w:val="12"/>
                    <w:rPr>
                      <w:rFonts w:hint="eastAsia"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 xml:space="preserve">0.0077 </w:t>
                  </w:r>
                </w:p>
              </w:tc>
              <w:tc>
                <w:tcPr>
                  <w:tcW w:w="770" w:type="dxa"/>
                  <w:tcBorders>
                    <w:tl2br w:val="nil"/>
                    <w:tr2bl w:val="nil"/>
                  </w:tcBorders>
                  <w:tcMar>
                    <w:top w:w="15" w:type="dxa"/>
                    <w:left w:w="15" w:type="dxa"/>
                    <w:right w:w="15" w:type="dxa"/>
                  </w:tcMar>
                  <w:vAlign w:val="center"/>
                </w:tcPr>
                <w:p w14:paraId="3BB8A018">
                  <w:pPr>
                    <w:pStyle w:val="12"/>
                    <w:rPr>
                      <w:rFonts w:hint="eastAsia"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 xml:space="preserve">0.0062 </w:t>
                  </w:r>
                </w:p>
              </w:tc>
              <w:tc>
                <w:tcPr>
                  <w:tcW w:w="874" w:type="dxa"/>
                  <w:tcBorders>
                    <w:tl2br w:val="nil"/>
                    <w:tr2bl w:val="nil"/>
                  </w:tcBorders>
                  <w:tcMar>
                    <w:top w:w="15" w:type="dxa"/>
                    <w:left w:w="15" w:type="dxa"/>
                    <w:right w:w="15" w:type="dxa"/>
                  </w:tcMar>
                  <w:vAlign w:val="center"/>
                </w:tcPr>
                <w:p w14:paraId="566D5D57">
                  <w:pPr>
                    <w:pStyle w:val="12"/>
                    <w:rPr>
                      <w:rFonts w:hint="eastAsia"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 xml:space="preserve">0.0004 </w:t>
                  </w:r>
                </w:p>
              </w:tc>
              <w:tc>
                <w:tcPr>
                  <w:tcW w:w="925" w:type="dxa"/>
                  <w:tcBorders>
                    <w:tl2br w:val="nil"/>
                    <w:tr2bl w:val="nil"/>
                  </w:tcBorders>
                  <w:vAlign w:val="center"/>
                </w:tcPr>
                <w:p w14:paraId="427E6881">
                  <w:pPr>
                    <w:pStyle w:val="12"/>
                    <w:rPr>
                      <w:rFonts w:hint="eastAsia"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 xml:space="preserve">0.0008 </w:t>
                  </w:r>
                </w:p>
              </w:tc>
            </w:tr>
            <w:tr w14:paraId="7E55A817">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5000" w:type="pct"/>
                  <w:gridSpan w:val="10"/>
                  <w:tcBorders>
                    <w:tl2br w:val="nil"/>
                    <w:tr2bl w:val="nil"/>
                  </w:tcBorders>
                  <w:tcMar>
                    <w:top w:w="15" w:type="dxa"/>
                    <w:left w:w="15" w:type="dxa"/>
                    <w:right w:w="15" w:type="dxa"/>
                  </w:tcMar>
                  <w:vAlign w:val="center"/>
                </w:tcPr>
                <w:p w14:paraId="5008FFA9">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注：</w:t>
                  </w:r>
                  <w:r>
                    <w:rPr>
                      <w:rFonts w:hint="eastAsia" w:cs="Times New Roman"/>
                      <w:color w:val="000000" w:themeColor="text1"/>
                      <w14:textFill>
                        <w14:solidFill>
                          <w14:schemeClr w14:val="tx1"/>
                        </w14:solidFill>
                      </w14:textFill>
                    </w:rPr>
                    <w:t>污水处理厂处理后</w:t>
                  </w:r>
                  <w:r>
                    <w:rPr>
                      <w:rFonts w:cs="Times New Roman"/>
                      <w:color w:val="000000" w:themeColor="text1"/>
                      <w14:textFill>
                        <w14:solidFill>
                          <w14:schemeClr w14:val="tx1"/>
                        </w14:solidFill>
                      </w14:textFill>
                    </w:rPr>
                    <w:t>执行《城镇污水处理厂污染物排放标准》（GB18918-2002）一级A标。</w:t>
                  </w:r>
                </w:p>
              </w:tc>
            </w:tr>
            <w:bookmarkEnd w:id="66"/>
            <w:bookmarkEnd w:id="67"/>
          </w:tbl>
          <w:p w14:paraId="61E13F4B">
            <w:pPr>
              <w:keepNext w:val="0"/>
              <w:keepLines w:val="0"/>
              <w:pageBreakBefore w:val="0"/>
              <w:kinsoku/>
              <w:wordWrap/>
              <w:overflowPunct/>
              <w:topLinePunct w:val="0"/>
              <w:autoSpaceDE/>
              <w:autoSpaceDN/>
              <w:bidi w:val="0"/>
              <w:spacing w:line="348" w:lineRule="auto"/>
              <w:ind w:firstLine="480"/>
              <w:textAlignment w:val="auto"/>
              <w:rPr>
                <w:rFonts w:cs="Times New Roman"/>
                <w:b/>
                <w:color w:val="000000" w:themeColor="text1"/>
                <w14:textFill>
                  <w14:solidFill>
                    <w14:schemeClr w14:val="tx1"/>
                  </w14:solidFill>
                </w14:textFill>
              </w:rPr>
            </w:pPr>
            <w:bookmarkStart w:id="68" w:name="OLE_LINK168"/>
            <w:bookmarkStart w:id="69" w:name="OLE_LINK169"/>
            <w:r>
              <w:rPr>
                <w:rFonts w:hint="eastAsia" w:cs="Times New Roman"/>
                <w:color w:val="000000" w:themeColor="text1"/>
                <w:lang w:val="en-US" w:eastAsia="zh-CN"/>
                <w14:textFill>
                  <w14:solidFill>
                    <w14:schemeClr w14:val="tx1"/>
                  </w14:solidFill>
                </w14:textFill>
              </w:rPr>
              <w:t>根据上表计算，本项目外排废水污染物浓度能够满足</w:t>
            </w:r>
            <w:r>
              <w:rPr>
                <w:rFonts w:hint="eastAsia" w:ascii="Times New Roman" w:hAnsi="Times New Roman" w:cs="Times New Roman"/>
                <w:color w:val="000000" w:themeColor="text1"/>
                <w:lang w:val="en-US" w:eastAsia="zh-CN"/>
                <w14:textFill>
                  <w14:solidFill>
                    <w14:schemeClr w14:val="tx1"/>
                  </w14:solidFill>
                </w14:textFill>
              </w:rPr>
              <w:t>星光工业园区污水处理厂进水水质要求，可排放至</w:t>
            </w:r>
            <w:r>
              <w:rPr>
                <w:rFonts w:hint="eastAsia" w:cs="Times New Roman"/>
                <w:color w:val="000000" w:themeColor="text1"/>
                <w:lang w:val="en-US" w:eastAsia="zh-CN"/>
                <w14:textFill>
                  <w14:solidFill>
                    <w14:schemeClr w14:val="tx1"/>
                  </w14:solidFill>
                </w14:textFill>
              </w:rPr>
              <w:t>星光工业园区污水处理厂进一步处理。</w:t>
            </w:r>
          </w:p>
          <w:p w14:paraId="2E796E2D">
            <w:pPr>
              <w:keepNext w:val="0"/>
              <w:keepLines w:val="0"/>
              <w:pageBreakBefore w:val="0"/>
              <w:kinsoku/>
              <w:wordWrap/>
              <w:overflowPunct/>
              <w:topLinePunct w:val="0"/>
              <w:autoSpaceDE/>
              <w:autoSpaceDN/>
              <w:bidi w:val="0"/>
              <w:spacing w:line="348" w:lineRule="auto"/>
              <w:ind w:firstLine="482"/>
              <w:textAlignment w:val="auto"/>
              <w:rPr>
                <w:rFonts w:hint="eastAsia" w:cs="Times New Roman"/>
                <w:b/>
                <w:color w:val="000000" w:themeColor="text1"/>
                <w14:textFill>
                  <w14:solidFill>
                    <w14:schemeClr w14:val="tx1"/>
                  </w14:solidFill>
                </w14:textFill>
              </w:rPr>
            </w:pPr>
            <w:r>
              <w:rPr>
                <w:rFonts w:cs="Times New Roman"/>
                <w:b/>
                <w:color w:val="000000" w:themeColor="text1"/>
                <w14:textFill>
                  <w14:solidFill>
                    <w14:schemeClr w14:val="tx1"/>
                  </w14:solidFill>
                </w14:textFill>
              </w:rPr>
              <w:t>（</w:t>
            </w:r>
            <w:r>
              <w:rPr>
                <w:rFonts w:hint="eastAsia" w:cs="Times New Roman"/>
                <w:b/>
                <w:color w:val="000000" w:themeColor="text1"/>
                <w:lang w:val="en-US" w:eastAsia="zh-CN"/>
                <w14:textFill>
                  <w14:solidFill>
                    <w14:schemeClr w14:val="tx1"/>
                  </w14:solidFill>
                </w14:textFill>
              </w:rPr>
              <w:t>9</w:t>
            </w:r>
            <w:r>
              <w:rPr>
                <w:rFonts w:cs="Times New Roman"/>
                <w:b/>
                <w:color w:val="000000" w:themeColor="text1"/>
                <w14:textFill>
                  <w14:solidFill>
                    <w14:schemeClr w14:val="tx1"/>
                  </w14:solidFill>
                </w14:textFill>
              </w:rPr>
              <w:t>）</w:t>
            </w:r>
            <w:r>
              <w:rPr>
                <w:rFonts w:hint="eastAsia" w:cs="Times New Roman"/>
                <w:b/>
                <w:color w:val="000000" w:themeColor="text1"/>
                <w14:textFill>
                  <w14:solidFill>
                    <w14:schemeClr w14:val="tx1"/>
                  </w14:solidFill>
                </w14:textFill>
              </w:rPr>
              <w:t>废水治理设施可行性分析</w:t>
            </w:r>
          </w:p>
          <w:p w14:paraId="1DAE0E27">
            <w:pPr>
              <w:keepNext w:val="0"/>
              <w:keepLines w:val="0"/>
              <w:pageBreakBefore w:val="0"/>
              <w:kinsoku/>
              <w:wordWrap/>
              <w:overflowPunct/>
              <w:topLinePunct w:val="0"/>
              <w:autoSpaceDE/>
              <w:autoSpaceDN/>
              <w:bidi w:val="0"/>
              <w:spacing w:line="348" w:lineRule="auto"/>
              <w:ind w:firstLine="482"/>
              <w:textAlignment w:val="auto"/>
              <w:rPr>
                <w:rFonts w:hint="eastAsia" w:cs="Times New Roman"/>
                <w:b/>
                <w:color w:val="000000" w:themeColor="text1"/>
                <w:lang w:val="en-US" w:eastAsia="zh-CN"/>
                <w14:textFill>
                  <w14:solidFill>
                    <w14:schemeClr w14:val="tx1"/>
                  </w14:solidFill>
                </w14:textFill>
              </w:rPr>
            </w:pPr>
            <w:r>
              <w:rPr>
                <w:rFonts w:hint="eastAsia" w:cs="Times New Roman"/>
                <w:b/>
                <w:color w:val="000000" w:themeColor="text1"/>
                <w:lang w:val="en-US" w:eastAsia="zh-CN"/>
                <w14:textFill>
                  <w14:solidFill>
                    <w14:schemeClr w14:val="tx1"/>
                  </w14:solidFill>
                </w14:textFill>
              </w:rPr>
              <w:t>1）压滤废水回用可行性分析</w:t>
            </w:r>
          </w:p>
          <w:p w14:paraId="7AD36B04">
            <w:pPr>
              <w:keepNext w:val="0"/>
              <w:keepLines w:val="0"/>
              <w:pageBreakBefore w:val="0"/>
              <w:kinsoku/>
              <w:wordWrap/>
              <w:overflowPunct/>
              <w:topLinePunct w:val="0"/>
              <w:autoSpaceDE/>
              <w:autoSpaceDN/>
              <w:bidi w:val="0"/>
              <w:spacing w:line="348" w:lineRule="auto"/>
              <w:ind w:firstLine="480"/>
              <w:textAlignment w:val="auto"/>
              <w:rPr>
                <w:rFonts w:hint="eastAsia"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本项目压滤废水主要回用于</w:t>
            </w:r>
            <w:r>
              <w:rPr>
                <w:rFonts w:hint="eastAsia" w:cs="Times New Roman"/>
                <w:color w:val="000000" w:themeColor="text1"/>
                <w:szCs w:val="21"/>
                <w:lang w:val="en-US" w:eastAsia="zh-CN"/>
                <w14:textFill>
                  <w14:solidFill>
                    <w14:schemeClr w14:val="tx1"/>
                  </w14:solidFill>
                </w14:textFill>
              </w:rPr>
              <w:t>免烧砌块</w:t>
            </w:r>
            <w:r>
              <w:rPr>
                <w:rFonts w:hint="eastAsia" w:ascii="Times New Roman" w:hAnsi="Times New Roman" w:eastAsia="宋体" w:cs="Times New Roman"/>
                <w:color w:val="000000" w:themeColor="text1"/>
                <w:szCs w:val="21"/>
                <w:lang w:val="en-US" w:eastAsia="zh-CN"/>
                <w14:textFill>
                  <w14:solidFill>
                    <w14:schemeClr w14:val="tx1"/>
                  </w14:solidFill>
                </w14:textFill>
              </w:rPr>
              <w:t>生产过程。</w:t>
            </w:r>
          </w:p>
          <w:p w14:paraId="47DA43A6">
            <w:pPr>
              <w:keepNext w:val="0"/>
              <w:keepLines w:val="0"/>
              <w:pageBreakBefore w:val="0"/>
              <w:kinsoku/>
              <w:wordWrap/>
              <w:overflowPunct/>
              <w:topLinePunct w:val="0"/>
              <w:autoSpaceDE/>
              <w:autoSpaceDN/>
              <w:bidi w:val="0"/>
              <w:spacing w:line="348" w:lineRule="auto"/>
              <w:ind w:firstLine="480"/>
              <w:textAlignment w:val="auto"/>
              <w:rPr>
                <w:rFonts w:hint="eastAsia"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本项目水基岩屑（80%）预处理过程投机絮凝剂，沉淀后通过压滤机脱水，相当于对水基岩屑泥浆进行了一道混凝沉淀工序，大部分污染物组分在絮凝沉淀及压滤过程中进入压滤后的泥饼中（含水率35%的水基岩屑），压滤废水为处理后的上清液，通过调节pH后可用于生产。</w:t>
            </w:r>
          </w:p>
          <w:p w14:paraId="1EF0CF02">
            <w:pPr>
              <w:keepNext w:val="0"/>
              <w:keepLines w:val="0"/>
              <w:pageBreakBefore w:val="0"/>
              <w:kinsoku/>
              <w:wordWrap/>
              <w:overflowPunct/>
              <w:topLinePunct w:val="0"/>
              <w:autoSpaceDE/>
              <w:autoSpaceDN/>
              <w:bidi w:val="0"/>
              <w:spacing w:line="348" w:lineRule="auto"/>
              <w:ind w:firstLine="480"/>
              <w:textAlignment w:val="auto"/>
              <w:rPr>
                <w:rFonts w:hint="eastAsia"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免烧砌块生产过程中，对水质有一定要求，但本项目压滤废水中不含有会影响建材性能的有毒有害物质，有机物含量较低，根据建设单位考察了解多个水基岩屑综合利用项目，压滤废水能够满足免烧砌块生产需求，不会对产品质量造成明显影响。</w:t>
            </w:r>
          </w:p>
          <w:p w14:paraId="69F9CECD">
            <w:pPr>
              <w:keepNext w:val="0"/>
              <w:keepLines w:val="0"/>
              <w:pageBreakBefore w:val="0"/>
              <w:widowControl/>
              <w:suppressLineNumbers w:val="0"/>
              <w:kinsoku/>
              <w:wordWrap/>
              <w:overflowPunct/>
              <w:topLinePunct w:val="0"/>
              <w:autoSpaceDE/>
              <w:autoSpaceDN/>
              <w:bidi w:val="0"/>
              <w:spacing w:line="348" w:lineRule="auto"/>
              <w:jc w:val="left"/>
              <w:textAlignment w:val="auto"/>
              <w:rPr>
                <w:rFonts w:hint="eastAsia" w:ascii="宋体" w:hAnsi="宋体" w:eastAsia="宋体" w:cs="宋体"/>
                <w:color w:val="000000" w:themeColor="text1"/>
                <w:kern w:val="0"/>
                <w:sz w:val="24"/>
                <w:szCs w:val="24"/>
                <w:lang w:val="en-US" w:eastAsia="zh-CN" w:bidi="ar"/>
                <w14:textFill>
                  <w14:solidFill>
                    <w14:schemeClr w14:val="tx1"/>
                  </w14:solidFill>
                </w14:textFill>
              </w:rPr>
            </w:pPr>
            <w:r>
              <w:rPr>
                <w:rFonts w:hint="eastAsia" w:cs="Times New Roman"/>
                <w:color w:val="000000" w:themeColor="text1"/>
                <w:lang w:val="en-US" w:eastAsia="zh-CN"/>
                <w14:textFill>
                  <w14:solidFill>
                    <w14:schemeClr w14:val="tx1"/>
                  </w14:solidFill>
                </w14:textFill>
              </w:rPr>
              <w:t>压滤废水产生量较大（46285.6t/a），远大于回用需求量（6435t/a），能够满足回用需求。压滤废水的回用</w:t>
            </w:r>
            <w:r>
              <w:rPr>
                <w:rFonts w:hint="eastAsia" w:ascii="宋体" w:hAnsi="宋体" w:eastAsia="宋体" w:cs="宋体"/>
                <w:color w:val="000000" w:themeColor="text1"/>
                <w:kern w:val="0"/>
                <w:sz w:val="24"/>
                <w:szCs w:val="24"/>
                <w:lang w:val="en-US" w:eastAsia="zh-CN" w:bidi="ar"/>
                <w14:textFill>
                  <w14:solidFill>
                    <w14:schemeClr w14:val="tx1"/>
                  </w14:solidFill>
                </w14:textFill>
              </w:rPr>
              <w:t>能够提高废水的循环使用率，减少用水量，降低生产成本，降低水资源消耗，并降低对区域地表水环境的影响。</w:t>
            </w:r>
          </w:p>
          <w:p w14:paraId="536B0137">
            <w:pPr>
              <w:keepNext w:val="0"/>
              <w:keepLines w:val="0"/>
              <w:pageBreakBefore w:val="0"/>
              <w:widowControl/>
              <w:suppressLineNumbers w:val="0"/>
              <w:kinsoku/>
              <w:wordWrap/>
              <w:overflowPunct/>
              <w:topLinePunct w:val="0"/>
              <w:autoSpaceDE/>
              <w:autoSpaceDN/>
              <w:bidi w:val="0"/>
              <w:spacing w:line="348" w:lineRule="auto"/>
              <w:jc w:val="left"/>
              <w:textAlignment w:val="auto"/>
              <w:rPr>
                <w:rFonts w:hint="eastAsia"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综上，本项目压滤废水部分回用可行。</w:t>
            </w:r>
          </w:p>
          <w:p w14:paraId="0B022A35">
            <w:pPr>
              <w:keepNext w:val="0"/>
              <w:keepLines w:val="0"/>
              <w:pageBreakBefore w:val="0"/>
              <w:numPr>
                <w:ilvl w:val="0"/>
                <w:numId w:val="9"/>
              </w:numPr>
              <w:kinsoku/>
              <w:wordWrap/>
              <w:overflowPunct/>
              <w:topLinePunct w:val="0"/>
              <w:autoSpaceDE/>
              <w:autoSpaceDN/>
              <w:bidi w:val="0"/>
              <w:spacing w:line="348" w:lineRule="auto"/>
              <w:ind w:firstLine="482"/>
              <w:textAlignment w:val="auto"/>
              <w:rPr>
                <w:rFonts w:hint="eastAsia" w:cs="Times New Roman"/>
                <w:b/>
                <w:color w:val="000000" w:themeColor="text1"/>
                <w:lang w:val="en-US" w:eastAsia="zh-CN"/>
                <w14:textFill>
                  <w14:solidFill>
                    <w14:schemeClr w14:val="tx1"/>
                  </w14:solidFill>
                </w14:textFill>
              </w:rPr>
            </w:pPr>
            <w:r>
              <w:rPr>
                <w:rFonts w:hint="eastAsia" w:cs="Times New Roman"/>
                <w:b/>
                <w:color w:val="000000" w:themeColor="text1"/>
                <w:lang w:val="en-US" w:eastAsia="zh-CN"/>
                <w14:textFill>
                  <w14:solidFill>
                    <w14:schemeClr w14:val="tx1"/>
                  </w14:solidFill>
                </w14:textFill>
              </w:rPr>
              <w:t>滤液池内废水委托处置可行性分析</w:t>
            </w:r>
          </w:p>
          <w:p w14:paraId="3D17F6CB">
            <w:pPr>
              <w:keepNext w:val="0"/>
              <w:keepLines w:val="0"/>
              <w:pageBreakBefore w:val="0"/>
              <w:numPr>
                <w:ilvl w:val="0"/>
                <w:numId w:val="0"/>
              </w:numPr>
              <w:kinsoku/>
              <w:wordWrap/>
              <w:overflowPunct/>
              <w:topLinePunct w:val="0"/>
              <w:autoSpaceDE/>
              <w:autoSpaceDN/>
              <w:bidi w:val="0"/>
              <w:spacing w:line="348" w:lineRule="auto"/>
              <w:ind w:firstLine="480" w:firstLineChars="200"/>
              <w:textAlignment w:val="auto"/>
              <w:rPr>
                <w:rFonts w:hint="default" w:cs="Times New Roman"/>
                <w:b w:val="0"/>
                <w:bCs/>
                <w:color w:val="000000" w:themeColor="text1"/>
                <w:lang w:val="en-US" w:eastAsia="zh-CN"/>
                <w14:textFill>
                  <w14:solidFill>
                    <w14:schemeClr w14:val="tx1"/>
                  </w14:solidFill>
                </w14:textFill>
              </w:rPr>
            </w:pPr>
            <w:r>
              <w:rPr>
                <w:rFonts w:hint="eastAsia" w:cs="Times New Roman"/>
                <w:b w:val="0"/>
                <w:bCs/>
                <w:color w:val="000000" w:themeColor="text1"/>
                <w:lang w:val="en-US" w:eastAsia="zh-CN"/>
                <w14:textFill>
                  <w14:solidFill>
                    <w14:schemeClr w14:val="tx1"/>
                  </w14:solidFill>
                </w14:textFill>
              </w:rPr>
              <w:t>本项目部分渗滤液回用，剩余部分委托四川洁安环境科技有限公司处理。四川洁安环境科技有限公</w:t>
            </w:r>
            <w:r>
              <w:rPr>
                <w:rFonts w:hint="default" w:ascii="Times New Roman" w:hAnsi="Times New Roman" w:cs="Times New Roman"/>
                <w:b w:val="0"/>
                <w:bCs/>
                <w:color w:val="000000" w:themeColor="text1"/>
                <w:lang w:val="en-US" w:eastAsia="zh-CN"/>
                <w14:textFill>
                  <w14:solidFill>
                    <w14:schemeClr w14:val="tx1"/>
                  </w14:solidFill>
                </w14:textFill>
              </w:rPr>
              <w:t>司2023年取得了《关于油气田废水处理厂建设项目环境影响报告书的批复》（巴环境审</w:t>
            </w:r>
            <w:r>
              <w:rPr>
                <w:rFonts w:hint="default" w:ascii="Times New Roman" w:hAnsi="Times New Roman" w:eastAsia="宋体" w:cs="Times New Roman"/>
                <w:b w:val="0"/>
                <w:bCs/>
                <w:color w:val="000000" w:themeColor="text1"/>
                <w:lang w:val="en-US" w:eastAsia="zh-CN"/>
                <w14:textFill>
                  <w14:solidFill>
                    <w14:schemeClr w14:val="tx1"/>
                  </w14:solidFill>
                </w14:textFill>
              </w:rPr>
              <w:t>〔2023〕18号</w:t>
            </w:r>
            <w:r>
              <w:rPr>
                <w:rFonts w:hint="default" w:ascii="Times New Roman" w:hAnsi="Times New Roman" w:cs="Times New Roman"/>
                <w:b w:val="0"/>
                <w:bCs/>
                <w:color w:val="000000" w:themeColor="text1"/>
                <w:lang w:val="en-US" w:eastAsia="zh-CN"/>
                <w14:textFill>
                  <w14:solidFill>
                    <w14:schemeClr w14:val="tx1"/>
                  </w14:solidFill>
                </w14:textFill>
              </w:rPr>
              <w:t>），</w:t>
            </w:r>
            <w:r>
              <w:rPr>
                <w:rFonts w:hint="eastAsia" w:cs="Times New Roman"/>
                <w:b w:val="0"/>
                <w:bCs/>
                <w:color w:val="000000" w:themeColor="text1"/>
                <w:lang w:val="en-US" w:eastAsia="zh-CN"/>
                <w14:textFill>
                  <w14:solidFill>
                    <w14:schemeClr w14:val="tx1"/>
                  </w14:solidFill>
                </w14:textFill>
              </w:rPr>
              <w:t>主要建设内容为：建设油气田废水处理厂项目，占地10亩，处理规模为1200m</w:t>
            </w:r>
            <w:r>
              <w:rPr>
                <w:rFonts w:hint="eastAsia" w:cs="Times New Roman"/>
                <w:b w:val="0"/>
                <w:bCs/>
                <w:color w:val="000000" w:themeColor="text1"/>
                <w:vertAlign w:val="superscript"/>
                <w:lang w:val="en-US" w:eastAsia="zh-CN"/>
                <w14:textFill>
                  <w14:solidFill>
                    <w14:schemeClr w14:val="tx1"/>
                  </w14:solidFill>
                </w14:textFill>
              </w:rPr>
              <w:t>3</w:t>
            </w:r>
            <w:r>
              <w:rPr>
                <w:rFonts w:hint="eastAsia" w:cs="Times New Roman"/>
                <w:b w:val="0"/>
                <w:bCs/>
                <w:color w:val="000000" w:themeColor="text1"/>
                <w:lang w:val="en-US" w:eastAsia="zh-CN"/>
                <w14:textFill>
                  <w14:solidFill>
                    <w14:schemeClr w14:val="tx1"/>
                  </w14:solidFill>
                </w14:textFill>
              </w:rPr>
              <w:t>/d（600m</w:t>
            </w:r>
            <w:r>
              <w:rPr>
                <w:rFonts w:hint="eastAsia" w:cs="Times New Roman"/>
                <w:b w:val="0"/>
                <w:bCs/>
                <w:color w:val="000000" w:themeColor="text1"/>
                <w:vertAlign w:val="superscript"/>
                <w:lang w:val="en-US" w:eastAsia="zh-CN"/>
                <w14:textFill>
                  <w14:solidFill>
                    <w14:schemeClr w14:val="tx1"/>
                  </w14:solidFill>
                </w14:textFill>
              </w:rPr>
              <w:t>3</w:t>
            </w:r>
            <w:r>
              <w:rPr>
                <w:rFonts w:hint="eastAsia" w:cs="Times New Roman"/>
                <w:b w:val="0"/>
                <w:bCs/>
                <w:color w:val="000000" w:themeColor="text1"/>
                <w:lang w:val="en-US" w:eastAsia="zh-CN"/>
                <w14:textFill>
                  <w14:solidFill>
                    <w14:schemeClr w14:val="tx1"/>
                  </w14:solidFill>
                </w14:textFill>
              </w:rPr>
              <w:t>/d回注处理，600m</w:t>
            </w:r>
            <w:r>
              <w:rPr>
                <w:rFonts w:hint="eastAsia" w:cs="Times New Roman"/>
                <w:b w:val="0"/>
                <w:bCs/>
                <w:color w:val="000000" w:themeColor="text1"/>
                <w:vertAlign w:val="superscript"/>
                <w:lang w:val="en-US" w:eastAsia="zh-CN"/>
                <w14:textFill>
                  <w14:solidFill>
                    <w14:schemeClr w14:val="tx1"/>
                  </w14:solidFill>
                </w14:textFill>
              </w:rPr>
              <w:t>3</w:t>
            </w:r>
            <w:r>
              <w:rPr>
                <w:rFonts w:hint="eastAsia" w:cs="Times New Roman"/>
                <w:b w:val="0"/>
                <w:bCs/>
                <w:color w:val="000000" w:themeColor="text1"/>
                <w:lang w:val="en-US" w:eastAsia="zh-CN"/>
                <w14:textFill>
                  <w14:solidFill>
                    <w14:schemeClr w14:val="tx1"/>
                  </w14:solidFill>
                </w14:textFill>
              </w:rPr>
              <w:t>/d深度处理），处理对象为油气田井压裂液、饭排水等油气田废水，不得将钻井岩屑、废弃钻井泥浆及滤液混入油气田废水处理。处理工艺为“含油废水一调节隔油一溶气气浮一混凝沉淀一两级过滤一高级氧化一超滤一多级反渗透一（浓水）浓缩蒸发结晶产盐一（淡水）精制反渗透产水达标排放，处理后出水水质达到《城镇污水处理厂污染物排放标准》(GB18918-2002)中一级A标准（其中氯化物出水限值350mg/L）后，经园区排污口外排巴河。其处理废水水质与本项目水质基本一致，且满足本项目废水处理需求量。因此，本项目委托四川洁安环境科技有限公司处理本项目的渗滤液是可行的。</w:t>
            </w:r>
          </w:p>
          <w:p w14:paraId="041605BD">
            <w:pPr>
              <w:keepNext w:val="0"/>
              <w:keepLines w:val="0"/>
              <w:pageBreakBefore w:val="0"/>
              <w:kinsoku/>
              <w:wordWrap/>
              <w:overflowPunct/>
              <w:topLinePunct w:val="0"/>
              <w:autoSpaceDE/>
              <w:autoSpaceDN/>
              <w:bidi w:val="0"/>
              <w:spacing w:line="348" w:lineRule="auto"/>
              <w:ind w:firstLine="482"/>
              <w:textAlignment w:val="auto"/>
              <w:rPr>
                <w:rFonts w:hint="eastAsia" w:cs="Times New Roman"/>
                <w:b/>
                <w:color w:val="000000" w:themeColor="text1"/>
                <w:lang w:val="en-US" w:eastAsia="zh-CN"/>
                <w14:textFill>
                  <w14:solidFill>
                    <w14:schemeClr w14:val="tx1"/>
                  </w14:solidFill>
                </w14:textFill>
              </w:rPr>
            </w:pPr>
            <w:r>
              <w:rPr>
                <w:rFonts w:hint="eastAsia" w:cs="Times New Roman"/>
                <w:b/>
                <w:color w:val="000000" w:themeColor="text1"/>
                <w:lang w:val="en-US" w:eastAsia="zh-CN"/>
                <w14:textFill>
                  <w14:solidFill>
                    <w14:schemeClr w14:val="tx1"/>
                  </w14:solidFill>
                </w14:textFill>
              </w:rPr>
              <w:t>3）生活污水依托已建预处理池可行性分析</w:t>
            </w:r>
          </w:p>
          <w:p w14:paraId="46F3BFAD">
            <w:pPr>
              <w:keepNext w:val="0"/>
              <w:keepLines w:val="0"/>
              <w:pageBreakBefore w:val="0"/>
              <w:kinsoku/>
              <w:wordWrap/>
              <w:overflowPunct/>
              <w:topLinePunct w:val="0"/>
              <w:autoSpaceDE/>
              <w:autoSpaceDN/>
              <w:bidi w:val="0"/>
              <w:spacing w:line="348" w:lineRule="auto"/>
              <w:ind w:firstLine="480"/>
              <w:textAlignment w:val="auto"/>
              <w:rPr>
                <w:rFonts w:hint="eastAsia"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本项目生活污水依托厂区预处理池处理后，排入园区污水管网，送星光工业园区污水处理厂处理。</w:t>
            </w:r>
          </w:p>
          <w:p w14:paraId="68BAC82F">
            <w:pPr>
              <w:keepNext w:val="0"/>
              <w:keepLines w:val="0"/>
              <w:pageBreakBefore w:val="0"/>
              <w:kinsoku/>
              <w:wordWrap/>
              <w:overflowPunct/>
              <w:topLinePunct w:val="0"/>
              <w:autoSpaceDE/>
              <w:autoSpaceDN/>
              <w:bidi w:val="0"/>
              <w:spacing w:line="348" w:lineRule="auto"/>
              <w:ind w:firstLine="480"/>
              <w:textAlignment w:val="auto"/>
              <w:rPr>
                <w:rFonts w:hint="eastAsia" w:cs="Times New Roman"/>
                <w:color w:val="000000" w:themeColor="text1"/>
                <w:szCs w:val="21"/>
                <w:lang w:val="en-US" w:eastAsia="zh-CN"/>
                <w14:textFill>
                  <w14:solidFill>
                    <w14:schemeClr w14:val="tx1"/>
                  </w14:solidFill>
                </w14:textFill>
              </w:rPr>
            </w:pPr>
            <w:r>
              <w:rPr>
                <w:rFonts w:cs="Times New Roman"/>
                <w:color w:val="000000" w:themeColor="text1"/>
                <w:szCs w:val="21"/>
                <w14:textFill>
                  <w14:solidFill>
                    <w14:schemeClr w14:val="tx1"/>
                  </w14:solidFill>
                </w14:textFill>
              </w:rPr>
              <w:t>本项目租用已建厂房进行生产，据调查，租赁厂房所在</w:t>
            </w:r>
            <w:r>
              <w:rPr>
                <w:rFonts w:cs="Times New Roman"/>
                <w:color w:val="000000" w:themeColor="text1"/>
                <w14:textFill>
                  <w14:solidFill>
                    <w14:schemeClr w14:val="tx1"/>
                  </w14:solidFill>
                </w14:textFill>
              </w:rPr>
              <w:t>厂区</w:t>
            </w:r>
            <w:r>
              <w:rPr>
                <w:rFonts w:cs="Times New Roman"/>
                <w:color w:val="000000" w:themeColor="text1"/>
                <w:szCs w:val="21"/>
                <w14:textFill>
                  <w14:solidFill>
                    <w14:schemeClr w14:val="tx1"/>
                  </w14:solidFill>
                </w14:textFill>
              </w:rPr>
              <w:t>已建一座预处理池，处理能力约为</w:t>
            </w:r>
            <w:r>
              <w:rPr>
                <w:rFonts w:hint="eastAsia" w:cs="Times New Roman"/>
                <w:color w:val="000000" w:themeColor="text1"/>
                <w:szCs w:val="21"/>
                <w:lang w:val="en-US" w:eastAsia="zh-CN"/>
                <w14:textFill>
                  <w14:solidFill>
                    <w14:schemeClr w14:val="tx1"/>
                  </w14:solidFill>
                </w14:textFill>
              </w:rPr>
              <w:t>1</w:t>
            </w:r>
            <w:r>
              <w:rPr>
                <w:rFonts w:cs="Times New Roman"/>
                <w:color w:val="000000" w:themeColor="text1"/>
                <w:szCs w:val="21"/>
                <w14:textFill>
                  <w14:solidFill>
                    <w14:schemeClr w14:val="tx1"/>
                  </w14:solidFill>
                </w14:textFill>
              </w:rPr>
              <w:t>0m</w:t>
            </w:r>
            <w:r>
              <w:rPr>
                <w:rFonts w:cs="Times New Roman"/>
                <w:color w:val="000000" w:themeColor="text1"/>
                <w:szCs w:val="21"/>
                <w:vertAlign w:val="superscript"/>
                <w14:textFill>
                  <w14:solidFill>
                    <w14:schemeClr w14:val="tx1"/>
                  </w14:solidFill>
                </w14:textFill>
              </w:rPr>
              <w:t>3</w:t>
            </w:r>
            <w:r>
              <w:rPr>
                <w:rFonts w:cs="Times New Roman"/>
                <w:color w:val="000000" w:themeColor="text1"/>
                <w:szCs w:val="21"/>
                <w14:textFill>
                  <w14:solidFill>
                    <w14:schemeClr w14:val="tx1"/>
                  </w14:solidFill>
                </w14:textFill>
              </w:rPr>
              <w:t>/d，</w:t>
            </w:r>
            <w:r>
              <w:rPr>
                <w:rFonts w:hint="eastAsia" w:cs="Times New Roman"/>
                <w:color w:val="000000" w:themeColor="text1"/>
                <w:szCs w:val="21"/>
                <w:lang w:val="en-US" w:eastAsia="zh-CN"/>
                <w14:textFill>
                  <w14:solidFill>
                    <w14:schemeClr w14:val="tx1"/>
                  </w14:solidFill>
                </w14:textFill>
              </w:rPr>
              <w:t>位于宿舍楼旁，地埋式设置。厂区内已建设较为完善的污水管线，并于厂区西北侧设置1个污水总排口，连接至园区污水管网。</w:t>
            </w:r>
          </w:p>
          <w:p w14:paraId="183BA5FD">
            <w:pPr>
              <w:keepNext w:val="0"/>
              <w:keepLines w:val="0"/>
              <w:pageBreakBefore w:val="0"/>
              <w:widowControl/>
              <w:suppressLineNumbers w:val="0"/>
              <w:kinsoku/>
              <w:wordWrap/>
              <w:overflowPunct/>
              <w:topLinePunct w:val="0"/>
              <w:autoSpaceDE/>
              <w:autoSpaceDN/>
              <w:bidi w:val="0"/>
              <w:spacing w:line="348" w:lineRule="auto"/>
              <w:jc w:val="left"/>
              <w:textAlignment w:val="auto"/>
              <w:rPr>
                <w:rFonts w:hint="eastAsia" w:ascii="Times New Roman" w:hAnsi="Times New Roman" w:eastAsia="宋体" w:cs="Times New Roman"/>
                <w:color w:val="000000" w:themeColor="text1"/>
                <w:szCs w:val="21"/>
                <w:lang w:val="en-US" w:eastAsia="zh-CN"/>
                <w14:textFill>
                  <w14:solidFill>
                    <w14:schemeClr w14:val="tx1"/>
                  </w14:solidFill>
                </w14:textFill>
              </w:rPr>
            </w:pPr>
            <w:r>
              <w:rPr>
                <w:rFonts w:cs="Times New Roman"/>
                <w:color w:val="000000" w:themeColor="text1"/>
                <w:szCs w:val="21"/>
                <w14:textFill>
                  <w14:solidFill>
                    <w14:schemeClr w14:val="tx1"/>
                  </w14:solidFill>
                </w14:textFill>
              </w:rPr>
              <w:t>现状</w:t>
            </w:r>
            <w:r>
              <w:rPr>
                <w:rFonts w:hint="eastAsia" w:cs="Times New Roman"/>
                <w:color w:val="000000" w:themeColor="text1"/>
                <w:szCs w:val="21"/>
                <w:lang w:val="en-US" w:eastAsia="zh-CN"/>
                <w14:textFill>
                  <w14:solidFill>
                    <w14:schemeClr w14:val="tx1"/>
                  </w14:solidFill>
                </w14:textFill>
              </w:rPr>
              <w:t>厂区内</w:t>
            </w:r>
            <w:r>
              <w:rPr>
                <w:rFonts w:hint="eastAsia" w:ascii="Times New Roman" w:hAnsi="Times New Roman" w:eastAsia="宋体" w:cs="Times New Roman"/>
                <w:color w:val="000000" w:themeColor="text1"/>
                <w:szCs w:val="21"/>
                <w:lang w:val="en-US" w:eastAsia="zh-CN"/>
                <w14:textFill>
                  <w14:solidFill>
                    <w14:schemeClr w14:val="tx1"/>
                  </w14:solidFill>
                </w14:textFill>
              </w:rPr>
              <w:t>已有四川三科共兴再生资源有限公司、海博瑞四川智能包装有限公司在进行生产，已建</w:t>
            </w:r>
            <w:r>
              <w:rPr>
                <w:rFonts w:hint="eastAsia" w:cs="Times New Roman"/>
                <w:color w:val="000000" w:themeColor="text1"/>
                <w:szCs w:val="21"/>
                <w:lang w:val="en-US" w:eastAsia="zh-CN"/>
                <w14:textFill>
                  <w14:solidFill>
                    <w14:schemeClr w14:val="tx1"/>
                  </w14:solidFill>
                </w14:textFill>
              </w:rPr>
              <w:t>预处</w:t>
            </w:r>
            <w:r>
              <w:rPr>
                <w:rFonts w:hint="eastAsia" w:ascii="Times New Roman" w:hAnsi="Times New Roman" w:eastAsia="宋体" w:cs="Times New Roman"/>
                <w:color w:val="000000" w:themeColor="text1"/>
                <w:szCs w:val="21"/>
                <w:lang w:val="en-US" w:eastAsia="zh-CN"/>
                <w14:textFill>
                  <w14:solidFill>
                    <w14:schemeClr w14:val="tx1"/>
                  </w14:solidFill>
                </w14:textFill>
              </w:rPr>
              <w:t>理池处理两个公司的人员生活污水，据调查，厂内现有2家企业均未设置食堂，总计员工人数约30人。</w:t>
            </w:r>
          </w:p>
          <w:p w14:paraId="4E0F335D">
            <w:pPr>
              <w:keepNext w:val="0"/>
              <w:keepLines w:val="0"/>
              <w:pageBreakBefore w:val="0"/>
              <w:widowControl/>
              <w:suppressLineNumbers w:val="0"/>
              <w:kinsoku/>
              <w:wordWrap/>
              <w:overflowPunct/>
              <w:topLinePunct w:val="0"/>
              <w:autoSpaceDE/>
              <w:autoSpaceDN/>
              <w:bidi w:val="0"/>
              <w:spacing w:line="348" w:lineRule="auto"/>
              <w:jc w:val="left"/>
              <w:textAlignment w:val="auto"/>
              <w:rPr>
                <w:rFonts w:hint="eastAsia" w:ascii="Times New Roman" w:hAnsi="Times New Roman" w:eastAsia="宋体" w:cs="Times New Roman"/>
                <w:color w:val="000000" w:themeColor="text1"/>
                <w:szCs w:val="21"/>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参考《四川省用水定额》，结合不设食堂情况，现有2家企业员工生活用水量约100L/</w:t>
            </w:r>
            <w:r>
              <w:rPr>
                <w:rFonts w:hint="eastAsia" w:ascii="Times New Roman" w:hAnsi="Times New Roman" w:eastAsia="宋体" w:cs="Times New Roman"/>
                <w:color w:val="000000" w:themeColor="text1"/>
                <w:szCs w:val="21"/>
                <w:vertAlign w:val="baseline"/>
                <w:lang w:val="en-US" w:eastAsia="zh-CN"/>
                <w14:textFill>
                  <w14:solidFill>
                    <w14:schemeClr w14:val="tx1"/>
                  </w14:solidFill>
                </w14:textFill>
              </w:rPr>
              <w:t>d·人，总计生活用水量约3m</w:t>
            </w:r>
            <w:r>
              <w:rPr>
                <w:rFonts w:hint="eastAsia" w:ascii="Times New Roman" w:hAnsi="Times New Roman" w:eastAsia="宋体" w:cs="Times New Roman"/>
                <w:color w:val="000000" w:themeColor="text1"/>
                <w:szCs w:val="21"/>
                <w:vertAlign w:val="superscript"/>
                <w:lang w:val="en-US" w:eastAsia="zh-CN"/>
                <w14:textFill>
                  <w14:solidFill>
                    <w14:schemeClr w14:val="tx1"/>
                  </w14:solidFill>
                </w14:textFill>
              </w:rPr>
              <w:t>3</w:t>
            </w:r>
            <w:r>
              <w:rPr>
                <w:rFonts w:hint="eastAsia" w:ascii="Times New Roman" w:hAnsi="Times New Roman" w:eastAsia="宋体" w:cs="Times New Roman"/>
                <w:color w:val="000000" w:themeColor="text1"/>
                <w:szCs w:val="21"/>
                <w:vertAlign w:val="baseline"/>
                <w:lang w:val="en-US" w:eastAsia="zh-CN"/>
                <w14:textFill>
                  <w14:solidFill>
                    <w14:schemeClr w14:val="tx1"/>
                  </w14:solidFill>
                </w14:textFill>
              </w:rPr>
              <w:t>/d，按照产污系数0.9计，现状排入预处理池的生活污水量约2.7m</w:t>
            </w:r>
            <w:r>
              <w:rPr>
                <w:rFonts w:hint="eastAsia" w:ascii="Times New Roman" w:hAnsi="Times New Roman" w:eastAsia="宋体" w:cs="Times New Roman"/>
                <w:color w:val="000000" w:themeColor="text1"/>
                <w:szCs w:val="21"/>
                <w:vertAlign w:val="superscript"/>
                <w:lang w:val="en-US" w:eastAsia="zh-CN"/>
                <w14:textFill>
                  <w14:solidFill>
                    <w14:schemeClr w14:val="tx1"/>
                  </w14:solidFill>
                </w14:textFill>
              </w:rPr>
              <w:t>3</w:t>
            </w:r>
            <w:r>
              <w:rPr>
                <w:rFonts w:hint="eastAsia" w:ascii="Times New Roman" w:hAnsi="Times New Roman" w:eastAsia="宋体" w:cs="Times New Roman"/>
                <w:color w:val="000000" w:themeColor="text1"/>
                <w:szCs w:val="21"/>
                <w:vertAlign w:val="baseline"/>
                <w:lang w:val="en-US" w:eastAsia="zh-CN"/>
                <w14:textFill>
                  <w14:solidFill>
                    <w14:schemeClr w14:val="tx1"/>
                  </w14:solidFill>
                </w14:textFill>
              </w:rPr>
              <w:t>/d。</w:t>
            </w:r>
          </w:p>
          <w:p w14:paraId="64DE5073">
            <w:pPr>
              <w:keepNext w:val="0"/>
              <w:keepLines w:val="0"/>
              <w:pageBreakBefore w:val="0"/>
              <w:widowControl/>
              <w:suppressLineNumbers w:val="0"/>
              <w:kinsoku/>
              <w:wordWrap/>
              <w:overflowPunct/>
              <w:topLinePunct w:val="0"/>
              <w:autoSpaceDE/>
              <w:autoSpaceDN/>
              <w:bidi w:val="0"/>
              <w:spacing w:line="348" w:lineRule="auto"/>
              <w:jc w:val="left"/>
              <w:textAlignment w:val="auto"/>
              <w:rPr>
                <w:rFonts w:hint="eastAsia" w:ascii="Times New Roman" w:hAnsi="Times New Roman" w:eastAsia="宋体" w:cs="Times New Roman"/>
                <w:color w:val="000000" w:themeColor="text1"/>
                <w:szCs w:val="21"/>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Cs w:val="21"/>
                <w:vertAlign w:val="baseline"/>
                <w:lang w:val="en-US" w:eastAsia="zh-CN"/>
                <w14:textFill>
                  <w14:solidFill>
                    <w14:schemeClr w14:val="tx1"/>
                  </w14:solidFill>
                </w14:textFill>
              </w:rPr>
              <w:t>按照预处理停留时间不小于24h计，现状预处理池处理水量为2.7m</w:t>
            </w:r>
            <w:r>
              <w:rPr>
                <w:rFonts w:hint="eastAsia" w:ascii="Times New Roman" w:hAnsi="Times New Roman" w:eastAsia="宋体" w:cs="Times New Roman"/>
                <w:color w:val="000000" w:themeColor="text1"/>
                <w:szCs w:val="21"/>
                <w:vertAlign w:val="superscript"/>
                <w:lang w:val="en-US" w:eastAsia="zh-CN"/>
                <w14:textFill>
                  <w14:solidFill>
                    <w14:schemeClr w14:val="tx1"/>
                  </w14:solidFill>
                </w14:textFill>
              </w:rPr>
              <w:t>3</w:t>
            </w:r>
            <w:r>
              <w:rPr>
                <w:rFonts w:hint="eastAsia" w:ascii="Times New Roman" w:hAnsi="Times New Roman" w:eastAsia="宋体" w:cs="Times New Roman"/>
                <w:color w:val="000000" w:themeColor="text1"/>
                <w:szCs w:val="21"/>
                <w:vertAlign w:val="baseline"/>
                <w:lang w:val="en-US" w:eastAsia="zh-CN"/>
                <w14:textFill>
                  <w14:solidFill>
                    <w14:schemeClr w14:val="tx1"/>
                  </w14:solidFill>
                </w14:textFill>
              </w:rPr>
              <w:t>/d，冗余处理能力为7.3m</w:t>
            </w:r>
            <w:r>
              <w:rPr>
                <w:rFonts w:hint="eastAsia" w:ascii="Times New Roman" w:hAnsi="Times New Roman" w:eastAsia="宋体" w:cs="Times New Roman"/>
                <w:color w:val="000000" w:themeColor="text1"/>
                <w:szCs w:val="21"/>
                <w:vertAlign w:val="superscript"/>
                <w:lang w:val="en-US" w:eastAsia="zh-CN"/>
                <w14:textFill>
                  <w14:solidFill>
                    <w14:schemeClr w14:val="tx1"/>
                  </w14:solidFill>
                </w14:textFill>
              </w:rPr>
              <w:t>3</w:t>
            </w:r>
            <w:r>
              <w:rPr>
                <w:rFonts w:hint="eastAsia" w:ascii="Times New Roman" w:hAnsi="Times New Roman" w:eastAsia="宋体" w:cs="Times New Roman"/>
                <w:color w:val="000000" w:themeColor="text1"/>
                <w:szCs w:val="21"/>
                <w:vertAlign w:val="baseline"/>
                <w:lang w:val="en-US" w:eastAsia="zh-CN"/>
                <w14:textFill>
                  <w14:solidFill>
                    <w14:schemeClr w14:val="tx1"/>
                  </w14:solidFill>
                </w14:textFill>
              </w:rPr>
              <w:t>/d，本项目新增生活污水量为2.34m</w:t>
            </w:r>
            <w:r>
              <w:rPr>
                <w:rFonts w:hint="eastAsia" w:ascii="Times New Roman" w:hAnsi="Times New Roman" w:eastAsia="宋体" w:cs="Times New Roman"/>
                <w:color w:val="000000" w:themeColor="text1"/>
                <w:szCs w:val="21"/>
                <w:vertAlign w:val="superscript"/>
                <w:lang w:val="en-US" w:eastAsia="zh-CN"/>
                <w14:textFill>
                  <w14:solidFill>
                    <w14:schemeClr w14:val="tx1"/>
                  </w14:solidFill>
                </w14:textFill>
              </w:rPr>
              <w:t>3</w:t>
            </w:r>
            <w:r>
              <w:rPr>
                <w:rFonts w:hint="eastAsia" w:ascii="Times New Roman" w:hAnsi="Times New Roman" w:eastAsia="宋体" w:cs="Times New Roman"/>
                <w:color w:val="000000" w:themeColor="text1"/>
                <w:szCs w:val="21"/>
                <w:vertAlign w:val="baseline"/>
                <w:lang w:val="en-US" w:eastAsia="zh-CN"/>
                <w14:textFill>
                  <w14:solidFill>
                    <w14:schemeClr w14:val="tx1"/>
                  </w14:solidFill>
                </w14:textFill>
              </w:rPr>
              <w:t>/d，小于冗余处理能力，依托的预处理池冗余处理能力能够容纳本项目产生的生活污水。</w:t>
            </w:r>
          </w:p>
          <w:p w14:paraId="3DFAC901">
            <w:pPr>
              <w:keepNext w:val="0"/>
              <w:keepLines w:val="0"/>
              <w:pageBreakBefore w:val="0"/>
              <w:widowControl/>
              <w:suppressLineNumbers w:val="0"/>
              <w:kinsoku/>
              <w:wordWrap/>
              <w:overflowPunct/>
              <w:topLinePunct w:val="0"/>
              <w:autoSpaceDE/>
              <w:autoSpaceDN/>
              <w:bidi w:val="0"/>
              <w:spacing w:line="348" w:lineRule="auto"/>
              <w:jc w:val="left"/>
              <w:textAlignment w:val="auto"/>
              <w:rPr>
                <w:rFonts w:hint="default" w:ascii="Times New Roman" w:hAnsi="Times New Roman" w:eastAsia="宋体" w:cs="Times New Roman"/>
                <w:color w:val="000000" w:themeColor="text1"/>
                <w:szCs w:val="21"/>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Cs w:val="21"/>
                <w:vertAlign w:val="baseline"/>
                <w:lang w:val="en-US" w:eastAsia="zh-CN"/>
                <w14:textFill>
                  <w14:solidFill>
                    <w14:schemeClr w14:val="tx1"/>
                  </w14:solidFill>
                </w14:textFill>
              </w:rPr>
              <w:t>预处理池即化粪池，主要起到稳定水质、水量的作用，同时利用沉淀作用和微生物厌氧发酵作用，使有机物分解，易腐败的新鲜粪便转化为稳定的熟污泥。生活</w:t>
            </w:r>
            <w:r>
              <w:rPr>
                <w:rFonts w:hint="eastAsia" w:cs="Times New Roman"/>
                <w:color w:val="000000" w:themeColor="text1"/>
                <w:szCs w:val="21"/>
                <w:vertAlign w:val="baseline"/>
                <w:lang w:val="en-US" w:eastAsia="zh-CN"/>
                <w14:textFill>
                  <w14:solidFill>
                    <w14:schemeClr w14:val="tx1"/>
                  </w14:solidFill>
                </w14:textFill>
              </w:rPr>
              <w:t>污水</w:t>
            </w:r>
            <w:r>
              <w:rPr>
                <w:rFonts w:hint="eastAsia" w:ascii="Times New Roman" w:hAnsi="Times New Roman" w:eastAsia="宋体" w:cs="Times New Roman"/>
                <w:color w:val="000000" w:themeColor="text1"/>
                <w:szCs w:val="21"/>
                <w:vertAlign w:val="baseline"/>
                <w:lang w:val="en-US" w:eastAsia="zh-CN"/>
                <w14:textFill>
                  <w14:solidFill>
                    <w14:schemeClr w14:val="tx1"/>
                  </w14:solidFill>
                </w14:textFill>
              </w:rPr>
              <w:t>本身水质简单，污染物浓度较低，采用预处理池预处理生活污水，属于可行技术，是常见的生活污水预处理方式。</w:t>
            </w:r>
          </w:p>
          <w:p w14:paraId="6A5362B3">
            <w:pPr>
              <w:keepNext w:val="0"/>
              <w:keepLines w:val="0"/>
              <w:pageBreakBefore w:val="0"/>
              <w:widowControl/>
              <w:suppressLineNumbers w:val="0"/>
              <w:kinsoku/>
              <w:wordWrap/>
              <w:overflowPunct/>
              <w:topLinePunct w:val="0"/>
              <w:autoSpaceDE/>
              <w:autoSpaceDN/>
              <w:bidi w:val="0"/>
              <w:spacing w:line="348" w:lineRule="auto"/>
              <w:jc w:val="left"/>
              <w:textAlignment w:val="auto"/>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综上，本项目生活</w:t>
            </w:r>
            <w:r>
              <w:rPr>
                <w:rFonts w:hint="eastAsia" w:cs="Times New Roman"/>
                <w:color w:val="000000" w:themeColor="text1"/>
                <w:szCs w:val="21"/>
                <w:lang w:val="en-US" w:eastAsia="zh-CN"/>
                <w14:textFill>
                  <w14:solidFill>
                    <w14:schemeClr w14:val="tx1"/>
                  </w14:solidFill>
                </w14:textFill>
              </w:rPr>
              <w:t>污水依托厂区预处理池处理可行。</w:t>
            </w:r>
          </w:p>
          <w:p w14:paraId="21EEC2E9">
            <w:pPr>
              <w:keepNext w:val="0"/>
              <w:keepLines w:val="0"/>
              <w:pageBreakBefore w:val="0"/>
              <w:kinsoku/>
              <w:wordWrap/>
              <w:overflowPunct/>
              <w:topLinePunct w:val="0"/>
              <w:autoSpaceDE/>
              <w:autoSpaceDN/>
              <w:bidi w:val="0"/>
              <w:spacing w:line="348" w:lineRule="auto"/>
              <w:ind w:firstLine="482"/>
              <w:textAlignment w:val="auto"/>
              <w:rPr>
                <w:rFonts w:hint="eastAsia" w:cs="Times New Roman"/>
                <w:b/>
                <w:color w:val="000000" w:themeColor="text1"/>
                <w:lang w:val="en-US" w:eastAsia="zh-CN"/>
                <w14:textFill>
                  <w14:solidFill>
                    <w14:schemeClr w14:val="tx1"/>
                  </w14:solidFill>
                </w14:textFill>
              </w:rPr>
            </w:pPr>
            <w:r>
              <w:rPr>
                <w:rFonts w:hint="eastAsia" w:cs="Times New Roman"/>
                <w:b/>
                <w:color w:val="000000" w:themeColor="text1"/>
                <w:lang w:val="en-US" w:eastAsia="zh-CN"/>
                <w14:textFill>
                  <w14:solidFill>
                    <w14:schemeClr w14:val="tx1"/>
                  </w14:solidFill>
                </w14:textFill>
              </w:rPr>
              <w:t>4）生活污水近期排入星光工业园区污水处理厂可行性分析</w:t>
            </w:r>
          </w:p>
          <w:p w14:paraId="599C6E94">
            <w:pPr>
              <w:keepNext w:val="0"/>
              <w:keepLines w:val="0"/>
              <w:pageBreakBefore w:val="0"/>
              <w:kinsoku/>
              <w:wordWrap/>
              <w:overflowPunct/>
              <w:topLinePunct w:val="0"/>
              <w:autoSpaceDE/>
              <w:autoSpaceDN/>
              <w:bidi w:val="0"/>
              <w:spacing w:line="348" w:lineRule="auto"/>
              <w:ind w:firstLine="480"/>
              <w:textAlignment w:val="auto"/>
              <w:rPr>
                <w:rFonts w:hint="eastAsia" w:cs="Times New Roman"/>
                <w:color w:val="000000" w:themeColor="text1"/>
                <w:szCs w:val="21"/>
                <w:lang w:val="en-US" w:eastAsia="zh-CN"/>
                <w14:textFill>
                  <w14:solidFill>
                    <w14:schemeClr w14:val="tx1"/>
                  </w14:solidFill>
                </w14:textFill>
              </w:rPr>
            </w:pPr>
            <w:r>
              <w:rPr>
                <w:rFonts w:cs="Times New Roman"/>
                <w:color w:val="000000" w:themeColor="text1"/>
                <w:szCs w:val="21"/>
                <w14:textFill>
                  <w14:solidFill>
                    <w14:schemeClr w14:val="tx1"/>
                  </w14:solidFill>
                </w14:textFill>
              </w:rPr>
              <w:t>本项目租用</w:t>
            </w:r>
            <w:r>
              <w:rPr>
                <w:rFonts w:hint="eastAsia" w:cs="Times New Roman"/>
                <w:color w:val="000000" w:themeColor="text1"/>
                <w:szCs w:val="21"/>
                <w:lang w:val="en-US" w:eastAsia="zh-CN"/>
                <w14:textFill>
                  <w14:solidFill>
                    <w14:schemeClr w14:val="tx1"/>
                  </w14:solidFill>
                </w14:textFill>
              </w:rPr>
              <w:t>平昌经济开发区</w:t>
            </w:r>
            <w:r>
              <w:rPr>
                <w:rFonts w:hint="default" w:ascii="Times New Roman" w:hAnsi="Times New Roman" w:cs="Times New Roman"/>
                <w:color w:val="000000" w:themeColor="text1"/>
                <w:lang w:val="en-US" w:eastAsia="zh-CN"/>
                <w14:textFill>
                  <w14:solidFill>
                    <w14:schemeClr w14:val="tx1"/>
                  </w14:solidFill>
                </w14:textFill>
              </w:rPr>
              <w:t>星光机械制造产业园</w:t>
            </w:r>
            <w:r>
              <w:rPr>
                <w:rFonts w:hint="eastAsia" w:ascii="Times New Roman" w:hAnsi="Times New Roman" w:cs="Times New Roman"/>
                <w:color w:val="000000" w:themeColor="text1"/>
                <w:lang w:val="en-US" w:eastAsia="zh-CN"/>
                <w14:textFill>
                  <w14:solidFill>
                    <w14:schemeClr w14:val="tx1"/>
                  </w14:solidFill>
                </w14:textFill>
              </w:rPr>
              <w:t>内</w:t>
            </w:r>
            <w:r>
              <w:rPr>
                <w:rFonts w:cs="Times New Roman"/>
                <w:color w:val="000000" w:themeColor="text1"/>
                <w:szCs w:val="21"/>
                <w14:textFill>
                  <w14:solidFill>
                    <w14:schemeClr w14:val="tx1"/>
                  </w14:solidFill>
                </w14:textFill>
              </w:rPr>
              <w:t>已建厂房进行生产</w:t>
            </w:r>
            <w:r>
              <w:rPr>
                <w:rFonts w:hint="eastAsia" w:cs="Times New Roman"/>
                <w:color w:val="000000" w:themeColor="text1"/>
                <w:szCs w:val="21"/>
                <w:lang w:eastAsia="zh-CN"/>
                <w14:textFill>
                  <w14:solidFill>
                    <w14:schemeClr w14:val="tx1"/>
                  </w14:solidFill>
                </w14:textFill>
              </w:rPr>
              <w:t>，根</w:t>
            </w:r>
            <w:r>
              <w:rPr>
                <w:rFonts w:cs="Times New Roman"/>
                <w:color w:val="000000" w:themeColor="text1"/>
                <w:szCs w:val="21"/>
                <w14:textFill>
                  <w14:solidFill>
                    <w14:schemeClr w14:val="tx1"/>
                  </w14:solidFill>
                </w14:textFill>
              </w:rPr>
              <w:t>据调查，</w:t>
            </w:r>
            <w:r>
              <w:rPr>
                <w:rFonts w:hint="eastAsia" w:cs="Times New Roman"/>
                <w:color w:val="000000" w:themeColor="text1"/>
                <w:szCs w:val="21"/>
                <w:lang w:val="en-US" w:eastAsia="zh-CN"/>
                <w14:textFill>
                  <w14:solidFill>
                    <w14:schemeClr w14:val="tx1"/>
                  </w14:solidFill>
                </w14:textFill>
              </w:rPr>
              <w:t>厂区内已建设较为完善的污水管线，并于厂区西北侧设置1个污水总排口，连接至园区污水管网。现状厂区内现有企业正常通过污水总排口排放生活污水至园区污水管网。</w:t>
            </w:r>
          </w:p>
          <w:p w14:paraId="151214B0">
            <w:pPr>
              <w:keepNext w:val="0"/>
              <w:keepLines w:val="0"/>
              <w:pageBreakBefore w:val="0"/>
              <w:kinsoku/>
              <w:wordWrap/>
              <w:overflowPunct/>
              <w:topLinePunct w:val="0"/>
              <w:autoSpaceDE/>
              <w:autoSpaceDN/>
              <w:bidi w:val="0"/>
              <w:spacing w:line="348" w:lineRule="auto"/>
              <w:textAlignment w:val="auto"/>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四川平昌经济开发区共包括四个片区，</w:t>
            </w:r>
            <w:r>
              <w:rPr>
                <w:rFonts w:hint="eastAsia" w:cs="Times New Roman"/>
                <w:color w:val="000000" w:themeColor="text1"/>
                <w:lang w:val="en-US" w:eastAsia="zh-CN"/>
                <w14:textFill>
                  <w14:solidFill>
                    <w14:schemeClr w14:val="tx1"/>
                  </w14:solidFill>
                </w14:textFill>
              </w:rPr>
              <w:t>分别为</w:t>
            </w:r>
            <w:r>
              <w:rPr>
                <w:rFonts w:hint="default" w:ascii="Times New Roman" w:hAnsi="Times New Roman" w:cs="Times New Roman"/>
                <w:color w:val="000000" w:themeColor="text1"/>
                <w:lang w:val="en-US" w:eastAsia="zh-CN"/>
                <w14:textFill>
                  <w14:solidFill>
                    <w14:schemeClr w14:val="tx1"/>
                  </w14:solidFill>
                </w14:textFill>
              </w:rPr>
              <w:t>星光机械制造产业园、金宝食品饮料产业园、驷马清洁能源产业园、石龙门化工园区</w:t>
            </w:r>
            <w:r>
              <w:rPr>
                <w:rFonts w:hint="eastAsia" w:cs="Times New Roman"/>
                <w:color w:val="000000" w:themeColor="text1"/>
                <w:lang w:val="en-US" w:eastAsia="zh-CN"/>
                <w14:textFill>
                  <w14:solidFill>
                    <w14:schemeClr w14:val="tx1"/>
                  </w14:solidFill>
                </w14:textFill>
              </w:rPr>
              <w:t>。目前</w:t>
            </w:r>
            <w:r>
              <w:rPr>
                <w:rFonts w:hint="default" w:ascii="Times New Roman" w:hAnsi="Times New Roman" w:cs="Times New Roman"/>
                <w:color w:val="000000" w:themeColor="text1"/>
                <w:lang w:val="en-US" w:eastAsia="zh-CN"/>
                <w14:textFill>
                  <w14:solidFill>
                    <w14:schemeClr w14:val="tx1"/>
                  </w14:solidFill>
                </w14:textFill>
              </w:rPr>
              <w:t>星光机械制造产业园</w:t>
            </w:r>
            <w:r>
              <w:rPr>
                <w:rFonts w:hint="eastAsia" w:cs="Times New Roman"/>
                <w:color w:val="000000" w:themeColor="text1"/>
                <w:lang w:val="en-US" w:eastAsia="zh-CN"/>
                <w14:textFill>
                  <w14:solidFill>
                    <w14:schemeClr w14:val="tx1"/>
                  </w14:solidFill>
                </w14:textFill>
              </w:rPr>
              <w:t>已建成1座0.3</w:t>
            </w:r>
            <w:r>
              <w:rPr>
                <w:rFonts w:hint="default" w:ascii="Times New Roman" w:hAnsi="Times New Roman" w:cs="Times New Roman"/>
                <w:color w:val="000000" w:themeColor="text1"/>
                <w:lang w:val="en-US" w:eastAsia="zh-CN"/>
                <w14:textFill>
                  <w14:solidFill>
                    <w14:schemeClr w14:val="tx1"/>
                  </w14:solidFill>
                </w14:textFill>
              </w:rPr>
              <w:t>万m</w:t>
            </w:r>
            <w:r>
              <w:rPr>
                <w:rFonts w:hint="default" w:ascii="Times New Roman" w:hAnsi="Times New Roman" w:cs="Times New Roman"/>
                <w:color w:val="000000" w:themeColor="text1"/>
                <w:vertAlign w:val="superscript"/>
                <w:lang w:val="en-US" w:eastAsia="zh-CN"/>
                <w14:textFill>
                  <w14:solidFill>
                    <w14:schemeClr w14:val="tx1"/>
                  </w14:solidFill>
                </w14:textFill>
              </w:rPr>
              <w:t>3</w:t>
            </w:r>
            <w:r>
              <w:rPr>
                <w:rFonts w:hint="default" w:ascii="Times New Roman" w:hAnsi="Times New Roman" w:cs="Times New Roman"/>
                <w:color w:val="000000" w:themeColor="text1"/>
                <w:lang w:val="en-US" w:eastAsia="zh-CN"/>
                <w14:textFill>
                  <w14:solidFill>
                    <w14:schemeClr w14:val="tx1"/>
                  </w14:solidFill>
                </w14:textFill>
              </w:rPr>
              <w:t>/d</w:t>
            </w:r>
            <w:r>
              <w:rPr>
                <w:rFonts w:hint="eastAsia" w:cs="Times New Roman"/>
                <w:color w:val="000000" w:themeColor="text1"/>
                <w:lang w:val="en-US" w:eastAsia="zh-CN"/>
                <w14:textFill>
                  <w14:solidFill>
                    <w14:schemeClr w14:val="tx1"/>
                  </w14:solidFill>
                </w14:textFill>
              </w:rPr>
              <w:t>的工业污水处理厂（</w:t>
            </w:r>
            <w:r>
              <w:rPr>
                <w:rFonts w:hint="default" w:ascii="Times New Roman" w:hAnsi="Times New Roman" w:cs="Times New Roman"/>
                <w:color w:val="000000" w:themeColor="text1"/>
                <w:lang w:eastAsia="zh-CN"/>
                <w14:textFill>
                  <w14:solidFill>
                    <w14:schemeClr w14:val="tx1"/>
                  </w14:solidFill>
                </w14:textFill>
              </w:rPr>
              <w:t>星光工业园区污水处理厂</w:t>
            </w:r>
            <w:r>
              <w:rPr>
                <w:rFonts w:hint="eastAsia" w:cs="Times New Roman"/>
                <w:color w:val="000000" w:themeColor="text1"/>
                <w:lang w:val="en-US" w:eastAsia="zh-CN"/>
                <w14:textFill>
                  <w14:solidFill>
                    <w14:schemeClr w14:val="tx1"/>
                  </w14:solidFill>
                </w14:textFill>
              </w:rPr>
              <w:t>），于2021年建设完成并通过验收投入使用，</w:t>
            </w:r>
            <w:r>
              <w:rPr>
                <w:rFonts w:hint="default" w:ascii="Times New Roman" w:hAnsi="Times New Roman" w:cs="Times New Roman"/>
                <w:color w:val="000000" w:themeColor="text1"/>
                <w:lang w:val="en-US" w:eastAsia="zh-CN"/>
                <w14:textFill>
                  <w14:solidFill>
                    <w14:schemeClr w14:val="tx1"/>
                  </w14:solidFill>
                </w14:textFill>
              </w:rPr>
              <w:t>处理规模为0.3万m</w:t>
            </w:r>
            <w:r>
              <w:rPr>
                <w:rFonts w:hint="default" w:ascii="Times New Roman" w:hAnsi="Times New Roman" w:cs="Times New Roman"/>
                <w:color w:val="000000" w:themeColor="text1"/>
                <w:vertAlign w:val="superscript"/>
                <w:lang w:val="en-US" w:eastAsia="zh-CN"/>
                <w14:textFill>
                  <w14:solidFill>
                    <w14:schemeClr w14:val="tx1"/>
                  </w14:solidFill>
                </w14:textFill>
              </w:rPr>
              <w:t>3</w:t>
            </w:r>
            <w:r>
              <w:rPr>
                <w:rFonts w:hint="default" w:ascii="Times New Roman" w:hAnsi="Times New Roman" w:cs="Times New Roman"/>
                <w:color w:val="000000" w:themeColor="text1"/>
                <w:lang w:val="en-US" w:eastAsia="zh-CN"/>
                <w14:textFill>
                  <w14:solidFill>
                    <w14:schemeClr w14:val="tx1"/>
                  </w14:solidFill>
                </w14:textFill>
              </w:rPr>
              <w:t>/d，采用预处理（格栅间-调节池→水解酸化池）+生化处理（A</w:t>
            </w:r>
            <w:r>
              <w:rPr>
                <w:rFonts w:hint="default" w:ascii="Times New Roman" w:hAnsi="Times New Roman" w:cs="Times New Roman"/>
                <w:color w:val="000000" w:themeColor="text1"/>
                <w:vertAlign w:val="superscript"/>
                <w:lang w:val="en-US" w:eastAsia="zh-CN"/>
                <w14:textFill>
                  <w14:solidFill>
                    <w14:schemeClr w14:val="tx1"/>
                  </w14:solidFill>
                </w14:textFill>
              </w:rPr>
              <w:t>2</w:t>
            </w:r>
            <w:r>
              <w:rPr>
                <w:rFonts w:hint="default" w:ascii="Times New Roman" w:hAnsi="Times New Roman" w:cs="Times New Roman"/>
                <w:color w:val="000000" w:themeColor="text1"/>
                <w:lang w:val="en-US" w:eastAsia="zh-CN"/>
                <w14:textFill>
                  <w14:solidFill>
                    <w14:schemeClr w14:val="tx1"/>
                  </w14:solidFill>
                </w14:textFill>
              </w:rPr>
              <w:t>/O微曝氧化沟）+深度处理（网格絮凝池+纤维转盘滤池+紫外线消毒）的污水处理工艺。废水处理达到《城镇污水处理厂污染物排放标准》（GB18918-2002）中一级A标后排入巴河</w:t>
            </w:r>
            <w:r>
              <w:rPr>
                <w:rFonts w:hint="eastAsia" w:ascii="Times New Roman" w:hAnsi="Times New Roman" w:cs="Times New Roman"/>
                <w:color w:val="000000" w:themeColor="text1"/>
                <w:lang w:val="en-US" w:eastAsia="zh-CN"/>
                <w14:textFill>
                  <w14:solidFill>
                    <w14:schemeClr w14:val="tx1"/>
                  </w14:solidFill>
                </w14:textFill>
              </w:rPr>
              <w:t>，</w:t>
            </w:r>
            <w:r>
              <w:rPr>
                <w:rFonts w:hint="default" w:ascii="Times New Roman" w:hAnsi="Times New Roman" w:cs="Times New Roman"/>
                <w:color w:val="000000" w:themeColor="text1"/>
                <w:lang w:val="en-US" w:eastAsia="zh-CN"/>
                <w14:textFill>
                  <w14:solidFill>
                    <w14:schemeClr w14:val="tx1"/>
                  </w14:solidFill>
                </w14:textFill>
              </w:rPr>
              <w:t>污水处理厂目前正常运行。</w:t>
            </w:r>
          </w:p>
          <w:p w14:paraId="4F2F652A">
            <w:pPr>
              <w:keepNext w:val="0"/>
              <w:keepLines w:val="0"/>
              <w:pageBreakBefore w:val="0"/>
              <w:kinsoku/>
              <w:wordWrap/>
              <w:overflowPunct/>
              <w:topLinePunct w:val="0"/>
              <w:autoSpaceDE/>
              <w:autoSpaceDN/>
              <w:bidi w:val="0"/>
              <w:spacing w:line="348" w:lineRule="auto"/>
              <w:textAlignment w:val="auto"/>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2022年四川平昌经济开发区规划修编，根据修编后的规划环评</w:t>
            </w:r>
            <w:r>
              <w:rPr>
                <w:rFonts w:hint="eastAsia" w:ascii="Times New Roman" w:hAnsi="Times New Roman" w:cs="Times New Roman"/>
                <w:color w:val="000000" w:themeColor="text1"/>
                <w:lang w:val="en-US" w:eastAsia="zh-CN"/>
                <w14:textFill>
                  <w14:solidFill>
                    <w14:schemeClr w14:val="tx1"/>
                  </w14:solidFill>
                </w14:textFill>
              </w:rPr>
              <w:t>，星光工业园区水务处理厂</w:t>
            </w:r>
            <w:r>
              <w:rPr>
                <w:rFonts w:hint="default" w:ascii="Times New Roman" w:hAnsi="Times New Roman" w:cs="Times New Roman"/>
                <w:color w:val="000000" w:themeColor="text1"/>
                <w:lang w:val="en-US" w:eastAsia="zh-CN"/>
                <w14:textFill>
                  <w14:solidFill>
                    <w14:schemeClr w14:val="tx1"/>
                  </w14:solidFill>
                </w14:textFill>
              </w:rPr>
              <w:t>规划处理规模</w:t>
            </w:r>
            <w:r>
              <w:rPr>
                <w:rFonts w:hint="eastAsia" w:ascii="Times New Roman" w:hAnsi="Times New Roman" w:cs="Times New Roman"/>
                <w:color w:val="000000" w:themeColor="text1"/>
                <w:lang w:val="en-US" w:eastAsia="zh-CN"/>
                <w14:textFill>
                  <w14:solidFill>
                    <w14:schemeClr w14:val="tx1"/>
                  </w14:solidFill>
                </w14:textFill>
              </w:rPr>
              <w:t>需</w:t>
            </w:r>
            <w:r>
              <w:rPr>
                <w:rFonts w:hint="default" w:ascii="Times New Roman" w:hAnsi="Times New Roman" w:cs="Times New Roman"/>
                <w:color w:val="000000" w:themeColor="text1"/>
                <w:lang w:val="en-US" w:eastAsia="zh-CN"/>
                <w14:textFill>
                  <w14:solidFill>
                    <w14:schemeClr w14:val="tx1"/>
                  </w14:solidFill>
                </w14:textFill>
              </w:rPr>
              <w:t>扩能至2万m</w:t>
            </w:r>
            <w:r>
              <w:rPr>
                <w:rFonts w:hint="default" w:ascii="Times New Roman" w:hAnsi="Times New Roman" w:cs="Times New Roman"/>
                <w:color w:val="000000" w:themeColor="text1"/>
                <w:vertAlign w:val="superscript"/>
                <w:lang w:val="en-US" w:eastAsia="zh-CN"/>
                <w14:textFill>
                  <w14:solidFill>
                    <w14:schemeClr w14:val="tx1"/>
                  </w14:solidFill>
                </w14:textFill>
              </w:rPr>
              <w:t>3</w:t>
            </w:r>
            <w:r>
              <w:rPr>
                <w:rFonts w:hint="default" w:ascii="Times New Roman" w:hAnsi="Times New Roman" w:cs="Times New Roman"/>
                <w:color w:val="000000" w:themeColor="text1"/>
                <w:lang w:val="en-US" w:eastAsia="zh-CN"/>
                <w14:textFill>
                  <w14:solidFill>
                    <w14:schemeClr w14:val="tx1"/>
                  </w14:solidFill>
                </w14:textFill>
              </w:rPr>
              <w:t>/d。</w:t>
            </w:r>
            <w:r>
              <w:rPr>
                <w:rFonts w:hint="eastAsia" w:ascii="Times New Roman" w:hAnsi="Times New Roman" w:cs="Times New Roman"/>
                <w:color w:val="000000" w:themeColor="text1"/>
                <w:lang w:val="en-US" w:eastAsia="zh-CN"/>
                <w14:textFill>
                  <w14:solidFill>
                    <w14:schemeClr w14:val="tx1"/>
                  </w14:solidFill>
                </w14:textFill>
              </w:rPr>
              <w:t>参考根据《</w:t>
            </w:r>
            <w:r>
              <w:rPr>
                <w:rFonts w:hint="default" w:ascii="Times New Roman" w:hAnsi="Times New Roman" w:eastAsia="宋体" w:cs="Times New Roman"/>
                <w:color w:val="000000" w:themeColor="text1"/>
                <w:lang w:val="en-US" w:eastAsia="zh-CN"/>
                <w14:textFill>
                  <w14:solidFill>
                    <w14:schemeClr w14:val="tx1"/>
                  </w14:solidFill>
                </w14:textFill>
              </w:rPr>
              <w:t>平昌海天水务有限公司星光工业园区污水处理厂技改扩能建设项目</w:t>
            </w:r>
            <w:r>
              <w:rPr>
                <w:rFonts w:hint="default" w:ascii="Times New Roman" w:hAnsi="Times New Roman" w:eastAsia="宋体" w:cs="Times New Roman"/>
                <w:color w:val="000000" w:themeColor="text1"/>
                <w14:textFill>
                  <w14:solidFill>
                    <w14:schemeClr w14:val="tx1"/>
                  </w14:solidFill>
                </w14:textFill>
              </w:rPr>
              <w:t>环境影响报告书</w:t>
            </w:r>
            <w:r>
              <w:rPr>
                <w:rFonts w:hint="eastAsia" w:ascii="Times New Roman" w:hAnsi="Times New Roman" w:cs="Times New Roman"/>
                <w:color w:val="000000" w:themeColor="text1"/>
                <w:lang w:val="en-US" w:eastAsia="zh-CN"/>
                <w14:textFill>
                  <w14:solidFill>
                    <w14:schemeClr w14:val="tx1"/>
                  </w14:solidFill>
                </w14:textFill>
              </w:rPr>
              <w:t>》，星光工业园区污水处理厂正在建设扩建工程，</w:t>
            </w:r>
            <w:r>
              <w:rPr>
                <w:rFonts w:hint="eastAsia" w:cs="Times New Roman"/>
                <w:color w:val="000000" w:themeColor="text1"/>
                <w:highlight w:val="none"/>
                <w:lang w:val="en-US" w:eastAsia="zh-CN"/>
                <w14:textFill>
                  <w14:solidFill>
                    <w14:schemeClr w14:val="tx1"/>
                  </w14:solidFill>
                </w14:textFill>
              </w:rPr>
              <w:t>改建MBR膜、提高污泥浓度等，</w:t>
            </w:r>
            <w:r>
              <w:rPr>
                <w:rFonts w:hint="default" w:ascii="Times New Roman" w:hAnsi="Times New Roman" w:cs="Times New Roman"/>
                <w:color w:val="000000" w:themeColor="text1"/>
                <w:highlight w:val="none"/>
                <w:lang w:val="en-US" w:eastAsia="zh-CN"/>
                <w14:textFill>
                  <w14:solidFill>
                    <w14:schemeClr w14:val="tx1"/>
                  </w14:solidFill>
                </w14:textFill>
              </w:rPr>
              <w:t>将处理规模由3000m</w:t>
            </w:r>
            <w:r>
              <w:rPr>
                <w:rFonts w:hint="default" w:ascii="Times New Roman" w:hAnsi="Times New Roman" w:cs="Times New Roman"/>
                <w:color w:val="000000" w:themeColor="text1"/>
                <w:highlight w:val="none"/>
                <w:vertAlign w:val="superscript"/>
                <w:lang w:val="en-US" w:eastAsia="zh-CN"/>
                <w14:textFill>
                  <w14:solidFill>
                    <w14:schemeClr w14:val="tx1"/>
                  </w14:solidFill>
                </w14:textFill>
              </w:rPr>
              <w:t>3</w:t>
            </w:r>
            <w:r>
              <w:rPr>
                <w:rFonts w:hint="default" w:ascii="Times New Roman" w:hAnsi="Times New Roman" w:cs="Times New Roman"/>
                <w:color w:val="000000" w:themeColor="text1"/>
                <w:highlight w:val="none"/>
                <w:lang w:val="en-US" w:eastAsia="zh-CN"/>
                <w14:textFill>
                  <w14:solidFill>
                    <w14:schemeClr w14:val="tx1"/>
                  </w14:solidFill>
                </w14:textFill>
              </w:rPr>
              <w:t>/d提升至5000m</w:t>
            </w:r>
            <w:r>
              <w:rPr>
                <w:rFonts w:hint="default" w:ascii="Times New Roman" w:hAnsi="Times New Roman" w:cs="Times New Roman"/>
                <w:color w:val="000000" w:themeColor="text1"/>
                <w:highlight w:val="none"/>
                <w:vertAlign w:val="superscript"/>
                <w:lang w:val="en-US" w:eastAsia="zh-CN"/>
                <w14:textFill>
                  <w14:solidFill>
                    <w14:schemeClr w14:val="tx1"/>
                  </w14:solidFill>
                </w14:textFill>
              </w:rPr>
              <w:t>3</w:t>
            </w:r>
            <w:r>
              <w:rPr>
                <w:rFonts w:hint="default" w:ascii="Times New Roman" w:hAnsi="Times New Roman" w:cs="Times New Roman"/>
                <w:color w:val="000000" w:themeColor="text1"/>
                <w:highlight w:val="none"/>
                <w:lang w:val="en-US" w:eastAsia="zh-CN"/>
                <w14:textFill>
                  <w14:solidFill>
                    <w14:schemeClr w14:val="tx1"/>
                  </w14:solidFill>
                </w14:textFill>
              </w:rPr>
              <w:t>/d，</w:t>
            </w:r>
            <w:r>
              <w:rPr>
                <w:rFonts w:hint="eastAsia" w:ascii="Times New Roman" w:hAnsi="Times New Roman" w:cs="Times New Roman"/>
                <w:color w:val="000000" w:themeColor="text1"/>
                <w:highlight w:val="none"/>
                <w:lang w:val="en-US" w:eastAsia="zh-CN"/>
                <w14:textFill>
                  <w14:solidFill>
                    <w14:schemeClr w14:val="tx1"/>
                  </w14:solidFill>
                </w14:textFill>
              </w:rPr>
              <w:t>后续逐步提升</w:t>
            </w:r>
            <w:r>
              <w:rPr>
                <w:rFonts w:hint="default" w:ascii="Times New Roman" w:hAnsi="Times New Roman" w:cs="Times New Roman"/>
                <w:color w:val="000000" w:themeColor="text1"/>
                <w:lang w:val="en-US" w:eastAsia="zh-CN"/>
                <w14:textFill>
                  <w14:solidFill>
                    <w14:schemeClr w14:val="tx1"/>
                  </w14:solidFill>
                </w14:textFill>
              </w:rPr>
              <w:t>。</w:t>
            </w:r>
            <w:r>
              <w:rPr>
                <w:rFonts w:hint="eastAsia" w:ascii="Times New Roman" w:hAnsi="Times New Roman" w:cs="Times New Roman"/>
                <w:color w:val="000000" w:themeColor="text1"/>
                <w:lang w:val="en-US" w:eastAsia="zh-CN"/>
                <w14:textFill>
                  <w14:solidFill>
                    <w14:schemeClr w14:val="tx1"/>
                  </w14:solidFill>
                </w14:textFill>
              </w:rPr>
              <w:t>现状</w:t>
            </w:r>
            <w:r>
              <w:rPr>
                <w:rFonts w:hint="default" w:ascii="Times New Roman" w:hAnsi="Times New Roman" w:cs="Times New Roman"/>
                <w:color w:val="000000" w:themeColor="text1"/>
                <w:lang w:val="en-US" w:eastAsia="zh-CN"/>
                <w14:textFill>
                  <w14:solidFill>
                    <w14:schemeClr w14:val="tx1"/>
                  </w14:solidFill>
                </w14:textFill>
              </w:rPr>
              <w:t>星光工业</w:t>
            </w:r>
            <w:r>
              <w:rPr>
                <w:rFonts w:hint="eastAsia" w:ascii="Times New Roman" w:hAnsi="Times New Roman" w:cs="Times New Roman"/>
                <w:color w:val="000000" w:themeColor="text1"/>
                <w:lang w:val="en-US" w:eastAsia="zh-CN"/>
                <w14:textFill>
                  <w14:solidFill>
                    <w14:schemeClr w14:val="tx1"/>
                  </w14:solidFill>
                </w14:textFill>
              </w:rPr>
              <w:t>园区</w:t>
            </w:r>
            <w:r>
              <w:rPr>
                <w:rFonts w:hint="default" w:ascii="Times New Roman" w:hAnsi="Times New Roman" w:cs="Times New Roman"/>
                <w:color w:val="000000" w:themeColor="text1"/>
                <w:lang w:val="en-US" w:eastAsia="zh-CN"/>
                <w14:textFill>
                  <w14:solidFill>
                    <w14:schemeClr w14:val="tx1"/>
                  </w14:solidFill>
                </w14:textFill>
              </w:rPr>
              <w:t>污水处理厂目前废水处理量</w:t>
            </w:r>
            <w:r>
              <w:rPr>
                <w:rFonts w:hint="default" w:ascii="Times New Roman" w:hAnsi="Times New Roman" w:cs="Times New Roman"/>
                <w:color w:val="000000" w:themeColor="text1"/>
                <w:highlight w:val="none"/>
                <w:lang w:val="en-US" w:eastAsia="zh-CN"/>
                <w14:textFill>
                  <w14:solidFill>
                    <w14:schemeClr w14:val="tx1"/>
                  </w14:solidFill>
                </w14:textFill>
              </w:rPr>
              <w:t>约为</w:t>
            </w:r>
            <w:r>
              <w:rPr>
                <w:rFonts w:hint="eastAsia" w:cs="Times New Roman"/>
                <w:color w:val="000000" w:themeColor="text1"/>
                <w:highlight w:val="none"/>
                <w:lang w:val="en-US" w:eastAsia="zh-CN"/>
                <w14:textFill>
                  <w14:solidFill>
                    <w14:schemeClr w14:val="tx1"/>
                  </w14:solidFill>
                </w14:textFill>
              </w:rPr>
              <w:t>2</w:t>
            </w:r>
            <w:r>
              <w:rPr>
                <w:rFonts w:hint="default" w:ascii="Times New Roman" w:hAnsi="Times New Roman" w:cs="Times New Roman"/>
                <w:color w:val="000000" w:themeColor="text1"/>
                <w:highlight w:val="none"/>
                <w:lang w:val="en-US" w:eastAsia="zh-CN"/>
                <w14:textFill>
                  <w14:solidFill>
                    <w14:schemeClr w14:val="tx1"/>
                  </w14:solidFill>
                </w14:textFill>
              </w:rPr>
              <w:t>500m</w:t>
            </w:r>
            <w:r>
              <w:rPr>
                <w:rFonts w:hint="default" w:ascii="Times New Roman" w:hAnsi="Times New Roman" w:cs="Times New Roman"/>
                <w:color w:val="000000" w:themeColor="text1"/>
                <w:highlight w:val="none"/>
                <w:vertAlign w:val="superscript"/>
                <w:lang w:val="en-US" w:eastAsia="zh-CN"/>
                <w14:textFill>
                  <w14:solidFill>
                    <w14:schemeClr w14:val="tx1"/>
                  </w14:solidFill>
                </w14:textFill>
              </w:rPr>
              <w:t>3</w:t>
            </w:r>
            <w:r>
              <w:rPr>
                <w:rFonts w:hint="default" w:ascii="Times New Roman" w:hAnsi="Times New Roman" w:cs="Times New Roman"/>
                <w:color w:val="000000" w:themeColor="text1"/>
                <w:highlight w:val="none"/>
                <w:lang w:val="en-US" w:eastAsia="zh-CN"/>
                <w14:textFill>
                  <w14:solidFill>
                    <w14:schemeClr w14:val="tx1"/>
                  </w14:solidFill>
                </w14:textFill>
              </w:rPr>
              <w:t>/d，剩余处理规模约500m</w:t>
            </w:r>
            <w:r>
              <w:rPr>
                <w:rFonts w:hint="default" w:ascii="Times New Roman" w:hAnsi="Times New Roman" w:cs="Times New Roman"/>
                <w:color w:val="000000" w:themeColor="text1"/>
                <w:highlight w:val="none"/>
                <w:vertAlign w:val="superscript"/>
                <w:lang w:val="en-US" w:eastAsia="zh-CN"/>
                <w14:textFill>
                  <w14:solidFill>
                    <w14:schemeClr w14:val="tx1"/>
                  </w14:solidFill>
                </w14:textFill>
              </w:rPr>
              <w:t>3</w:t>
            </w:r>
            <w:r>
              <w:rPr>
                <w:rFonts w:hint="default" w:ascii="Times New Roman" w:hAnsi="Times New Roman" w:cs="Times New Roman"/>
                <w:color w:val="000000" w:themeColor="text1"/>
                <w:highlight w:val="none"/>
                <w:lang w:val="en-US" w:eastAsia="zh-CN"/>
                <w14:textFill>
                  <w14:solidFill>
                    <w14:schemeClr w14:val="tx1"/>
                  </w14:solidFill>
                </w14:textFill>
              </w:rPr>
              <w:t>/d</w:t>
            </w:r>
            <w:r>
              <w:rPr>
                <w:rFonts w:hint="eastAsia" w:ascii="Times New Roman" w:hAnsi="Times New Roman" w:cs="Times New Roman"/>
                <w:color w:val="000000" w:themeColor="text1"/>
                <w:highlight w:val="none"/>
                <w:lang w:val="en-US" w:eastAsia="zh-CN"/>
                <w14:textFill>
                  <w14:solidFill>
                    <w14:schemeClr w14:val="tx1"/>
                  </w14:solidFill>
                </w14:textFill>
              </w:rPr>
              <w:t>。</w:t>
            </w:r>
          </w:p>
          <w:p w14:paraId="486364CC">
            <w:pPr>
              <w:keepNext w:val="0"/>
              <w:keepLines w:val="0"/>
              <w:pageBreakBefore w:val="0"/>
              <w:kinsoku/>
              <w:wordWrap/>
              <w:overflowPunct/>
              <w:topLinePunct w:val="0"/>
              <w:autoSpaceDE/>
              <w:autoSpaceDN/>
              <w:bidi w:val="0"/>
              <w:spacing w:line="348" w:lineRule="auto"/>
              <w:textAlignment w:val="auto"/>
              <w:rPr>
                <w:rFonts w:hint="eastAsia"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本项目位于星光工业园区污水处理厂服务范围内，区域已接通园区污水管网。本项目生活污水量约</w:t>
            </w:r>
            <w:r>
              <w:rPr>
                <w:rFonts w:hint="eastAsia" w:cs="Times New Roman"/>
                <w:color w:val="000000" w:themeColor="text1"/>
                <w:lang w:val="en-US" w:eastAsia="zh-CN"/>
                <w14:textFill>
                  <w14:solidFill>
                    <w14:schemeClr w14:val="tx1"/>
                  </w14:solidFill>
                </w14:textFill>
              </w:rPr>
              <w:t>2.34</w:t>
            </w:r>
            <w:r>
              <w:rPr>
                <w:rFonts w:hint="eastAsia" w:ascii="Times New Roman" w:hAnsi="Times New Roman" w:cs="Times New Roman"/>
                <w:color w:val="000000" w:themeColor="text1"/>
                <w:lang w:val="en-US" w:eastAsia="zh-CN"/>
                <w14:textFill>
                  <w14:solidFill>
                    <w14:schemeClr w14:val="tx1"/>
                  </w14:solidFill>
                </w14:textFill>
              </w:rPr>
              <w:t>m</w:t>
            </w:r>
            <w:r>
              <w:rPr>
                <w:rFonts w:hint="eastAsia" w:ascii="Times New Roman" w:hAnsi="Times New Roman" w:cs="Times New Roman"/>
                <w:color w:val="000000" w:themeColor="text1"/>
                <w:vertAlign w:val="superscript"/>
                <w:lang w:val="en-US" w:eastAsia="zh-CN"/>
                <w14:textFill>
                  <w14:solidFill>
                    <w14:schemeClr w14:val="tx1"/>
                  </w14:solidFill>
                </w14:textFill>
              </w:rPr>
              <w:t>3</w:t>
            </w:r>
            <w:r>
              <w:rPr>
                <w:rFonts w:hint="eastAsia" w:ascii="Times New Roman" w:hAnsi="Times New Roman" w:cs="Times New Roman"/>
                <w:color w:val="000000" w:themeColor="text1"/>
                <w:vertAlign w:val="baseline"/>
                <w:lang w:val="en-US" w:eastAsia="zh-CN"/>
                <w14:textFill>
                  <w14:solidFill>
                    <w14:schemeClr w14:val="tx1"/>
                  </w14:solidFill>
                </w14:textFill>
              </w:rPr>
              <w:t>/d，小于</w:t>
            </w:r>
            <w:r>
              <w:rPr>
                <w:rFonts w:hint="default" w:ascii="Times New Roman" w:hAnsi="Times New Roman" w:cs="Times New Roman"/>
                <w:color w:val="000000" w:themeColor="text1"/>
                <w:lang w:val="en-US" w:eastAsia="zh-CN"/>
                <w14:textFill>
                  <w14:solidFill>
                    <w14:schemeClr w14:val="tx1"/>
                  </w14:solidFill>
                </w14:textFill>
              </w:rPr>
              <w:t>星光工业</w:t>
            </w:r>
            <w:r>
              <w:rPr>
                <w:rFonts w:hint="eastAsia" w:ascii="Times New Roman" w:hAnsi="Times New Roman" w:cs="Times New Roman"/>
                <w:color w:val="000000" w:themeColor="text1"/>
                <w:lang w:val="en-US" w:eastAsia="zh-CN"/>
                <w14:textFill>
                  <w14:solidFill>
                    <w14:schemeClr w14:val="tx1"/>
                  </w14:solidFill>
                </w14:textFill>
              </w:rPr>
              <w:t>园区</w:t>
            </w:r>
            <w:r>
              <w:rPr>
                <w:rFonts w:hint="default" w:ascii="Times New Roman" w:hAnsi="Times New Roman" w:cs="Times New Roman"/>
                <w:color w:val="000000" w:themeColor="text1"/>
                <w:lang w:val="en-US" w:eastAsia="zh-CN"/>
                <w14:textFill>
                  <w14:solidFill>
                    <w14:schemeClr w14:val="tx1"/>
                  </w14:solidFill>
                </w14:textFill>
              </w:rPr>
              <w:t>污水处理厂</w:t>
            </w:r>
            <w:r>
              <w:rPr>
                <w:rFonts w:hint="eastAsia" w:ascii="Times New Roman" w:hAnsi="Times New Roman" w:cs="Times New Roman"/>
                <w:color w:val="000000" w:themeColor="text1"/>
                <w:lang w:val="en-US" w:eastAsia="zh-CN"/>
                <w14:textFill>
                  <w14:solidFill>
                    <w14:schemeClr w14:val="tx1"/>
                  </w14:solidFill>
                </w14:textFill>
              </w:rPr>
              <w:t>现状剩余处理规模（2500m</w:t>
            </w:r>
            <w:r>
              <w:rPr>
                <w:rFonts w:hint="eastAsia" w:ascii="Times New Roman" w:hAnsi="Times New Roman" w:cs="Times New Roman"/>
                <w:color w:val="000000" w:themeColor="text1"/>
                <w:vertAlign w:val="superscript"/>
                <w:lang w:val="en-US" w:eastAsia="zh-CN"/>
                <w14:textFill>
                  <w14:solidFill>
                    <w14:schemeClr w14:val="tx1"/>
                  </w14:solidFill>
                </w14:textFill>
              </w:rPr>
              <w:t>3</w:t>
            </w:r>
            <w:r>
              <w:rPr>
                <w:rFonts w:hint="eastAsia" w:ascii="Times New Roman" w:hAnsi="Times New Roman" w:cs="Times New Roman"/>
                <w:color w:val="000000" w:themeColor="text1"/>
                <w:vertAlign w:val="baseline"/>
                <w:lang w:val="en-US" w:eastAsia="zh-CN"/>
                <w14:textFill>
                  <w14:solidFill>
                    <w14:schemeClr w14:val="tx1"/>
                  </w14:solidFill>
                </w14:textFill>
              </w:rPr>
              <w:t>/d</w:t>
            </w:r>
            <w:r>
              <w:rPr>
                <w:rFonts w:hint="eastAsia" w:ascii="Times New Roman" w:hAnsi="Times New Roman" w:cs="Times New Roman"/>
                <w:color w:val="000000" w:themeColor="text1"/>
                <w:lang w:val="en-US" w:eastAsia="zh-CN"/>
                <w14:textFill>
                  <w14:solidFill>
                    <w14:schemeClr w14:val="tx1"/>
                  </w14:solidFill>
                </w14:textFill>
              </w:rPr>
              <w:t>），水量满足依托要求。</w:t>
            </w:r>
          </w:p>
          <w:p w14:paraId="12471614">
            <w:pPr>
              <w:keepNext w:val="0"/>
              <w:keepLines w:val="0"/>
              <w:pageBreakBefore w:val="0"/>
              <w:kinsoku/>
              <w:wordWrap/>
              <w:overflowPunct/>
              <w:topLinePunct w:val="0"/>
              <w:autoSpaceDE/>
              <w:autoSpaceDN/>
              <w:bidi w:val="0"/>
              <w:spacing w:line="348" w:lineRule="auto"/>
              <w:ind w:firstLine="480"/>
              <w:textAlignment w:val="auto"/>
              <w:rPr>
                <w:rFonts w:hint="eastAsia"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本项目外排废水为生活污水，根据前文分析，生活污水水质能够达到</w:t>
            </w:r>
            <w:r>
              <w:rPr>
                <w:rFonts w:hint="default" w:ascii="Times New Roman" w:hAnsi="Times New Roman" w:eastAsia="宋体" w:cs="Times New Roman"/>
                <w:color w:val="000000" w:themeColor="text1"/>
                <w:lang w:val="en-US" w:eastAsia="zh-CN"/>
                <w14:textFill>
                  <w14:solidFill>
                    <w14:schemeClr w14:val="tx1"/>
                  </w14:solidFill>
                </w14:textFill>
              </w:rPr>
              <w:t>平昌海天水务有限公司星光工业园区污水处理厂</w:t>
            </w:r>
            <w:r>
              <w:rPr>
                <w:rFonts w:hint="eastAsia" w:ascii="Times New Roman" w:hAnsi="Times New Roman" w:eastAsia="宋体" w:cs="Times New Roman"/>
                <w:color w:val="000000" w:themeColor="text1"/>
                <w:lang w:val="en-US" w:eastAsia="zh-CN"/>
                <w14:textFill>
                  <w14:solidFill>
                    <w14:schemeClr w14:val="tx1"/>
                  </w14:solidFill>
                </w14:textFill>
              </w:rPr>
              <w:t>进水水质要求，能够有效处理，不会对</w:t>
            </w:r>
            <w:r>
              <w:rPr>
                <w:rFonts w:hint="default" w:ascii="Times New Roman" w:hAnsi="Times New Roman" w:eastAsia="宋体" w:cs="Times New Roman"/>
                <w:color w:val="000000" w:themeColor="text1"/>
                <w:lang w:val="en-US" w:eastAsia="zh-CN"/>
                <w14:textFill>
                  <w14:solidFill>
                    <w14:schemeClr w14:val="tx1"/>
                  </w14:solidFill>
                </w14:textFill>
              </w:rPr>
              <w:t>星光工业园区污水处理厂</w:t>
            </w:r>
            <w:r>
              <w:rPr>
                <w:rFonts w:hint="eastAsia" w:ascii="Times New Roman" w:hAnsi="Times New Roman" w:eastAsia="宋体" w:cs="Times New Roman"/>
                <w:color w:val="000000" w:themeColor="text1"/>
                <w:lang w:val="en-US" w:eastAsia="zh-CN"/>
                <w14:textFill>
                  <w14:solidFill>
                    <w14:schemeClr w14:val="tx1"/>
                  </w14:solidFill>
                </w14:textFill>
              </w:rPr>
              <w:t>正常运行造成影响，水质满足依托要求。</w:t>
            </w:r>
          </w:p>
          <w:p w14:paraId="5A60ABE2">
            <w:pPr>
              <w:keepNext w:val="0"/>
              <w:keepLines w:val="0"/>
              <w:pageBreakBefore w:val="0"/>
              <w:kinsoku/>
              <w:wordWrap/>
              <w:overflowPunct/>
              <w:topLinePunct w:val="0"/>
              <w:autoSpaceDE/>
              <w:autoSpaceDN/>
              <w:bidi w:val="0"/>
              <w:spacing w:line="348" w:lineRule="auto"/>
              <w:ind w:firstLine="480"/>
              <w:textAlignment w:val="auto"/>
              <w:rPr>
                <w:rFonts w:hint="eastAsia"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综上，本项目</w:t>
            </w:r>
            <w:r>
              <w:rPr>
                <w:rFonts w:hint="eastAsia" w:cs="Times New Roman"/>
                <w:color w:val="000000" w:themeColor="text1"/>
                <w:lang w:val="en-US" w:eastAsia="zh-CN"/>
                <w14:textFill>
                  <w14:solidFill>
                    <w14:schemeClr w14:val="tx1"/>
                  </w14:solidFill>
                </w14:textFill>
              </w:rPr>
              <w:t>生活</w:t>
            </w:r>
            <w:r>
              <w:rPr>
                <w:rFonts w:hint="eastAsia" w:ascii="Times New Roman" w:hAnsi="Times New Roman" w:eastAsia="宋体" w:cs="Times New Roman"/>
                <w:color w:val="000000" w:themeColor="text1"/>
                <w:lang w:val="en-US" w:eastAsia="zh-CN"/>
                <w14:textFill>
                  <w14:solidFill>
                    <w14:schemeClr w14:val="tx1"/>
                  </w14:solidFill>
                </w14:textFill>
              </w:rPr>
              <w:t>废水排放至</w:t>
            </w:r>
            <w:r>
              <w:rPr>
                <w:rFonts w:hint="default" w:ascii="Times New Roman" w:hAnsi="Times New Roman" w:eastAsia="宋体" w:cs="Times New Roman"/>
                <w:color w:val="000000" w:themeColor="text1"/>
                <w:lang w:val="en-US" w:eastAsia="zh-CN"/>
                <w14:textFill>
                  <w14:solidFill>
                    <w14:schemeClr w14:val="tx1"/>
                  </w14:solidFill>
                </w14:textFill>
              </w:rPr>
              <w:t>星光工业园区污水处理厂</w:t>
            </w:r>
            <w:r>
              <w:rPr>
                <w:rFonts w:hint="eastAsia" w:ascii="Times New Roman" w:hAnsi="Times New Roman" w:eastAsia="宋体" w:cs="Times New Roman"/>
                <w:color w:val="000000" w:themeColor="text1"/>
                <w:lang w:val="en-US" w:eastAsia="zh-CN"/>
                <w14:textFill>
                  <w14:solidFill>
                    <w14:schemeClr w14:val="tx1"/>
                  </w14:solidFill>
                </w14:textFill>
              </w:rPr>
              <w:t>进一步处理可行</w:t>
            </w:r>
            <w:r>
              <w:rPr>
                <w:rFonts w:cs="Times New Roman"/>
                <w:color w:val="000000" w:themeColor="text1"/>
                <w:kern w:val="0"/>
                <w:szCs w:val="24"/>
                <w14:textFill>
                  <w14:solidFill>
                    <w14:schemeClr w14:val="tx1"/>
                  </w14:solidFill>
                </w14:textFill>
              </w:rPr>
              <w:t>。</w:t>
            </w:r>
          </w:p>
          <w:bookmarkEnd w:id="68"/>
          <w:bookmarkEnd w:id="69"/>
          <w:p w14:paraId="21A20CEA">
            <w:pPr>
              <w:keepNext w:val="0"/>
              <w:keepLines w:val="0"/>
              <w:pageBreakBefore w:val="0"/>
              <w:kinsoku/>
              <w:wordWrap/>
              <w:overflowPunct/>
              <w:topLinePunct w:val="0"/>
              <w:autoSpaceDE/>
              <w:autoSpaceDN/>
              <w:bidi w:val="0"/>
              <w:spacing w:line="348" w:lineRule="auto"/>
              <w:ind w:firstLine="482"/>
              <w:textAlignment w:val="auto"/>
              <w:rPr>
                <w:rFonts w:cs="Times New Roman"/>
                <w:b/>
                <w:color w:val="000000" w:themeColor="text1"/>
                <w14:textFill>
                  <w14:solidFill>
                    <w14:schemeClr w14:val="tx1"/>
                  </w14:solidFill>
                </w14:textFill>
              </w:rPr>
            </w:pPr>
            <w:r>
              <w:rPr>
                <w:rFonts w:cs="Times New Roman"/>
                <w:b/>
                <w:color w:val="000000" w:themeColor="text1"/>
                <w14:textFill>
                  <w14:solidFill>
                    <w14:schemeClr w14:val="tx1"/>
                  </w14:solidFill>
                </w14:textFill>
              </w:rPr>
              <w:t>（</w:t>
            </w:r>
            <w:r>
              <w:rPr>
                <w:rFonts w:hint="eastAsia" w:cs="Times New Roman"/>
                <w:b/>
                <w:color w:val="000000" w:themeColor="text1"/>
                <w:lang w:val="en-US" w:eastAsia="zh-CN"/>
                <w14:textFill>
                  <w14:solidFill>
                    <w14:schemeClr w14:val="tx1"/>
                  </w14:solidFill>
                </w14:textFill>
              </w:rPr>
              <w:t>10</w:t>
            </w:r>
            <w:r>
              <w:rPr>
                <w:rFonts w:cs="Times New Roman"/>
                <w:b/>
                <w:color w:val="000000" w:themeColor="text1"/>
                <w14:textFill>
                  <w14:solidFill>
                    <w14:schemeClr w14:val="tx1"/>
                  </w14:solidFill>
                </w14:textFill>
              </w:rPr>
              <w:t>）排放口情况</w:t>
            </w:r>
          </w:p>
          <w:p w14:paraId="0CB788E4">
            <w:pPr>
              <w:keepNext w:val="0"/>
              <w:keepLines w:val="0"/>
              <w:pageBreakBefore w:val="0"/>
              <w:kinsoku/>
              <w:wordWrap/>
              <w:overflowPunct/>
              <w:topLinePunct w:val="0"/>
              <w:autoSpaceDE/>
              <w:autoSpaceDN/>
              <w:bidi w:val="0"/>
              <w:adjustRightInd w:val="0"/>
              <w:snapToGrid w:val="0"/>
              <w:spacing w:line="348" w:lineRule="auto"/>
              <w:ind w:firstLine="480"/>
              <w:textAlignment w:val="auto"/>
              <w:rPr>
                <w:rFonts w:cs="Times New Roman"/>
                <w:b/>
                <w:color w:val="000000" w:themeColor="text1"/>
                <w14:textFill>
                  <w14:solidFill>
                    <w14:schemeClr w14:val="tx1"/>
                  </w14:solidFill>
                </w14:textFill>
              </w:rPr>
            </w:pPr>
            <w:r>
              <w:rPr>
                <w:rFonts w:cs="Times New Roman"/>
                <w:bCs/>
                <w:color w:val="000000" w:themeColor="text1"/>
                <w14:textFill>
                  <w14:solidFill>
                    <w14:schemeClr w14:val="tx1"/>
                  </w14:solidFill>
                </w14:textFill>
              </w:rPr>
              <w:t>本项目不单独设置排放口，依托租赁厂房所在厂区已建污水排放口，排放口情况见下表。</w:t>
            </w:r>
          </w:p>
          <w:p w14:paraId="582E99A1">
            <w:pPr>
              <w:pStyle w:val="11"/>
              <w:keepNext/>
              <w:keepLines w:val="0"/>
              <w:pageBreakBefore w:val="0"/>
              <w:widowControl/>
              <w:kinsoku/>
              <w:wordWrap/>
              <w:overflowPunct/>
              <w:topLinePunct w:val="0"/>
              <w:autoSpaceDE/>
              <w:autoSpaceDN/>
              <w:bidi w:val="0"/>
              <w:adjustRightInd w:val="0"/>
              <w:snapToGrid w:val="0"/>
              <w:spacing w:after="0"/>
              <w:textAlignment w:val="auto"/>
              <w:rPr>
                <w:rFonts w:cs="Times New Roman"/>
                <w:b w:val="0"/>
                <w:color w:val="000000" w:themeColor="text1"/>
                <w:szCs w:val="21"/>
                <w14:textFill>
                  <w14:solidFill>
                    <w14:schemeClr w14:val="tx1"/>
                  </w14:solidFill>
                </w14:textFill>
              </w:rPr>
            </w:pPr>
            <w:r>
              <w:rPr>
                <w:rFonts w:cs="Times New Roman"/>
                <w:color w:val="000000" w:themeColor="text1"/>
                <w14:textFill>
                  <w14:solidFill>
                    <w14:schemeClr w14:val="tx1"/>
                  </w14:solidFill>
                </w14:textFill>
              </w:rPr>
              <w:t>表</w:t>
            </w:r>
            <w:r>
              <w:rPr>
                <w:rFonts w:cs="Times New Roman"/>
                <w:color w:val="000000" w:themeColor="text1"/>
                <w14:textFill>
                  <w14:solidFill>
                    <w14:schemeClr w14:val="tx1"/>
                  </w14:solidFill>
                </w14:textFill>
              </w:rPr>
              <w:fldChar w:fldCharType="begin"/>
            </w:r>
            <w:r>
              <w:rPr>
                <w:rFonts w:cs="Times New Roman"/>
                <w:color w:val="000000" w:themeColor="text1"/>
                <w14:textFill>
                  <w14:solidFill>
                    <w14:schemeClr w14:val="tx1"/>
                  </w14:solidFill>
                </w14:textFill>
              </w:rPr>
              <w:instrText xml:space="preserve"> SEQ seq \c </w:instrText>
            </w:r>
            <w:r>
              <w:rPr>
                <w:rFonts w:cs="Times New Roman"/>
                <w:color w:val="000000" w:themeColor="text1"/>
                <w14:textFill>
                  <w14:solidFill>
                    <w14:schemeClr w14:val="tx1"/>
                  </w14:solidFill>
                </w14:textFill>
              </w:rPr>
              <w:fldChar w:fldCharType="separate"/>
            </w:r>
            <w:r>
              <w:rPr>
                <w:rFonts w:cs="Times New Roman"/>
                <w:color w:val="000000" w:themeColor="text1"/>
                <w14:textFill>
                  <w14:solidFill>
                    <w14:schemeClr w14:val="tx1"/>
                  </w14:solidFill>
                </w14:textFill>
              </w:rPr>
              <w:t>4</w:t>
            </w:r>
            <w:r>
              <w:rPr>
                <w:rFonts w:cs="Times New Roman"/>
                <w:color w:val="000000" w:themeColor="text1"/>
                <w14:textFill>
                  <w14:solidFill>
                    <w14:schemeClr w14:val="tx1"/>
                  </w14:solidFill>
                </w14:textFill>
              </w:rPr>
              <w:fldChar w:fldCharType="end"/>
            </w:r>
            <w:r>
              <w:rPr>
                <w:rFonts w:cs="Times New Roman"/>
                <w:color w:val="000000" w:themeColor="text1"/>
                <w14:textFill>
                  <w14:solidFill>
                    <w14:schemeClr w14:val="tx1"/>
                  </w14:solidFill>
                </w14:textFill>
              </w:rPr>
              <w:noBreakHyphen/>
            </w:r>
            <w:r>
              <w:rPr>
                <w:rFonts w:hint="eastAsia" w:cs="Times New Roman"/>
                <w:color w:val="000000" w:themeColor="text1"/>
                <w:lang w:val="en-US" w:eastAsia="zh-CN"/>
                <w14:textFill>
                  <w14:solidFill>
                    <w14:schemeClr w14:val="tx1"/>
                  </w14:solidFill>
                </w14:textFill>
              </w:rPr>
              <w:t>14</w:t>
            </w:r>
            <w:r>
              <w:rPr>
                <w:rFonts w:cs="Times New Roman"/>
                <w:color w:val="000000" w:themeColor="text1"/>
                <w14:textFill>
                  <w14:solidFill>
                    <w14:schemeClr w14:val="tx1"/>
                  </w14:solidFill>
                </w14:textFill>
              </w:rPr>
              <w:t xml:space="preserve"> 本项目废水排放情况</w:t>
            </w:r>
          </w:p>
          <w:tbl>
            <w:tblPr>
              <w:tblStyle w:val="26"/>
              <w:tblW w:w="4999" w:type="pct"/>
              <w:jc w:val="center"/>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Layout w:type="autofit"/>
              <w:tblCellMar>
                <w:top w:w="0" w:type="dxa"/>
                <w:left w:w="108" w:type="dxa"/>
                <w:bottom w:w="0" w:type="dxa"/>
                <w:right w:w="108" w:type="dxa"/>
              </w:tblCellMar>
            </w:tblPr>
            <w:tblGrid>
              <w:gridCol w:w="1565"/>
              <w:gridCol w:w="1068"/>
              <w:gridCol w:w="1085"/>
              <w:gridCol w:w="1500"/>
              <w:gridCol w:w="1805"/>
              <w:gridCol w:w="2494"/>
            </w:tblGrid>
            <w:tr w14:paraId="4D50ADA4">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689" w:type="pct"/>
                  <w:gridSpan w:val="5"/>
                  <w:tcBorders>
                    <w:tl2br w:val="nil"/>
                    <w:tr2bl w:val="nil"/>
                  </w:tcBorders>
                  <w:vAlign w:val="center"/>
                </w:tcPr>
                <w:p w14:paraId="090C907C">
                  <w:pPr>
                    <w:pStyle w:val="45"/>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排放口基本情况</w:t>
                  </w:r>
                </w:p>
              </w:tc>
              <w:tc>
                <w:tcPr>
                  <w:tcW w:w="1310" w:type="pct"/>
                  <w:vMerge w:val="restart"/>
                  <w:tcBorders>
                    <w:tl2br w:val="nil"/>
                    <w:tr2bl w:val="nil"/>
                  </w:tcBorders>
                  <w:vAlign w:val="center"/>
                </w:tcPr>
                <w:p w14:paraId="0FF4C8C0">
                  <w:pPr>
                    <w:pStyle w:val="45"/>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排放标准</w:t>
                  </w:r>
                </w:p>
              </w:tc>
            </w:tr>
            <w:tr w14:paraId="3102D078">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2" w:type="pct"/>
                  <w:tcBorders>
                    <w:tl2br w:val="nil"/>
                    <w:tr2bl w:val="nil"/>
                  </w:tcBorders>
                  <w:vAlign w:val="center"/>
                </w:tcPr>
                <w:p w14:paraId="77737BF0">
                  <w:pPr>
                    <w:pStyle w:val="45"/>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排放口名称</w:t>
                  </w:r>
                </w:p>
              </w:tc>
              <w:tc>
                <w:tcPr>
                  <w:tcW w:w="561" w:type="pct"/>
                  <w:tcBorders>
                    <w:tl2br w:val="nil"/>
                    <w:tr2bl w:val="nil"/>
                  </w:tcBorders>
                  <w:vAlign w:val="center"/>
                </w:tcPr>
                <w:p w14:paraId="4F4E9EC7">
                  <w:pPr>
                    <w:pStyle w:val="45"/>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编号</w:t>
                  </w:r>
                </w:p>
              </w:tc>
              <w:tc>
                <w:tcPr>
                  <w:tcW w:w="570" w:type="pct"/>
                  <w:tcBorders>
                    <w:tl2br w:val="nil"/>
                    <w:tr2bl w:val="nil"/>
                  </w:tcBorders>
                  <w:vAlign w:val="center"/>
                </w:tcPr>
                <w:p w14:paraId="48D78450">
                  <w:pPr>
                    <w:pStyle w:val="45"/>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类型</w:t>
                  </w:r>
                </w:p>
              </w:tc>
              <w:tc>
                <w:tcPr>
                  <w:tcW w:w="788" w:type="pct"/>
                  <w:tcBorders>
                    <w:tl2br w:val="nil"/>
                    <w:tr2bl w:val="nil"/>
                  </w:tcBorders>
                  <w:vAlign w:val="center"/>
                </w:tcPr>
                <w:p w14:paraId="2A4560A0">
                  <w:pPr>
                    <w:pStyle w:val="45"/>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坐标</w:t>
                  </w:r>
                </w:p>
              </w:tc>
              <w:tc>
                <w:tcPr>
                  <w:tcW w:w="945" w:type="pct"/>
                  <w:tcBorders>
                    <w:tl2br w:val="nil"/>
                    <w:tr2bl w:val="nil"/>
                  </w:tcBorders>
                  <w:vAlign w:val="center"/>
                </w:tcPr>
                <w:p w14:paraId="4427975F">
                  <w:pPr>
                    <w:pStyle w:val="45"/>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排放去向</w:t>
                  </w:r>
                </w:p>
              </w:tc>
              <w:tc>
                <w:tcPr>
                  <w:tcW w:w="1310" w:type="pct"/>
                  <w:vMerge w:val="continue"/>
                  <w:tcBorders>
                    <w:tl2br w:val="nil"/>
                    <w:tr2bl w:val="nil"/>
                  </w:tcBorders>
                  <w:vAlign w:val="center"/>
                </w:tcPr>
                <w:p w14:paraId="10D7EEE0">
                  <w:pPr>
                    <w:pStyle w:val="12"/>
                    <w:rPr>
                      <w:rFonts w:cs="Times New Roman"/>
                      <w:color w:val="000000" w:themeColor="text1"/>
                      <w14:textFill>
                        <w14:solidFill>
                          <w14:schemeClr w14:val="tx1"/>
                        </w14:solidFill>
                      </w14:textFill>
                    </w:rPr>
                  </w:pPr>
                </w:p>
              </w:tc>
            </w:tr>
            <w:tr w14:paraId="5A002099">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2" w:type="pct"/>
                  <w:tcBorders>
                    <w:tl2br w:val="nil"/>
                    <w:tr2bl w:val="nil"/>
                  </w:tcBorders>
                  <w:vAlign w:val="center"/>
                </w:tcPr>
                <w:p w14:paraId="2B4FD1FA">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污水总排口</w:t>
                  </w:r>
                </w:p>
              </w:tc>
              <w:tc>
                <w:tcPr>
                  <w:tcW w:w="561" w:type="pct"/>
                  <w:tcBorders>
                    <w:tl2br w:val="nil"/>
                    <w:tr2bl w:val="nil"/>
                  </w:tcBorders>
                  <w:vAlign w:val="center"/>
                </w:tcPr>
                <w:p w14:paraId="761D612B">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DW001</w:t>
                  </w:r>
                </w:p>
              </w:tc>
              <w:tc>
                <w:tcPr>
                  <w:tcW w:w="570" w:type="pct"/>
                  <w:tcBorders>
                    <w:tl2br w:val="nil"/>
                    <w:tr2bl w:val="nil"/>
                  </w:tcBorders>
                  <w:vAlign w:val="center"/>
                </w:tcPr>
                <w:p w14:paraId="5D61EA7D">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一般排放口</w:t>
                  </w:r>
                </w:p>
              </w:tc>
              <w:tc>
                <w:tcPr>
                  <w:tcW w:w="788" w:type="pct"/>
                  <w:tcBorders>
                    <w:tl2br w:val="nil"/>
                    <w:tr2bl w:val="nil"/>
                  </w:tcBorders>
                  <w:vAlign w:val="center"/>
                </w:tcPr>
                <w:p w14:paraId="6E378B53">
                  <w:pPr>
                    <w:pStyle w:val="12"/>
                    <w:rPr>
                      <w:rFonts w:hint="default" w:eastAsia="宋体" w:cs="Times New Roman"/>
                      <w:color w:val="000000" w:themeColor="text1"/>
                      <w:lang w:val="en-US" w:eastAsia="zh-CN"/>
                      <w14:textFill>
                        <w14:solidFill>
                          <w14:schemeClr w14:val="tx1"/>
                        </w14:solidFill>
                      </w14:textFill>
                    </w:rPr>
                  </w:pPr>
                  <w:r>
                    <w:rPr>
                      <w:rFonts w:cs="Times New Roman"/>
                      <w:color w:val="000000" w:themeColor="text1"/>
                      <w14:textFill>
                        <w14:solidFill>
                          <w14:schemeClr w14:val="tx1"/>
                        </w14:solidFill>
                      </w14:textFill>
                    </w:rPr>
                    <w:t>10</w:t>
                  </w:r>
                  <w:r>
                    <w:rPr>
                      <w:rFonts w:hint="eastAsia" w:cs="Times New Roman"/>
                      <w:color w:val="000000" w:themeColor="text1"/>
                      <w:lang w:val="en-US" w:eastAsia="zh-CN"/>
                      <w14:textFill>
                        <w14:solidFill>
                          <w14:schemeClr w14:val="tx1"/>
                        </w14:solidFill>
                      </w14:textFill>
                    </w:rPr>
                    <w:t>7.137619</w:t>
                  </w:r>
                  <w:r>
                    <w:rPr>
                      <w:rFonts w:cs="Times New Roman"/>
                      <w:color w:val="000000" w:themeColor="text1"/>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31.533821</w:t>
                  </w:r>
                </w:p>
              </w:tc>
              <w:tc>
                <w:tcPr>
                  <w:tcW w:w="945" w:type="pct"/>
                  <w:tcBorders>
                    <w:tl2br w:val="nil"/>
                    <w:tr2bl w:val="nil"/>
                  </w:tcBorders>
                  <w:vAlign w:val="center"/>
                </w:tcPr>
                <w:p w14:paraId="0E2330E1">
                  <w:pPr>
                    <w:pStyle w:val="12"/>
                    <w:rPr>
                      <w:rFonts w:hint="default" w:eastAsia="宋体" w:cs="Times New Roman"/>
                      <w:color w:val="000000" w:themeColor="text1"/>
                      <w:lang w:val="en-US" w:eastAsia="zh-CN"/>
                      <w14:textFill>
                        <w14:solidFill>
                          <w14:schemeClr w14:val="tx1"/>
                        </w14:solidFill>
                      </w14:textFill>
                    </w:rPr>
                  </w:pPr>
                  <w:r>
                    <w:rPr>
                      <w:rFonts w:cs="Times New Roman"/>
                      <w:color w:val="000000" w:themeColor="text1"/>
                      <w14:textFill>
                        <w14:solidFill>
                          <w14:schemeClr w14:val="tx1"/>
                        </w14:solidFill>
                      </w14:textFill>
                    </w:rPr>
                    <w:t>园区污水管网</w:t>
                  </w:r>
                  <w:r>
                    <w:rPr>
                      <w:rFonts w:hint="eastAsia" w:cs="Times New Roman"/>
                      <w:color w:val="000000" w:themeColor="text1"/>
                      <w:lang w:val="en-US" w:eastAsia="zh-CN"/>
                      <w14:textFill>
                        <w14:solidFill>
                          <w14:schemeClr w14:val="tx1"/>
                        </w14:solidFill>
                      </w14:textFill>
                    </w:rPr>
                    <w:t>+星光工业园区污水处理厂</w:t>
                  </w:r>
                </w:p>
              </w:tc>
              <w:tc>
                <w:tcPr>
                  <w:tcW w:w="1310" w:type="pct"/>
                  <w:tcBorders>
                    <w:tl2br w:val="nil"/>
                    <w:tr2bl w:val="nil"/>
                  </w:tcBorders>
                  <w:vAlign w:val="center"/>
                </w:tcPr>
                <w:p w14:paraId="6E78D50C">
                  <w:pPr>
                    <w:pStyle w:val="12"/>
                    <w:rPr>
                      <w:rFonts w:hint="default" w:cs="Times New Roman"/>
                      <w:color w:val="000000" w:themeColor="text1"/>
                      <w:lang w:val="en-US"/>
                      <w14:textFill>
                        <w14:solidFill>
                          <w14:schemeClr w14:val="tx1"/>
                        </w14:solidFill>
                      </w14:textFill>
                    </w:rPr>
                  </w:pPr>
                  <w:r>
                    <w:rPr>
                      <w:rFonts w:hint="eastAsia" w:cs="Times New Roman"/>
                      <w:color w:val="000000" w:themeColor="text1"/>
                      <w:lang w:val="en-US" w:eastAsia="zh-CN"/>
                      <w14:textFill>
                        <w14:solidFill>
                          <w14:schemeClr w14:val="tx1"/>
                        </w14:solidFill>
                      </w14:textFill>
                    </w:rPr>
                    <w:t>星光工业园区污水处理厂进水水质要求</w:t>
                  </w:r>
                </w:p>
              </w:tc>
            </w:tr>
          </w:tbl>
          <w:p w14:paraId="568EAFD6">
            <w:pPr>
              <w:ind w:firstLine="482"/>
              <w:rPr>
                <w:rFonts w:cs="Times New Roman"/>
                <w:b/>
                <w:color w:val="000000" w:themeColor="text1"/>
                <w14:textFill>
                  <w14:solidFill>
                    <w14:schemeClr w14:val="tx1"/>
                  </w14:solidFill>
                </w14:textFill>
              </w:rPr>
            </w:pPr>
            <w:r>
              <w:rPr>
                <w:rFonts w:cs="Times New Roman"/>
                <w:b/>
                <w:color w:val="000000" w:themeColor="text1"/>
                <w14:textFill>
                  <w14:solidFill>
                    <w14:schemeClr w14:val="tx1"/>
                  </w14:solidFill>
                </w14:textFill>
              </w:rPr>
              <w:t>（</w:t>
            </w:r>
            <w:r>
              <w:rPr>
                <w:rFonts w:hint="eastAsia" w:cs="Times New Roman"/>
                <w:b/>
                <w:color w:val="000000" w:themeColor="text1"/>
                <w:lang w:val="en-US" w:eastAsia="zh-CN"/>
                <w14:textFill>
                  <w14:solidFill>
                    <w14:schemeClr w14:val="tx1"/>
                  </w14:solidFill>
                </w14:textFill>
              </w:rPr>
              <w:t>11</w:t>
            </w:r>
            <w:r>
              <w:rPr>
                <w:rFonts w:cs="Times New Roman"/>
                <w:b/>
                <w:color w:val="000000" w:themeColor="text1"/>
                <w14:textFill>
                  <w14:solidFill>
                    <w14:schemeClr w14:val="tx1"/>
                  </w14:solidFill>
                </w14:textFill>
              </w:rPr>
              <w:t>）监测计划</w:t>
            </w:r>
          </w:p>
          <w:p w14:paraId="7598375D">
            <w:pPr>
              <w:keepNext w:val="0"/>
              <w:keepLines w:val="0"/>
              <w:widowControl/>
              <w:suppressLineNumbers w:val="0"/>
              <w:jc w:val="left"/>
              <w:rPr>
                <w:rFonts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根据</w:t>
            </w:r>
            <w:r>
              <w:rPr>
                <w:rFonts w:hint="eastAsia" w:ascii="Times New Roman" w:hAnsi="Times New Roman" w:eastAsia="宋体" w:cs="Times New Roman"/>
                <w:color w:val="000000" w:themeColor="text1"/>
                <w:lang w:val="en-US" w:eastAsia="zh-CN"/>
                <w14:textFill>
                  <w14:solidFill>
                    <w14:schemeClr w14:val="tx1"/>
                  </w14:solidFill>
                </w14:textFill>
              </w:rPr>
              <w:t>《排污单位自行监测技术指南 工业固体废物和危险废物治理》（</w:t>
            </w:r>
            <w:r>
              <w:rPr>
                <w:rFonts w:hint="default" w:ascii="Times New Roman" w:hAnsi="Times New Roman" w:eastAsia="宋体" w:cs="Times New Roman"/>
                <w:color w:val="000000" w:themeColor="text1"/>
                <w:lang w:val="en-US" w:eastAsia="zh-CN"/>
                <w14:textFill>
                  <w14:solidFill>
                    <w14:schemeClr w14:val="tx1"/>
                  </w14:solidFill>
                </w14:textFill>
              </w:rPr>
              <w:t>HJ1250-2022</w:t>
            </w:r>
            <w:r>
              <w:rPr>
                <w:rFonts w:hint="eastAsia" w:ascii="Times New Roman" w:hAnsi="Times New Roman" w:eastAsia="宋体" w:cs="Times New Roman"/>
                <w:color w:val="000000" w:themeColor="text1"/>
                <w:lang w:val="en-US" w:eastAsia="zh-CN"/>
                <w14:textFill>
                  <w14:solidFill>
                    <w14:schemeClr w14:val="tx1"/>
                  </w14:solidFill>
                </w14:textFill>
              </w:rPr>
              <w:t>）</w:t>
            </w:r>
            <w:r>
              <w:rPr>
                <w:rFonts w:ascii="Times New Roman" w:hAnsi="Times New Roman" w:eastAsia="宋体" w:cs="Times New Roman"/>
                <w:color w:val="000000" w:themeColor="text1"/>
                <w14:textFill>
                  <w14:solidFill>
                    <w14:schemeClr w14:val="tx1"/>
                  </w14:solidFill>
                </w14:textFill>
              </w:rPr>
              <w:t>中自</w:t>
            </w:r>
            <w:r>
              <w:rPr>
                <w:rFonts w:cs="Times New Roman"/>
                <w:color w:val="000000" w:themeColor="text1"/>
                <w14:textFill>
                  <w14:solidFill>
                    <w14:schemeClr w14:val="tx1"/>
                  </w14:solidFill>
                </w14:textFill>
              </w:rPr>
              <w:t>行监测要求，企业应定期委托组织具有监测资质的单位开展废水监测。因项目</w:t>
            </w:r>
            <w:r>
              <w:rPr>
                <w:rFonts w:hint="eastAsia" w:cs="Times New Roman"/>
                <w:color w:val="000000" w:themeColor="text1"/>
                <w:lang w:val="en-US" w:eastAsia="zh-CN"/>
                <w14:textFill>
                  <w14:solidFill>
                    <w14:schemeClr w14:val="tx1"/>
                  </w14:solidFill>
                </w14:textFill>
              </w:rPr>
              <w:t>生活</w:t>
            </w:r>
            <w:r>
              <w:rPr>
                <w:rFonts w:cs="Times New Roman"/>
                <w:color w:val="000000" w:themeColor="text1"/>
                <w14:textFill>
                  <w14:solidFill>
                    <w14:schemeClr w14:val="tx1"/>
                  </w14:solidFill>
                </w14:textFill>
              </w:rPr>
              <w:t>排入租赁厂房所在厂区的</w:t>
            </w:r>
            <w:r>
              <w:rPr>
                <w:rFonts w:cs="Times New Roman"/>
                <w:bCs/>
                <w:color w:val="000000" w:themeColor="text1"/>
                <w14:textFill>
                  <w14:solidFill>
                    <w14:schemeClr w14:val="tx1"/>
                  </w14:solidFill>
                </w14:textFill>
              </w:rPr>
              <w:t>污水预处理池</w:t>
            </w:r>
            <w:r>
              <w:rPr>
                <w:rFonts w:hint="eastAsia" w:cs="Times New Roman"/>
                <w:bCs/>
                <w:color w:val="000000" w:themeColor="text1"/>
                <w:lang w:eastAsia="zh-CN"/>
                <w14:textFill>
                  <w14:solidFill>
                    <w14:schemeClr w14:val="tx1"/>
                  </w14:solidFill>
                </w14:textFill>
              </w:rPr>
              <w:t>，</w:t>
            </w:r>
            <w:r>
              <w:rPr>
                <w:rFonts w:cs="Times New Roman"/>
                <w:bCs/>
                <w:color w:val="000000" w:themeColor="text1"/>
                <w14:textFill>
                  <w14:solidFill>
                    <w14:schemeClr w14:val="tx1"/>
                  </w14:solidFill>
                </w14:textFill>
              </w:rPr>
              <w:t>与厂区其他公司共用</w:t>
            </w:r>
            <w:r>
              <w:rPr>
                <w:rFonts w:hint="eastAsia" w:cs="Times New Roman"/>
                <w:bCs/>
                <w:color w:val="000000" w:themeColor="text1"/>
                <w:lang w:val="en-US" w:eastAsia="zh-CN"/>
                <w14:textFill>
                  <w14:solidFill>
                    <w14:schemeClr w14:val="tx1"/>
                  </w14:solidFill>
                </w14:textFill>
              </w:rPr>
              <w:t>预处理池及污水总排口，建设单位可与厂区内其他公司协调共同开展监测工作。</w:t>
            </w:r>
            <w:r>
              <w:rPr>
                <w:rFonts w:cs="Times New Roman"/>
                <w:color w:val="000000" w:themeColor="text1"/>
                <w14:textFill>
                  <w14:solidFill>
                    <w14:schemeClr w14:val="tx1"/>
                  </w14:solidFill>
                </w14:textFill>
              </w:rPr>
              <w:t>项目废水监测要求具体如下。</w:t>
            </w:r>
          </w:p>
          <w:p w14:paraId="32824465">
            <w:pPr>
              <w:pStyle w:val="11"/>
              <w:keepNext/>
              <w:keepLines w:val="0"/>
              <w:pageBreakBefore w:val="0"/>
              <w:widowControl/>
              <w:kinsoku/>
              <w:wordWrap/>
              <w:overflowPunct/>
              <w:topLinePunct w:val="0"/>
              <w:autoSpaceDE/>
              <w:autoSpaceDN/>
              <w:bidi w:val="0"/>
              <w:adjustRightInd w:val="0"/>
              <w:snapToGrid w:val="0"/>
              <w:spacing w:after="0"/>
              <w:textAlignment w:val="auto"/>
              <w:rPr>
                <w:rFonts w:cs="Times New Roman"/>
                <w:b w:val="0"/>
                <w:color w:val="000000" w:themeColor="text1"/>
                <w:szCs w:val="21"/>
                <w14:textFill>
                  <w14:solidFill>
                    <w14:schemeClr w14:val="tx1"/>
                  </w14:solidFill>
                </w14:textFill>
              </w:rPr>
            </w:pPr>
            <w:r>
              <w:rPr>
                <w:rFonts w:cs="Times New Roman"/>
                <w:color w:val="000000" w:themeColor="text1"/>
                <w14:textFill>
                  <w14:solidFill>
                    <w14:schemeClr w14:val="tx1"/>
                  </w14:solidFill>
                </w14:textFill>
              </w:rPr>
              <w:t>表</w:t>
            </w:r>
            <w:r>
              <w:rPr>
                <w:rFonts w:cs="Times New Roman"/>
                <w:color w:val="000000" w:themeColor="text1"/>
                <w14:textFill>
                  <w14:solidFill>
                    <w14:schemeClr w14:val="tx1"/>
                  </w14:solidFill>
                </w14:textFill>
              </w:rPr>
              <w:fldChar w:fldCharType="begin"/>
            </w:r>
            <w:r>
              <w:rPr>
                <w:rFonts w:cs="Times New Roman"/>
                <w:color w:val="000000" w:themeColor="text1"/>
                <w14:textFill>
                  <w14:solidFill>
                    <w14:schemeClr w14:val="tx1"/>
                  </w14:solidFill>
                </w14:textFill>
              </w:rPr>
              <w:instrText xml:space="preserve"> SEQ seq \c </w:instrText>
            </w:r>
            <w:r>
              <w:rPr>
                <w:rFonts w:cs="Times New Roman"/>
                <w:color w:val="000000" w:themeColor="text1"/>
                <w14:textFill>
                  <w14:solidFill>
                    <w14:schemeClr w14:val="tx1"/>
                  </w14:solidFill>
                </w14:textFill>
              </w:rPr>
              <w:fldChar w:fldCharType="separate"/>
            </w:r>
            <w:r>
              <w:rPr>
                <w:rFonts w:cs="Times New Roman"/>
                <w:color w:val="000000" w:themeColor="text1"/>
                <w14:textFill>
                  <w14:solidFill>
                    <w14:schemeClr w14:val="tx1"/>
                  </w14:solidFill>
                </w14:textFill>
              </w:rPr>
              <w:t>4</w:t>
            </w:r>
            <w:r>
              <w:rPr>
                <w:rFonts w:cs="Times New Roman"/>
                <w:color w:val="000000" w:themeColor="text1"/>
                <w14:textFill>
                  <w14:solidFill>
                    <w14:schemeClr w14:val="tx1"/>
                  </w14:solidFill>
                </w14:textFill>
              </w:rPr>
              <w:fldChar w:fldCharType="end"/>
            </w:r>
            <w:r>
              <w:rPr>
                <w:rFonts w:cs="Times New Roman"/>
                <w:color w:val="000000" w:themeColor="text1"/>
                <w14:textFill>
                  <w14:solidFill>
                    <w14:schemeClr w14:val="tx1"/>
                  </w14:solidFill>
                </w14:textFill>
              </w:rPr>
              <w:noBreakHyphen/>
            </w:r>
            <w:r>
              <w:rPr>
                <w:rFonts w:hint="eastAsia" w:cs="Times New Roman"/>
                <w:color w:val="000000" w:themeColor="text1"/>
                <w:lang w:val="en-US" w:eastAsia="zh-CN"/>
                <w14:textFill>
                  <w14:solidFill>
                    <w14:schemeClr w14:val="tx1"/>
                  </w14:solidFill>
                </w14:textFill>
              </w:rPr>
              <w:t>15</w:t>
            </w:r>
            <w:r>
              <w:rPr>
                <w:rFonts w:cs="Times New Roman"/>
                <w:color w:val="000000" w:themeColor="text1"/>
                <w14:textFill>
                  <w14:solidFill>
                    <w14:schemeClr w14:val="tx1"/>
                  </w14:solidFill>
                </w14:textFill>
              </w:rPr>
              <w:t xml:space="preserve"> 本项目废水监测要求</w:t>
            </w:r>
          </w:p>
          <w:tbl>
            <w:tblPr>
              <w:tblStyle w:val="26"/>
              <w:tblW w:w="4996" w:type="pct"/>
              <w:tblInd w:w="0" w:type="dxa"/>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Layout w:type="autofit"/>
              <w:tblCellMar>
                <w:top w:w="0" w:type="dxa"/>
                <w:left w:w="108" w:type="dxa"/>
                <w:bottom w:w="0" w:type="dxa"/>
                <w:right w:w="108" w:type="dxa"/>
              </w:tblCellMar>
            </w:tblPr>
            <w:tblGrid>
              <w:gridCol w:w="909"/>
              <w:gridCol w:w="2537"/>
              <w:gridCol w:w="1511"/>
              <w:gridCol w:w="3332"/>
              <w:gridCol w:w="1222"/>
            </w:tblGrid>
            <w:tr w14:paraId="25A739DC">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78" w:type="pct"/>
                  <w:tcBorders>
                    <w:tl2br w:val="nil"/>
                    <w:tr2bl w:val="nil"/>
                  </w:tcBorders>
                  <w:vAlign w:val="center"/>
                </w:tcPr>
                <w:p w14:paraId="73DACE8E">
                  <w:pPr>
                    <w:pStyle w:val="45"/>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类别</w:t>
                  </w:r>
                </w:p>
              </w:tc>
              <w:tc>
                <w:tcPr>
                  <w:tcW w:w="1333" w:type="pct"/>
                  <w:tcBorders>
                    <w:tl2br w:val="nil"/>
                    <w:tr2bl w:val="nil"/>
                  </w:tcBorders>
                  <w:vAlign w:val="center"/>
                </w:tcPr>
                <w:p w14:paraId="16920D7A">
                  <w:pPr>
                    <w:pStyle w:val="45"/>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监测位置</w:t>
                  </w:r>
                </w:p>
              </w:tc>
              <w:tc>
                <w:tcPr>
                  <w:tcW w:w="794" w:type="pct"/>
                  <w:tcBorders>
                    <w:tl2br w:val="nil"/>
                    <w:tr2bl w:val="nil"/>
                  </w:tcBorders>
                  <w:vAlign w:val="center"/>
                </w:tcPr>
                <w:p w14:paraId="0A81E9DC">
                  <w:pPr>
                    <w:pStyle w:val="45"/>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监测点数</w:t>
                  </w:r>
                </w:p>
              </w:tc>
              <w:tc>
                <w:tcPr>
                  <w:tcW w:w="1751" w:type="pct"/>
                  <w:tcBorders>
                    <w:tl2br w:val="nil"/>
                    <w:tr2bl w:val="nil"/>
                  </w:tcBorders>
                  <w:vAlign w:val="center"/>
                </w:tcPr>
                <w:p w14:paraId="00FB5BB9">
                  <w:pPr>
                    <w:pStyle w:val="45"/>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监测项目</w:t>
                  </w:r>
                </w:p>
              </w:tc>
              <w:tc>
                <w:tcPr>
                  <w:tcW w:w="642" w:type="pct"/>
                  <w:tcBorders>
                    <w:tl2br w:val="nil"/>
                    <w:tr2bl w:val="nil"/>
                  </w:tcBorders>
                  <w:vAlign w:val="center"/>
                </w:tcPr>
                <w:p w14:paraId="20B00898">
                  <w:pPr>
                    <w:pStyle w:val="45"/>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监测频率</w:t>
                  </w:r>
                </w:p>
              </w:tc>
            </w:tr>
            <w:tr w14:paraId="22DF6BAC">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78" w:type="pct"/>
                  <w:tcBorders>
                    <w:tl2br w:val="nil"/>
                    <w:tr2bl w:val="nil"/>
                  </w:tcBorders>
                  <w:vAlign w:val="center"/>
                </w:tcPr>
                <w:p w14:paraId="7C6F1E82">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废水</w:t>
                  </w:r>
                </w:p>
              </w:tc>
              <w:tc>
                <w:tcPr>
                  <w:tcW w:w="1333" w:type="pct"/>
                  <w:tcBorders>
                    <w:tl2br w:val="nil"/>
                    <w:tr2bl w:val="nil"/>
                  </w:tcBorders>
                  <w:vAlign w:val="center"/>
                </w:tcPr>
                <w:p w14:paraId="3AB5E451">
                  <w:pPr>
                    <w:pStyle w:val="12"/>
                    <w:ind w:firstLine="0" w:firstLineChars="0"/>
                    <w:rPr>
                      <w:rFonts w:hint="default" w:eastAsia="宋体" w:cs="Times New Roman"/>
                      <w:color w:val="000000" w:themeColor="text1"/>
                      <w:lang w:val="en-US" w:eastAsia="zh-CN"/>
                      <w14:textFill>
                        <w14:solidFill>
                          <w14:schemeClr w14:val="tx1"/>
                        </w14:solidFill>
                      </w14:textFill>
                    </w:rPr>
                  </w:pPr>
                  <w:r>
                    <w:rPr>
                      <w:rFonts w:cs="Times New Roman"/>
                      <w:color w:val="000000" w:themeColor="text1"/>
                      <w14:textFill>
                        <w14:solidFill>
                          <w14:schemeClr w14:val="tx1"/>
                        </w14:solidFill>
                      </w14:textFill>
                    </w:rPr>
                    <w:t>污水总排口（DW001）</w:t>
                  </w:r>
                </w:p>
              </w:tc>
              <w:tc>
                <w:tcPr>
                  <w:tcW w:w="794" w:type="pct"/>
                  <w:tcBorders>
                    <w:tl2br w:val="nil"/>
                    <w:tr2bl w:val="nil"/>
                  </w:tcBorders>
                  <w:vAlign w:val="center"/>
                </w:tcPr>
                <w:p w14:paraId="1C6BC537">
                  <w:pPr>
                    <w:pStyle w:val="12"/>
                    <w:ind w:firstLine="0" w:firstLineChars="0"/>
                    <w:rPr>
                      <w:rFonts w:hint="eastAsia" w:eastAsia="宋体" w:cs="Times New Roman"/>
                      <w:color w:val="000000" w:themeColor="text1"/>
                      <w:lang w:val="en-US" w:eastAsia="zh-CN"/>
                      <w14:textFill>
                        <w14:solidFill>
                          <w14:schemeClr w14:val="tx1"/>
                        </w14:solidFill>
                      </w14:textFill>
                    </w:rPr>
                  </w:pPr>
                  <w:r>
                    <w:rPr>
                      <w:rFonts w:cs="Times New Roman"/>
                      <w:color w:val="000000" w:themeColor="text1"/>
                      <w14:textFill>
                        <w14:solidFill>
                          <w14:schemeClr w14:val="tx1"/>
                        </w14:solidFill>
                      </w14:textFill>
                    </w:rPr>
                    <w:t>1</w:t>
                  </w:r>
                </w:p>
              </w:tc>
              <w:tc>
                <w:tcPr>
                  <w:tcW w:w="1751" w:type="pct"/>
                  <w:tcBorders>
                    <w:tl2br w:val="nil"/>
                    <w:tr2bl w:val="nil"/>
                  </w:tcBorders>
                  <w:vAlign w:val="center"/>
                </w:tcPr>
                <w:p w14:paraId="1B37905F">
                  <w:pPr>
                    <w:pStyle w:val="12"/>
                    <w:ind w:firstLine="0" w:firstLineChars="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pH、COD、BOD</w:t>
                  </w:r>
                  <w:r>
                    <w:rPr>
                      <w:rFonts w:cs="Times New Roman"/>
                      <w:color w:val="000000" w:themeColor="text1"/>
                      <w:vertAlign w:val="subscript"/>
                      <w14:textFill>
                        <w14:solidFill>
                          <w14:schemeClr w14:val="tx1"/>
                        </w14:solidFill>
                      </w14:textFill>
                    </w:rPr>
                    <w:t>5</w:t>
                  </w:r>
                  <w:r>
                    <w:rPr>
                      <w:rFonts w:cs="Times New Roman"/>
                      <w:color w:val="000000" w:themeColor="text1"/>
                      <w14:textFill>
                        <w14:solidFill>
                          <w14:schemeClr w14:val="tx1"/>
                        </w14:solidFill>
                      </w14:textFill>
                    </w:rPr>
                    <w:t>、SS、TP、氨氮</w:t>
                  </w:r>
                  <w:r>
                    <w:rPr>
                      <w:rFonts w:hint="eastAsia" w:cs="Times New Roman"/>
                      <w:color w:val="000000" w:themeColor="text1"/>
                      <w:lang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石油类、氯化物、硫化物</w:t>
                  </w:r>
                </w:p>
              </w:tc>
              <w:tc>
                <w:tcPr>
                  <w:tcW w:w="642" w:type="pct"/>
                  <w:tcBorders>
                    <w:tl2br w:val="nil"/>
                    <w:tr2bl w:val="nil"/>
                  </w:tcBorders>
                  <w:vAlign w:val="center"/>
                </w:tcPr>
                <w:p w14:paraId="5F53D491">
                  <w:pPr>
                    <w:pStyle w:val="12"/>
                    <w:ind w:firstLine="0" w:firstLineChars="0"/>
                    <w:rPr>
                      <w:rFonts w:hint="eastAsia" w:eastAsia="宋体" w:cs="Times New Roman"/>
                      <w:color w:val="000000" w:themeColor="text1"/>
                      <w:lang w:val="en-US" w:eastAsia="zh-CN"/>
                      <w14:textFill>
                        <w14:solidFill>
                          <w14:schemeClr w14:val="tx1"/>
                        </w14:solidFill>
                      </w14:textFill>
                    </w:rPr>
                  </w:pPr>
                  <w:r>
                    <w:rPr>
                      <w:rFonts w:cs="Times New Roman"/>
                      <w:color w:val="000000" w:themeColor="text1"/>
                      <w14:textFill>
                        <w14:solidFill>
                          <w14:schemeClr w14:val="tx1"/>
                        </w14:solidFill>
                      </w14:textFill>
                    </w:rPr>
                    <w:t>1次/</w:t>
                  </w:r>
                  <w:r>
                    <w:rPr>
                      <w:rFonts w:hint="eastAsia" w:cs="Times New Roman"/>
                      <w:color w:val="000000" w:themeColor="text1"/>
                      <w:lang w:val="en-US" w:eastAsia="zh-CN"/>
                      <w14:textFill>
                        <w14:solidFill>
                          <w14:schemeClr w14:val="tx1"/>
                        </w14:solidFill>
                      </w14:textFill>
                    </w:rPr>
                    <w:t>年</w:t>
                  </w:r>
                </w:p>
              </w:tc>
            </w:tr>
          </w:tbl>
          <w:p w14:paraId="17896D97">
            <w:pPr>
              <w:pStyle w:val="11"/>
              <w:keepNext/>
              <w:keepLines w:val="0"/>
              <w:pageBreakBefore w:val="0"/>
              <w:widowControl/>
              <w:kinsoku/>
              <w:wordWrap/>
              <w:overflowPunct/>
              <w:topLinePunct w:val="0"/>
              <w:autoSpaceDE/>
              <w:autoSpaceDN/>
              <w:bidi w:val="0"/>
              <w:adjustRightInd w:val="0"/>
              <w:snapToGrid w:val="0"/>
              <w:spacing w:after="0"/>
              <w:textAlignment w:val="auto"/>
              <w:rPr>
                <w:rFonts w:cs="Times New Roman"/>
                <w:b w:val="0"/>
                <w:color w:val="000000" w:themeColor="text1"/>
                <w:szCs w:val="21"/>
                <w14:textFill>
                  <w14:solidFill>
                    <w14:schemeClr w14:val="tx1"/>
                  </w14:solidFill>
                </w14:textFill>
              </w:rPr>
            </w:pPr>
          </w:p>
          <w:p w14:paraId="2E4107E1">
            <w:pPr>
              <w:ind w:firstLine="0" w:firstLineChars="0"/>
              <w:rPr>
                <w:color w:val="000000" w:themeColor="text1"/>
                <w:vertAlign w:val="baseline"/>
                <w14:textFill>
                  <w14:solidFill>
                    <w14:schemeClr w14:val="tx1"/>
                  </w14:solidFill>
                </w14:textFill>
              </w:rPr>
            </w:pPr>
          </w:p>
        </w:tc>
      </w:tr>
    </w:tbl>
    <w:p w14:paraId="678E29EB">
      <w:pPr>
        <w:pStyle w:val="17"/>
      </w:pPr>
    </w:p>
    <w:p w14:paraId="29D4A0A5">
      <w:pPr>
        <w:ind w:firstLine="480"/>
        <w:rPr>
          <w:rFonts w:cs="Times New Roman"/>
        </w:rPr>
        <w:sectPr>
          <w:pgSz w:w="11906" w:h="16838"/>
          <w:pgMar w:top="1440" w:right="1080" w:bottom="1440" w:left="1080" w:header="851" w:footer="567" w:gutter="0"/>
          <w:cols w:space="425" w:num="1"/>
          <w:docGrid w:type="lines" w:linePitch="326" w:charSpace="0"/>
        </w:sectPr>
      </w:pP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4"/>
        <w:gridCol w:w="13357"/>
      </w:tblGrid>
      <w:tr w14:paraId="081D6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Pr>
          <w:p w14:paraId="0495F9C8">
            <w:pPr>
              <w:pStyle w:val="24"/>
              <w:rPr>
                <w:rFonts w:cs="Times New Roman"/>
              </w:rPr>
            </w:pPr>
            <w:r>
              <w:rPr>
                <w:rFonts w:cs="Times New Roman"/>
              </w:rPr>
              <w:t>运营</w:t>
            </w:r>
          </w:p>
          <w:p w14:paraId="089C2E40">
            <w:pPr>
              <w:pStyle w:val="24"/>
              <w:rPr>
                <w:rFonts w:cs="Times New Roman"/>
              </w:rPr>
            </w:pPr>
            <w:r>
              <w:rPr>
                <w:rFonts w:cs="Times New Roman"/>
              </w:rPr>
              <w:t>期环</w:t>
            </w:r>
          </w:p>
          <w:p w14:paraId="6AA6F064">
            <w:pPr>
              <w:pStyle w:val="24"/>
              <w:rPr>
                <w:rFonts w:cs="Times New Roman"/>
              </w:rPr>
            </w:pPr>
            <w:r>
              <w:rPr>
                <w:rFonts w:cs="Times New Roman"/>
              </w:rPr>
              <w:t>境影</w:t>
            </w:r>
          </w:p>
          <w:p w14:paraId="21610D70">
            <w:pPr>
              <w:pStyle w:val="24"/>
              <w:rPr>
                <w:rFonts w:cs="Times New Roman"/>
              </w:rPr>
            </w:pPr>
            <w:r>
              <w:rPr>
                <w:rFonts w:cs="Times New Roman"/>
              </w:rPr>
              <w:t>响和</w:t>
            </w:r>
          </w:p>
          <w:p w14:paraId="234D44C0">
            <w:pPr>
              <w:pStyle w:val="24"/>
              <w:rPr>
                <w:rFonts w:cs="Times New Roman"/>
              </w:rPr>
            </w:pPr>
            <w:r>
              <w:rPr>
                <w:rFonts w:cs="Times New Roman"/>
              </w:rPr>
              <w:t>保护</w:t>
            </w:r>
          </w:p>
          <w:p w14:paraId="66534307">
            <w:pPr>
              <w:pStyle w:val="24"/>
              <w:rPr>
                <w:rFonts w:cs="Times New Roman"/>
              </w:rPr>
            </w:pPr>
            <w:r>
              <w:rPr>
                <w:rFonts w:cs="Times New Roman"/>
              </w:rPr>
              <w:t>措施</w:t>
            </w:r>
          </w:p>
        </w:tc>
        <w:tc>
          <w:tcPr>
            <w:tcW w:w="13244" w:type="dxa"/>
          </w:tcPr>
          <w:p w14:paraId="3AA1B38F">
            <w:pPr>
              <w:pStyle w:val="3"/>
              <w:spacing w:before="163"/>
            </w:pPr>
            <w:r>
              <w:t>3、噪声的排放及治理措施</w:t>
            </w:r>
          </w:p>
          <w:p w14:paraId="49D15840">
            <w:pPr>
              <w:ind w:firstLine="482"/>
              <w:rPr>
                <w:rFonts w:cs="Times New Roman"/>
                <w:b/>
              </w:rPr>
            </w:pPr>
            <w:r>
              <w:rPr>
                <w:rFonts w:cs="Times New Roman"/>
                <w:b/>
              </w:rPr>
              <w:t>（1）主要噪声源强</w:t>
            </w:r>
          </w:p>
          <w:p w14:paraId="0D556A53">
            <w:pPr>
              <w:keepNext w:val="0"/>
              <w:keepLines w:val="0"/>
              <w:pageBreakBefore w:val="0"/>
              <w:widowControl w:val="0"/>
              <w:kinsoku/>
              <w:wordWrap/>
              <w:overflowPunct/>
              <w:topLinePunct w:val="0"/>
              <w:autoSpaceDE/>
              <w:autoSpaceDN/>
              <w:bidi w:val="0"/>
              <w:adjustRightInd/>
              <w:snapToGrid/>
              <w:ind w:firstLine="482"/>
              <w:textAlignment w:val="auto"/>
              <w:rPr>
                <w:rFonts w:cs="Times New Roman"/>
              </w:rPr>
            </w:pPr>
            <w:r>
              <w:rPr>
                <w:rFonts w:cs="Times New Roman"/>
              </w:rPr>
              <w:t>本项目营运期主要噪声源为生产设备运行噪声，</w:t>
            </w:r>
            <w:r>
              <w:rPr>
                <w:rFonts w:hint="eastAsia" w:cs="Times New Roman"/>
                <w:lang w:eastAsia="zh-CN"/>
              </w:rPr>
              <w:t>采取基础减振</w:t>
            </w:r>
            <w:r>
              <w:rPr>
                <w:rFonts w:cs="Times New Roman"/>
              </w:rPr>
              <w:t>以后，噪声值约在70-8</w:t>
            </w:r>
            <w:r>
              <w:rPr>
                <w:rFonts w:hint="eastAsia" w:cs="Times New Roman"/>
                <w:lang w:val="en-US" w:eastAsia="zh-CN"/>
              </w:rPr>
              <w:t>5</w:t>
            </w:r>
            <w:r>
              <w:rPr>
                <w:rFonts w:cs="Times New Roman"/>
              </w:rPr>
              <w:t>dB（A）范围内，厂房为封闭式钢框架厂房，项目生产设备均设置于厂房内，废气处理风机</w:t>
            </w:r>
            <w:r>
              <w:rPr>
                <w:rFonts w:hint="eastAsia" w:cs="Times New Roman"/>
                <w:lang w:val="en-US" w:eastAsia="zh-CN"/>
              </w:rPr>
              <w:t>设置在风机房内，</w:t>
            </w:r>
            <w:r>
              <w:rPr>
                <w:rFonts w:cs="Times New Roman"/>
              </w:rPr>
              <w:t>可利用厂房建筑结构消减噪声对外环境的影响。主要声源噪声源强情况见下表。</w:t>
            </w:r>
          </w:p>
          <w:p w14:paraId="233F561C">
            <w:pPr>
              <w:pStyle w:val="11"/>
              <w:keepNext w:val="0"/>
              <w:keepLines w:val="0"/>
              <w:pageBreakBefore w:val="0"/>
              <w:widowControl/>
              <w:kinsoku/>
              <w:wordWrap/>
              <w:overflowPunct/>
              <w:topLinePunct w:val="0"/>
              <w:autoSpaceDE/>
              <w:autoSpaceDN/>
              <w:bidi w:val="0"/>
              <w:adjustRightInd w:val="0"/>
              <w:snapToGrid w:val="0"/>
              <w:spacing w:after="0"/>
              <w:textAlignment w:val="auto"/>
              <w:rPr>
                <w:rFonts w:cs="Times New Roman"/>
                <w:b w:val="0"/>
                <w:szCs w:val="21"/>
              </w:rPr>
            </w:pPr>
            <w:r>
              <w:rPr>
                <w:rFonts w:cs="Times New Roman"/>
              </w:rPr>
              <w:t>表</w:t>
            </w:r>
            <w:r>
              <w:rPr>
                <w:rFonts w:cs="Times New Roman"/>
              </w:rPr>
              <w:fldChar w:fldCharType="begin"/>
            </w:r>
            <w:r>
              <w:rPr>
                <w:rFonts w:cs="Times New Roman"/>
              </w:rPr>
              <w:instrText xml:space="preserve"> SEQ seq \c </w:instrText>
            </w:r>
            <w:r>
              <w:rPr>
                <w:rFonts w:cs="Times New Roman"/>
              </w:rPr>
              <w:fldChar w:fldCharType="separate"/>
            </w:r>
            <w:r>
              <w:rPr>
                <w:rFonts w:cs="Times New Roman"/>
              </w:rPr>
              <w:t>4</w:t>
            </w:r>
            <w:r>
              <w:rPr>
                <w:rFonts w:cs="Times New Roman"/>
              </w:rPr>
              <w:fldChar w:fldCharType="end"/>
            </w:r>
            <w:r>
              <w:rPr>
                <w:rFonts w:cs="Times New Roman"/>
              </w:rPr>
              <w:noBreakHyphen/>
            </w:r>
            <w:r>
              <w:rPr>
                <w:rFonts w:cs="Times New Roman"/>
              </w:rPr>
              <w:fldChar w:fldCharType="begin"/>
            </w:r>
            <w:r>
              <w:rPr>
                <w:rFonts w:cs="Times New Roman"/>
              </w:rPr>
              <w:instrText xml:space="preserve"> SEQ 表 \* ARABIC \s 1 </w:instrText>
            </w:r>
            <w:r>
              <w:rPr>
                <w:rFonts w:cs="Times New Roman"/>
              </w:rPr>
              <w:fldChar w:fldCharType="separate"/>
            </w:r>
            <w:r>
              <w:rPr>
                <w:rFonts w:cs="Times New Roman"/>
              </w:rPr>
              <w:t>4</w:t>
            </w:r>
            <w:r>
              <w:rPr>
                <w:rFonts w:cs="Times New Roman"/>
              </w:rPr>
              <w:fldChar w:fldCharType="end"/>
            </w:r>
            <w:r>
              <w:rPr>
                <w:rFonts w:cs="Times New Roman"/>
              </w:rPr>
              <w:t xml:space="preserve"> 工业企业（室内）噪声源强调查清单</w:t>
            </w:r>
          </w:p>
          <w:tbl>
            <w:tblPr>
              <w:tblStyle w:val="26"/>
              <w:tblpPr w:leftFromText="180" w:rightFromText="180" w:vertAnchor="text" w:horzAnchor="page" w:tblpXSpec="center" w:tblpY="323"/>
              <w:tblOverlap w:val="never"/>
              <w:tblW w:w="131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5"/>
              <w:gridCol w:w="1071"/>
              <w:gridCol w:w="617"/>
              <w:gridCol w:w="515"/>
              <w:gridCol w:w="553"/>
              <w:gridCol w:w="553"/>
              <w:gridCol w:w="581"/>
              <w:gridCol w:w="521"/>
              <w:gridCol w:w="521"/>
              <w:gridCol w:w="521"/>
              <w:gridCol w:w="636"/>
              <w:gridCol w:w="462"/>
              <w:gridCol w:w="462"/>
              <w:gridCol w:w="462"/>
              <w:gridCol w:w="491"/>
              <w:gridCol w:w="456"/>
              <w:gridCol w:w="448"/>
              <w:gridCol w:w="448"/>
              <w:gridCol w:w="448"/>
              <w:gridCol w:w="465"/>
              <w:gridCol w:w="474"/>
              <w:gridCol w:w="475"/>
              <w:gridCol w:w="476"/>
              <w:gridCol w:w="476"/>
              <w:gridCol w:w="544"/>
            </w:tblGrid>
            <w:tr w14:paraId="46D24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2" w:hRule="exact"/>
                <w:jc w:val="center"/>
              </w:trPr>
              <w:tc>
                <w:tcPr>
                  <w:tcW w:w="455" w:type="dxa"/>
                  <w:vMerge w:val="restart"/>
                  <w:shd w:val="clear" w:color="auto" w:fill="auto"/>
                  <w:vAlign w:val="center"/>
                </w:tcPr>
                <w:p w14:paraId="59E80F21">
                  <w:pPr>
                    <w:pStyle w:val="45"/>
                    <w:rPr>
                      <w:rFonts w:cs="Times New Roman"/>
                    </w:rPr>
                  </w:pPr>
                  <w:bookmarkStart w:id="70" w:name="PT_6"/>
                  <w:r>
                    <w:rPr>
                      <w:rFonts w:cs="Times New Roman"/>
                    </w:rPr>
                    <w:t>序号</w:t>
                  </w:r>
                </w:p>
              </w:tc>
              <w:tc>
                <w:tcPr>
                  <w:tcW w:w="1076" w:type="dxa"/>
                  <w:vMerge w:val="restart"/>
                  <w:shd w:val="clear" w:color="auto" w:fill="auto"/>
                  <w:vAlign w:val="center"/>
                </w:tcPr>
                <w:p w14:paraId="3DCEE15A">
                  <w:pPr>
                    <w:pStyle w:val="45"/>
                    <w:rPr>
                      <w:rFonts w:cs="Times New Roman"/>
                    </w:rPr>
                  </w:pPr>
                  <w:r>
                    <w:rPr>
                      <w:rFonts w:cs="Times New Roman"/>
                    </w:rPr>
                    <w:t>声源名称</w:t>
                  </w:r>
                </w:p>
              </w:tc>
              <w:tc>
                <w:tcPr>
                  <w:tcW w:w="592" w:type="dxa"/>
                  <w:shd w:val="clear" w:color="auto" w:fill="auto"/>
                  <w:vAlign w:val="center"/>
                </w:tcPr>
                <w:p w14:paraId="1B82AF9C">
                  <w:pPr>
                    <w:pStyle w:val="45"/>
                    <w:rPr>
                      <w:rFonts w:cs="Times New Roman"/>
                    </w:rPr>
                  </w:pPr>
                  <w:r>
                    <w:rPr>
                      <w:rFonts w:cs="Times New Roman"/>
                    </w:rPr>
                    <w:t>声源源强</w:t>
                  </w:r>
                </w:p>
              </w:tc>
              <w:tc>
                <w:tcPr>
                  <w:tcW w:w="516" w:type="dxa"/>
                  <w:vMerge w:val="restart"/>
                  <w:shd w:val="clear" w:color="auto" w:fill="auto"/>
                  <w:vAlign w:val="center"/>
                </w:tcPr>
                <w:p w14:paraId="54C8FE2C">
                  <w:pPr>
                    <w:pStyle w:val="45"/>
                    <w:rPr>
                      <w:rFonts w:cs="Times New Roman"/>
                    </w:rPr>
                  </w:pPr>
                  <w:r>
                    <w:rPr>
                      <w:rFonts w:cs="Times New Roman"/>
                    </w:rPr>
                    <w:t>声源控制措施</w:t>
                  </w:r>
                </w:p>
              </w:tc>
              <w:tc>
                <w:tcPr>
                  <w:tcW w:w="1691" w:type="dxa"/>
                  <w:gridSpan w:val="3"/>
                  <w:shd w:val="clear" w:color="auto" w:fill="auto"/>
                  <w:vAlign w:val="center"/>
                </w:tcPr>
                <w:p w14:paraId="673092B0">
                  <w:pPr>
                    <w:pStyle w:val="45"/>
                    <w:rPr>
                      <w:rFonts w:cs="Times New Roman"/>
                    </w:rPr>
                  </w:pPr>
                  <w:r>
                    <w:rPr>
                      <w:rFonts w:cs="Times New Roman"/>
                    </w:rPr>
                    <w:t>空间相对位置/m</w:t>
                  </w:r>
                </w:p>
              </w:tc>
              <w:tc>
                <w:tcPr>
                  <w:tcW w:w="2204" w:type="dxa"/>
                  <w:gridSpan w:val="4"/>
                  <w:shd w:val="clear" w:color="auto" w:fill="auto"/>
                  <w:vAlign w:val="center"/>
                </w:tcPr>
                <w:p w14:paraId="4A00D206">
                  <w:pPr>
                    <w:pStyle w:val="45"/>
                    <w:rPr>
                      <w:rFonts w:cs="Times New Roman"/>
                    </w:rPr>
                  </w:pPr>
                  <w:r>
                    <w:rPr>
                      <w:rFonts w:cs="Times New Roman"/>
                    </w:rPr>
                    <w:t>距室内边界距离/m</w:t>
                  </w:r>
                </w:p>
              </w:tc>
              <w:tc>
                <w:tcPr>
                  <w:tcW w:w="1881" w:type="dxa"/>
                  <w:gridSpan w:val="4"/>
                  <w:shd w:val="clear" w:color="auto" w:fill="auto"/>
                  <w:vAlign w:val="center"/>
                </w:tcPr>
                <w:p w14:paraId="28656311">
                  <w:pPr>
                    <w:pStyle w:val="45"/>
                    <w:rPr>
                      <w:rFonts w:cs="Times New Roman"/>
                    </w:rPr>
                  </w:pPr>
                  <w:r>
                    <w:rPr>
                      <w:rFonts w:cs="Times New Roman"/>
                    </w:rPr>
                    <w:t>室内边界声级/dB(A)</w:t>
                  </w:r>
                </w:p>
              </w:tc>
              <w:tc>
                <w:tcPr>
                  <w:tcW w:w="456" w:type="dxa"/>
                  <w:vMerge w:val="restart"/>
                  <w:shd w:val="clear" w:color="auto" w:fill="auto"/>
                  <w:vAlign w:val="center"/>
                </w:tcPr>
                <w:p w14:paraId="33D3C336">
                  <w:pPr>
                    <w:pStyle w:val="45"/>
                    <w:rPr>
                      <w:rFonts w:cs="Times New Roman"/>
                    </w:rPr>
                  </w:pPr>
                  <w:r>
                    <w:rPr>
                      <w:rFonts w:cs="Times New Roman"/>
                    </w:rPr>
                    <w:t>运行时段</w:t>
                  </w:r>
                </w:p>
              </w:tc>
              <w:tc>
                <w:tcPr>
                  <w:tcW w:w="1813" w:type="dxa"/>
                  <w:gridSpan w:val="4"/>
                  <w:vMerge w:val="restart"/>
                  <w:shd w:val="clear" w:color="auto" w:fill="auto"/>
                  <w:vAlign w:val="center"/>
                </w:tcPr>
                <w:p w14:paraId="3FF7D977">
                  <w:pPr>
                    <w:pStyle w:val="45"/>
                    <w:rPr>
                      <w:rFonts w:cs="Times New Roman"/>
                    </w:rPr>
                  </w:pPr>
                  <w:r>
                    <w:rPr>
                      <w:rFonts w:cs="Times New Roman"/>
                    </w:rPr>
                    <w:t>建筑物插入损失 / dB(A)</w:t>
                  </w:r>
                  <w:bookmarkStart w:id="71" w:name="PT_10"/>
                  <w:bookmarkEnd w:id="71"/>
                </w:p>
              </w:tc>
              <w:tc>
                <w:tcPr>
                  <w:tcW w:w="2447" w:type="dxa"/>
                  <w:gridSpan w:val="5"/>
                  <w:shd w:val="clear" w:color="auto" w:fill="auto"/>
                  <w:vAlign w:val="center"/>
                </w:tcPr>
                <w:p w14:paraId="1DF8C70B">
                  <w:pPr>
                    <w:pStyle w:val="45"/>
                    <w:rPr>
                      <w:rFonts w:cs="Times New Roman"/>
                    </w:rPr>
                  </w:pPr>
                  <w:r>
                    <w:rPr>
                      <w:rFonts w:cs="Times New Roman"/>
                    </w:rPr>
                    <w:t>建筑物外噪声声压级/dB(A)</w:t>
                  </w:r>
                </w:p>
              </w:tc>
            </w:tr>
            <w:tr w14:paraId="59B60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5" w:type="dxa"/>
                  <w:vMerge w:val="continue"/>
                  <w:shd w:val="clear" w:color="auto" w:fill="auto"/>
                  <w:tcMar>
                    <w:top w:w="0" w:type="dxa"/>
                    <w:left w:w="0" w:type="dxa"/>
                    <w:bottom w:w="0" w:type="dxa"/>
                    <w:right w:w="0" w:type="dxa"/>
                  </w:tcMar>
                  <w:vAlign w:val="center"/>
                </w:tcPr>
                <w:p w14:paraId="46D6F985">
                  <w:pPr>
                    <w:pStyle w:val="45"/>
                    <w:rPr>
                      <w:rFonts w:cs="Times New Roman"/>
                    </w:rPr>
                  </w:pPr>
                </w:p>
              </w:tc>
              <w:tc>
                <w:tcPr>
                  <w:tcW w:w="1076" w:type="dxa"/>
                  <w:vMerge w:val="continue"/>
                  <w:shd w:val="clear" w:color="auto" w:fill="auto"/>
                  <w:tcMar>
                    <w:top w:w="0" w:type="dxa"/>
                    <w:left w:w="0" w:type="dxa"/>
                    <w:bottom w:w="0" w:type="dxa"/>
                    <w:right w:w="0" w:type="dxa"/>
                  </w:tcMar>
                  <w:vAlign w:val="center"/>
                </w:tcPr>
                <w:p w14:paraId="1AA565F5">
                  <w:pPr>
                    <w:pStyle w:val="45"/>
                    <w:rPr>
                      <w:rFonts w:cs="Times New Roman"/>
                    </w:rPr>
                  </w:pPr>
                </w:p>
              </w:tc>
              <w:tc>
                <w:tcPr>
                  <w:tcW w:w="592" w:type="dxa"/>
                  <w:shd w:val="clear" w:color="auto" w:fill="auto"/>
                  <w:tcMar>
                    <w:top w:w="0" w:type="dxa"/>
                    <w:left w:w="0" w:type="dxa"/>
                    <w:bottom w:w="0" w:type="dxa"/>
                    <w:right w:w="0" w:type="dxa"/>
                  </w:tcMar>
                  <w:vAlign w:val="center"/>
                </w:tcPr>
                <w:p w14:paraId="21E070D0">
                  <w:pPr>
                    <w:pStyle w:val="45"/>
                    <w:rPr>
                      <w:rFonts w:cs="Times New Roman"/>
                    </w:rPr>
                  </w:pPr>
                  <w:r>
                    <w:rPr>
                      <w:rFonts w:cs="Times New Roman"/>
                    </w:rPr>
                    <w:t>声功率级/dB(A)</w:t>
                  </w:r>
                </w:p>
              </w:tc>
              <w:tc>
                <w:tcPr>
                  <w:tcW w:w="516" w:type="dxa"/>
                  <w:vMerge w:val="continue"/>
                  <w:shd w:val="clear" w:color="auto" w:fill="auto"/>
                  <w:tcMar>
                    <w:top w:w="0" w:type="dxa"/>
                    <w:left w:w="0" w:type="dxa"/>
                    <w:bottom w:w="0" w:type="dxa"/>
                    <w:right w:w="0" w:type="dxa"/>
                  </w:tcMar>
                  <w:vAlign w:val="center"/>
                </w:tcPr>
                <w:p w14:paraId="47A23067">
                  <w:pPr>
                    <w:pStyle w:val="45"/>
                    <w:rPr>
                      <w:rFonts w:cs="Times New Roman"/>
                    </w:rPr>
                  </w:pPr>
                </w:p>
              </w:tc>
              <w:tc>
                <w:tcPr>
                  <w:tcW w:w="554" w:type="dxa"/>
                  <w:shd w:val="clear" w:color="auto" w:fill="auto"/>
                  <w:tcMar>
                    <w:top w:w="0" w:type="dxa"/>
                    <w:left w:w="0" w:type="dxa"/>
                    <w:bottom w:w="0" w:type="dxa"/>
                    <w:right w:w="0" w:type="dxa"/>
                  </w:tcMar>
                  <w:vAlign w:val="center"/>
                </w:tcPr>
                <w:p w14:paraId="2333F18B">
                  <w:pPr>
                    <w:pStyle w:val="45"/>
                    <w:rPr>
                      <w:rFonts w:cs="Times New Roman"/>
                    </w:rPr>
                  </w:pPr>
                  <w:r>
                    <w:rPr>
                      <w:rFonts w:cs="Times New Roman"/>
                    </w:rPr>
                    <w:t>X</w:t>
                  </w:r>
                </w:p>
              </w:tc>
              <w:tc>
                <w:tcPr>
                  <w:tcW w:w="554" w:type="dxa"/>
                  <w:shd w:val="clear" w:color="auto" w:fill="auto"/>
                  <w:tcMar>
                    <w:top w:w="0" w:type="dxa"/>
                    <w:left w:w="0" w:type="dxa"/>
                    <w:bottom w:w="0" w:type="dxa"/>
                    <w:right w:w="0" w:type="dxa"/>
                  </w:tcMar>
                  <w:vAlign w:val="center"/>
                </w:tcPr>
                <w:p w14:paraId="075F1D95">
                  <w:pPr>
                    <w:pStyle w:val="45"/>
                    <w:rPr>
                      <w:rFonts w:cs="Times New Roman"/>
                    </w:rPr>
                  </w:pPr>
                  <w:r>
                    <w:rPr>
                      <w:rFonts w:cs="Times New Roman"/>
                    </w:rPr>
                    <w:t>Y</w:t>
                  </w:r>
                </w:p>
              </w:tc>
              <w:tc>
                <w:tcPr>
                  <w:tcW w:w="583" w:type="dxa"/>
                  <w:shd w:val="clear" w:color="auto" w:fill="auto"/>
                  <w:tcMar>
                    <w:top w:w="0" w:type="dxa"/>
                    <w:left w:w="0" w:type="dxa"/>
                    <w:bottom w:w="0" w:type="dxa"/>
                    <w:right w:w="0" w:type="dxa"/>
                  </w:tcMar>
                  <w:vAlign w:val="center"/>
                </w:tcPr>
                <w:p w14:paraId="5429CA1E">
                  <w:pPr>
                    <w:pStyle w:val="45"/>
                    <w:rPr>
                      <w:rFonts w:cs="Times New Roman"/>
                    </w:rPr>
                  </w:pPr>
                  <w:r>
                    <w:rPr>
                      <w:rFonts w:cs="Times New Roman"/>
                    </w:rPr>
                    <w:t>Z</w:t>
                  </w:r>
                </w:p>
              </w:tc>
              <w:tc>
                <w:tcPr>
                  <w:tcW w:w="522" w:type="dxa"/>
                  <w:shd w:val="clear" w:color="auto" w:fill="auto"/>
                  <w:tcMar>
                    <w:top w:w="0" w:type="dxa"/>
                    <w:left w:w="0" w:type="dxa"/>
                    <w:bottom w:w="0" w:type="dxa"/>
                    <w:right w:w="0" w:type="dxa"/>
                  </w:tcMar>
                  <w:vAlign w:val="center"/>
                </w:tcPr>
                <w:p w14:paraId="65E0F1E0">
                  <w:pPr>
                    <w:pStyle w:val="45"/>
                    <w:rPr>
                      <w:rFonts w:cs="Times New Roman"/>
                    </w:rPr>
                  </w:pPr>
                  <w:r>
                    <w:rPr>
                      <w:rFonts w:hint="eastAsia" w:cs="Times New Roman"/>
                    </w:rPr>
                    <w:t>西</w:t>
                  </w:r>
                </w:p>
              </w:tc>
              <w:tc>
                <w:tcPr>
                  <w:tcW w:w="522" w:type="dxa"/>
                  <w:shd w:val="clear" w:color="auto" w:fill="auto"/>
                  <w:tcMar>
                    <w:top w:w="0" w:type="dxa"/>
                    <w:left w:w="0" w:type="dxa"/>
                    <w:bottom w:w="0" w:type="dxa"/>
                    <w:right w:w="0" w:type="dxa"/>
                  </w:tcMar>
                  <w:vAlign w:val="center"/>
                </w:tcPr>
                <w:p w14:paraId="377F6A07">
                  <w:pPr>
                    <w:pStyle w:val="45"/>
                    <w:rPr>
                      <w:rFonts w:cs="Times New Roman"/>
                    </w:rPr>
                  </w:pPr>
                  <w:r>
                    <w:rPr>
                      <w:rFonts w:cs="Times New Roman"/>
                    </w:rPr>
                    <w:t>南</w:t>
                  </w:r>
                </w:p>
              </w:tc>
              <w:tc>
                <w:tcPr>
                  <w:tcW w:w="522" w:type="dxa"/>
                  <w:shd w:val="clear" w:color="auto" w:fill="auto"/>
                  <w:tcMar>
                    <w:top w:w="0" w:type="dxa"/>
                    <w:left w:w="0" w:type="dxa"/>
                    <w:bottom w:w="0" w:type="dxa"/>
                    <w:right w:w="0" w:type="dxa"/>
                  </w:tcMar>
                  <w:vAlign w:val="center"/>
                </w:tcPr>
                <w:p w14:paraId="07FE288C">
                  <w:pPr>
                    <w:pStyle w:val="45"/>
                    <w:rPr>
                      <w:rFonts w:cs="Times New Roman"/>
                    </w:rPr>
                  </w:pPr>
                  <w:r>
                    <w:rPr>
                      <w:rFonts w:hint="eastAsia" w:cs="Times New Roman"/>
                    </w:rPr>
                    <w:t>东</w:t>
                  </w:r>
                </w:p>
              </w:tc>
              <w:tc>
                <w:tcPr>
                  <w:tcW w:w="638" w:type="dxa"/>
                  <w:shd w:val="clear" w:color="auto" w:fill="auto"/>
                  <w:tcMar>
                    <w:top w:w="0" w:type="dxa"/>
                    <w:left w:w="0" w:type="dxa"/>
                    <w:bottom w:w="0" w:type="dxa"/>
                    <w:right w:w="0" w:type="dxa"/>
                  </w:tcMar>
                  <w:vAlign w:val="center"/>
                </w:tcPr>
                <w:p w14:paraId="0F0B8AD7">
                  <w:pPr>
                    <w:pStyle w:val="45"/>
                    <w:rPr>
                      <w:rFonts w:cs="Times New Roman"/>
                    </w:rPr>
                  </w:pPr>
                  <w:r>
                    <w:rPr>
                      <w:rFonts w:cs="Times New Roman"/>
                    </w:rPr>
                    <w:t>北</w:t>
                  </w:r>
                </w:p>
              </w:tc>
              <w:tc>
                <w:tcPr>
                  <w:tcW w:w="463" w:type="dxa"/>
                  <w:shd w:val="clear" w:color="auto" w:fill="auto"/>
                  <w:tcMar>
                    <w:top w:w="0" w:type="dxa"/>
                    <w:left w:w="0" w:type="dxa"/>
                    <w:bottom w:w="0" w:type="dxa"/>
                    <w:right w:w="0" w:type="dxa"/>
                  </w:tcMar>
                  <w:vAlign w:val="center"/>
                </w:tcPr>
                <w:p w14:paraId="129ED69E">
                  <w:pPr>
                    <w:pStyle w:val="45"/>
                    <w:rPr>
                      <w:rFonts w:cs="Times New Roman"/>
                    </w:rPr>
                  </w:pPr>
                  <w:r>
                    <w:rPr>
                      <w:rFonts w:hint="eastAsia" w:cs="Times New Roman"/>
                    </w:rPr>
                    <w:t>西</w:t>
                  </w:r>
                </w:p>
              </w:tc>
              <w:tc>
                <w:tcPr>
                  <w:tcW w:w="463" w:type="dxa"/>
                  <w:shd w:val="clear" w:color="auto" w:fill="auto"/>
                  <w:tcMar>
                    <w:top w:w="0" w:type="dxa"/>
                    <w:left w:w="0" w:type="dxa"/>
                    <w:bottom w:w="0" w:type="dxa"/>
                    <w:right w:w="0" w:type="dxa"/>
                  </w:tcMar>
                  <w:vAlign w:val="center"/>
                </w:tcPr>
                <w:p w14:paraId="27B0A25D">
                  <w:pPr>
                    <w:pStyle w:val="45"/>
                    <w:rPr>
                      <w:rFonts w:cs="Times New Roman"/>
                    </w:rPr>
                  </w:pPr>
                  <w:r>
                    <w:rPr>
                      <w:rFonts w:cs="Times New Roman"/>
                    </w:rPr>
                    <w:t>南</w:t>
                  </w:r>
                </w:p>
              </w:tc>
              <w:tc>
                <w:tcPr>
                  <w:tcW w:w="463" w:type="dxa"/>
                  <w:shd w:val="clear" w:color="auto" w:fill="auto"/>
                  <w:tcMar>
                    <w:top w:w="0" w:type="dxa"/>
                    <w:left w:w="0" w:type="dxa"/>
                    <w:bottom w:w="0" w:type="dxa"/>
                    <w:right w:w="0" w:type="dxa"/>
                  </w:tcMar>
                  <w:vAlign w:val="center"/>
                </w:tcPr>
                <w:p w14:paraId="5E6D3FF2">
                  <w:pPr>
                    <w:pStyle w:val="45"/>
                    <w:rPr>
                      <w:rFonts w:cs="Times New Roman"/>
                    </w:rPr>
                  </w:pPr>
                  <w:r>
                    <w:rPr>
                      <w:rFonts w:hint="eastAsia" w:cs="Times New Roman"/>
                    </w:rPr>
                    <w:t>东</w:t>
                  </w:r>
                </w:p>
              </w:tc>
              <w:tc>
                <w:tcPr>
                  <w:tcW w:w="492" w:type="dxa"/>
                  <w:shd w:val="clear" w:color="auto" w:fill="auto"/>
                  <w:tcMar>
                    <w:top w:w="0" w:type="dxa"/>
                    <w:left w:w="0" w:type="dxa"/>
                    <w:bottom w:w="0" w:type="dxa"/>
                    <w:right w:w="0" w:type="dxa"/>
                  </w:tcMar>
                  <w:vAlign w:val="center"/>
                </w:tcPr>
                <w:p w14:paraId="42DC4AF1">
                  <w:pPr>
                    <w:pStyle w:val="45"/>
                    <w:rPr>
                      <w:rFonts w:cs="Times New Roman"/>
                    </w:rPr>
                  </w:pPr>
                  <w:r>
                    <w:rPr>
                      <w:rFonts w:cs="Times New Roman"/>
                    </w:rPr>
                    <w:t>北</w:t>
                  </w:r>
                </w:p>
              </w:tc>
              <w:tc>
                <w:tcPr>
                  <w:tcW w:w="456" w:type="dxa"/>
                  <w:vMerge w:val="continue"/>
                  <w:shd w:val="clear" w:color="auto" w:fill="auto"/>
                  <w:tcMar>
                    <w:top w:w="0" w:type="dxa"/>
                    <w:left w:w="0" w:type="dxa"/>
                    <w:bottom w:w="0" w:type="dxa"/>
                    <w:right w:w="0" w:type="dxa"/>
                  </w:tcMar>
                  <w:vAlign w:val="center"/>
                </w:tcPr>
                <w:p w14:paraId="4D004F33">
                  <w:pPr>
                    <w:pStyle w:val="45"/>
                    <w:rPr>
                      <w:rFonts w:cs="Times New Roman"/>
                    </w:rPr>
                  </w:pPr>
                </w:p>
              </w:tc>
              <w:tc>
                <w:tcPr>
                  <w:tcW w:w="1813" w:type="dxa"/>
                  <w:gridSpan w:val="4"/>
                  <w:vMerge w:val="continue"/>
                  <w:shd w:val="clear" w:color="auto" w:fill="auto"/>
                  <w:tcMar>
                    <w:top w:w="0" w:type="dxa"/>
                    <w:left w:w="0" w:type="dxa"/>
                    <w:bottom w:w="0" w:type="dxa"/>
                    <w:right w:w="0" w:type="dxa"/>
                  </w:tcMar>
                  <w:vAlign w:val="center"/>
                </w:tcPr>
                <w:p w14:paraId="4712E8C4">
                  <w:pPr>
                    <w:pStyle w:val="45"/>
                    <w:rPr>
                      <w:rFonts w:cs="Times New Roman"/>
                    </w:rPr>
                  </w:pPr>
                </w:p>
              </w:tc>
              <w:tc>
                <w:tcPr>
                  <w:tcW w:w="475" w:type="dxa"/>
                  <w:shd w:val="clear" w:color="auto" w:fill="auto"/>
                  <w:tcMar>
                    <w:top w:w="0" w:type="dxa"/>
                    <w:left w:w="0" w:type="dxa"/>
                    <w:bottom w:w="0" w:type="dxa"/>
                    <w:right w:w="0" w:type="dxa"/>
                  </w:tcMar>
                  <w:vAlign w:val="center"/>
                </w:tcPr>
                <w:p w14:paraId="660FC885">
                  <w:pPr>
                    <w:pStyle w:val="45"/>
                    <w:rPr>
                      <w:rFonts w:cs="Times New Roman"/>
                    </w:rPr>
                  </w:pPr>
                  <w:r>
                    <w:rPr>
                      <w:rFonts w:cs="Times New Roman"/>
                    </w:rPr>
                    <w:t>东</w:t>
                  </w:r>
                </w:p>
              </w:tc>
              <w:tc>
                <w:tcPr>
                  <w:tcW w:w="475" w:type="dxa"/>
                  <w:shd w:val="clear" w:color="auto" w:fill="auto"/>
                  <w:tcMar>
                    <w:top w:w="0" w:type="dxa"/>
                    <w:left w:w="0" w:type="dxa"/>
                    <w:bottom w:w="0" w:type="dxa"/>
                    <w:right w:w="0" w:type="dxa"/>
                  </w:tcMar>
                  <w:vAlign w:val="center"/>
                </w:tcPr>
                <w:p w14:paraId="766FFAF8">
                  <w:pPr>
                    <w:pStyle w:val="45"/>
                    <w:rPr>
                      <w:rFonts w:cs="Times New Roman"/>
                    </w:rPr>
                  </w:pPr>
                  <w:r>
                    <w:rPr>
                      <w:rFonts w:cs="Times New Roman"/>
                    </w:rPr>
                    <w:t>南</w:t>
                  </w:r>
                </w:p>
              </w:tc>
              <w:tc>
                <w:tcPr>
                  <w:tcW w:w="476" w:type="dxa"/>
                  <w:shd w:val="clear" w:color="auto" w:fill="auto"/>
                  <w:tcMar>
                    <w:top w:w="0" w:type="dxa"/>
                    <w:left w:w="0" w:type="dxa"/>
                    <w:bottom w:w="0" w:type="dxa"/>
                    <w:right w:w="0" w:type="dxa"/>
                  </w:tcMar>
                  <w:vAlign w:val="center"/>
                </w:tcPr>
                <w:p w14:paraId="5B2EF3E7">
                  <w:pPr>
                    <w:pStyle w:val="45"/>
                    <w:rPr>
                      <w:rFonts w:cs="Times New Roman"/>
                    </w:rPr>
                  </w:pPr>
                  <w:r>
                    <w:rPr>
                      <w:rFonts w:cs="Times New Roman"/>
                    </w:rPr>
                    <w:t>西</w:t>
                  </w:r>
                </w:p>
              </w:tc>
              <w:tc>
                <w:tcPr>
                  <w:tcW w:w="476" w:type="dxa"/>
                  <w:shd w:val="clear" w:color="auto" w:fill="auto"/>
                  <w:tcMar>
                    <w:top w:w="0" w:type="dxa"/>
                    <w:left w:w="0" w:type="dxa"/>
                    <w:bottom w:w="0" w:type="dxa"/>
                    <w:right w:w="0" w:type="dxa"/>
                  </w:tcMar>
                  <w:vAlign w:val="center"/>
                </w:tcPr>
                <w:p w14:paraId="37BCAE2A">
                  <w:pPr>
                    <w:pStyle w:val="45"/>
                    <w:rPr>
                      <w:rFonts w:cs="Times New Roman"/>
                    </w:rPr>
                  </w:pPr>
                  <w:r>
                    <w:rPr>
                      <w:rFonts w:cs="Times New Roman"/>
                    </w:rPr>
                    <w:t>北</w:t>
                  </w:r>
                </w:p>
              </w:tc>
              <w:tc>
                <w:tcPr>
                  <w:tcW w:w="545" w:type="dxa"/>
                  <w:shd w:val="clear" w:color="auto" w:fill="auto"/>
                  <w:tcMar>
                    <w:top w:w="0" w:type="dxa"/>
                    <w:left w:w="0" w:type="dxa"/>
                    <w:bottom w:w="0" w:type="dxa"/>
                    <w:right w:w="0" w:type="dxa"/>
                  </w:tcMar>
                  <w:vAlign w:val="center"/>
                </w:tcPr>
                <w:p w14:paraId="0E0A5805">
                  <w:pPr>
                    <w:pStyle w:val="45"/>
                    <w:rPr>
                      <w:rFonts w:cs="Times New Roman"/>
                    </w:rPr>
                  </w:pPr>
                  <w:r>
                    <w:rPr>
                      <w:rFonts w:cs="Times New Roman"/>
                    </w:rPr>
                    <w:t>建筑物外距离m</w:t>
                  </w:r>
                </w:p>
              </w:tc>
            </w:tr>
            <w:tr w14:paraId="1B291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5" w:type="dxa"/>
                  <w:shd w:val="clear" w:color="auto" w:fill="auto"/>
                  <w:tcMar>
                    <w:top w:w="0" w:type="dxa"/>
                    <w:left w:w="0" w:type="dxa"/>
                    <w:bottom w:w="0" w:type="dxa"/>
                    <w:right w:w="0" w:type="dxa"/>
                  </w:tcMar>
                  <w:vAlign w:val="center"/>
                </w:tcPr>
                <w:p w14:paraId="4EB56536">
                  <w:pPr>
                    <w:pStyle w:val="12"/>
                    <w:rPr>
                      <w:rFonts w:cs="Times New Roman"/>
                    </w:rPr>
                  </w:pPr>
                  <w:r>
                    <w:rPr>
                      <w:rFonts w:cs="Times New Roman"/>
                    </w:rPr>
                    <w:t>1</w:t>
                  </w:r>
                </w:p>
              </w:tc>
              <w:tc>
                <w:tcPr>
                  <w:tcW w:w="1076" w:type="dxa"/>
                  <w:shd w:val="clear" w:color="auto" w:fill="auto"/>
                  <w:tcMar>
                    <w:top w:w="0" w:type="dxa"/>
                    <w:left w:w="0" w:type="dxa"/>
                    <w:bottom w:w="0" w:type="dxa"/>
                    <w:right w:w="0" w:type="dxa"/>
                  </w:tcMar>
                  <w:vAlign w:val="center"/>
                </w:tcPr>
                <w:p w14:paraId="51201176">
                  <w:pPr>
                    <w:pStyle w:val="12"/>
                    <w:rPr>
                      <w:rFonts w:hint="eastAsia" w:eastAsia="宋体" w:cs="Times New Roman"/>
                      <w:lang w:val="en-US" w:eastAsia="zh-CN"/>
                    </w:rPr>
                  </w:pPr>
                  <w:r>
                    <w:rPr>
                      <w:rFonts w:hint="eastAsia" w:cs="Times New Roman"/>
                      <w:lang w:val="en-US" w:eastAsia="zh-CN"/>
                    </w:rPr>
                    <w:t>搅拌罐</w:t>
                  </w:r>
                </w:p>
              </w:tc>
              <w:tc>
                <w:tcPr>
                  <w:tcW w:w="592" w:type="dxa"/>
                  <w:shd w:val="clear" w:color="auto" w:fill="auto"/>
                  <w:tcMar>
                    <w:top w:w="0" w:type="dxa"/>
                    <w:left w:w="0" w:type="dxa"/>
                    <w:bottom w:w="0" w:type="dxa"/>
                    <w:right w:w="0" w:type="dxa"/>
                  </w:tcMar>
                  <w:vAlign w:val="center"/>
                </w:tcPr>
                <w:p w14:paraId="069DED5A">
                  <w:pPr>
                    <w:pStyle w:val="12"/>
                    <w:rPr>
                      <w:rFonts w:hint="default" w:eastAsia="宋体" w:cs="Times New Roman"/>
                      <w:lang w:val="en-US" w:eastAsia="zh-CN"/>
                    </w:rPr>
                  </w:pPr>
                  <w:r>
                    <w:rPr>
                      <w:rFonts w:hint="eastAsia" w:cs="Times New Roman"/>
                      <w:lang w:val="en-US" w:eastAsia="zh-CN"/>
                    </w:rPr>
                    <w:t>75</w:t>
                  </w:r>
                </w:p>
              </w:tc>
              <w:tc>
                <w:tcPr>
                  <w:tcW w:w="516" w:type="dxa"/>
                  <w:vMerge w:val="restart"/>
                  <w:shd w:val="clear" w:color="auto" w:fill="auto"/>
                  <w:tcMar>
                    <w:top w:w="0" w:type="dxa"/>
                    <w:left w:w="0" w:type="dxa"/>
                    <w:bottom w:w="0" w:type="dxa"/>
                    <w:right w:w="0" w:type="dxa"/>
                  </w:tcMar>
                  <w:vAlign w:val="center"/>
                </w:tcPr>
                <w:p w14:paraId="3CBF9F65">
                  <w:pPr>
                    <w:pStyle w:val="12"/>
                    <w:rPr>
                      <w:rFonts w:cs="Times New Roman"/>
                    </w:rPr>
                  </w:pPr>
                  <w:r>
                    <w:rPr>
                      <w:rFonts w:cs="Times New Roman"/>
                    </w:rPr>
                    <w:t>选用低噪声设备，合理平面布局，建筑隔声，距离衰减。</w:t>
                  </w:r>
                </w:p>
              </w:tc>
              <w:tc>
                <w:tcPr>
                  <w:tcW w:w="554" w:type="dxa"/>
                  <w:shd w:val="clear" w:color="auto" w:fill="auto"/>
                  <w:tcMar>
                    <w:top w:w="0" w:type="dxa"/>
                    <w:left w:w="0" w:type="dxa"/>
                    <w:bottom w:w="0" w:type="dxa"/>
                    <w:right w:w="0" w:type="dxa"/>
                  </w:tcMar>
                  <w:vAlign w:val="center"/>
                </w:tcPr>
                <w:p w14:paraId="2720CC52">
                  <w:pPr>
                    <w:pStyle w:val="12"/>
                    <w:rPr>
                      <w:rFonts w:cs="Times New Roman"/>
                    </w:rPr>
                  </w:pPr>
                  <w:r>
                    <w:rPr>
                      <w:rFonts w:cs="Times New Roman"/>
                    </w:rPr>
                    <w:t>3.5</w:t>
                  </w:r>
                </w:p>
              </w:tc>
              <w:tc>
                <w:tcPr>
                  <w:tcW w:w="554" w:type="dxa"/>
                  <w:shd w:val="clear" w:color="auto" w:fill="auto"/>
                  <w:tcMar>
                    <w:top w:w="0" w:type="dxa"/>
                    <w:left w:w="0" w:type="dxa"/>
                    <w:bottom w:w="0" w:type="dxa"/>
                    <w:right w:w="0" w:type="dxa"/>
                  </w:tcMar>
                  <w:vAlign w:val="center"/>
                </w:tcPr>
                <w:p w14:paraId="1D03E84C">
                  <w:pPr>
                    <w:pStyle w:val="12"/>
                    <w:rPr>
                      <w:rFonts w:cs="Times New Roman"/>
                    </w:rPr>
                  </w:pPr>
                  <w:r>
                    <w:rPr>
                      <w:rFonts w:cs="Times New Roman"/>
                    </w:rPr>
                    <w:t>39.6</w:t>
                  </w:r>
                </w:p>
              </w:tc>
              <w:tc>
                <w:tcPr>
                  <w:tcW w:w="583" w:type="dxa"/>
                  <w:shd w:val="clear" w:color="auto" w:fill="auto"/>
                  <w:tcMar>
                    <w:top w:w="0" w:type="dxa"/>
                    <w:left w:w="0" w:type="dxa"/>
                    <w:bottom w:w="0" w:type="dxa"/>
                    <w:right w:w="0" w:type="dxa"/>
                  </w:tcMar>
                  <w:vAlign w:val="center"/>
                </w:tcPr>
                <w:p w14:paraId="1967A99D">
                  <w:pPr>
                    <w:pStyle w:val="12"/>
                    <w:rPr>
                      <w:rFonts w:cs="Times New Roman"/>
                    </w:rPr>
                  </w:pPr>
                  <w:r>
                    <w:rPr>
                      <w:rFonts w:cs="Times New Roman"/>
                    </w:rPr>
                    <w:t>2</w:t>
                  </w:r>
                </w:p>
              </w:tc>
              <w:tc>
                <w:tcPr>
                  <w:tcW w:w="522" w:type="dxa"/>
                  <w:shd w:val="clear" w:color="auto" w:fill="auto"/>
                  <w:tcMar>
                    <w:top w:w="0" w:type="dxa"/>
                    <w:left w:w="0" w:type="dxa"/>
                    <w:bottom w:w="0" w:type="dxa"/>
                    <w:right w:w="0" w:type="dxa"/>
                  </w:tcMar>
                  <w:vAlign w:val="center"/>
                </w:tcPr>
                <w:p w14:paraId="4B5E7FC7">
                  <w:pPr>
                    <w:pStyle w:val="12"/>
                    <w:rPr>
                      <w:rFonts w:cs="Times New Roman"/>
                    </w:rPr>
                  </w:pPr>
                  <w:r>
                    <w:rPr>
                      <w:rFonts w:cs="Times New Roman"/>
                    </w:rPr>
                    <w:t>29.4</w:t>
                  </w:r>
                </w:p>
              </w:tc>
              <w:tc>
                <w:tcPr>
                  <w:tcW w:w="522" w:type="dxa"/>
                  <w:shd w:val="clear" w:color="auto" w:fill="auto"/>
                  <w:tcMar>
                    <w:top w:w="0" w:type="dxa"/>
                    <w:left w:w="0" w:type="dxa"/>
                    <w:bottom w:w="0" w:type="dxa"/>
                    <w:right w:w="0" w:type="dxa"/>
                  </w:tcMar>
                  <w:vAlign w:val="center"/>
                </w:tcPr>
                <w:p w14:paraId="34C34E4D">
                  <w:pPr>
                    <w:pStyle w:val="12"/>
                    <w:rPr>
                      <w:rFonts w:cs="Times New Roman"/>
                    </w:rPr>
                  </w:pPr>
                  <w:r>
                    <w:rPr>
                      <w:rFonts w:cs="Times New Roman"/>
                    </w:rPr>
                    <w:t>80.6</w:t>
                  </w:r>
                </w:p>
              </w:tc>
              <w:tc>
                <w:tcPr>
                  <w:tcW w:w="522" w:type="dxa"/>
                  <w:shd w:val="clear" w:color="auto" w:fill="auto"/>
                  <w:tcMar>
                    <w:top w:w="0" w:type="dxa"/>
                    <w:left w:w="0" w:type="dxa"/>
                    <w:bottom w:w="0" w:type="dxa"/>
                    <w:right w:w="0" w:type="dxa"/>
                  </w:tcMar>
                  <w:vAlign w:val="center"/>
                </w:tcPr>
                <w:p w14:paraId="08B7CA59">
                  <w:pPr>
                    <w:pStyle w:val="12"/>
                    <w:rPr>
                      <w:rFonts w:cs="Times New Roman"/>
                    </w:rPr>
                  </w:pPr>
                  <w:r>
                    <w:rPr>
                      <w:rFonts w:cs="Times New Roman"/>
                    </w:rPr>
                    <w:t>10.7</w:t>
                  </w:r>
                </w:p>
              </w:tc>
              <w:tc>
                <w:tcPr>
                  <w:tcW w:w="638" w:type="dxa"/>
                  <w:shd w:val="clear" w:color="auto" w:fill="auto"/>
                  <w:tcMar>
                    <w:top w:w="0" w:type="dxa"/>
                    <w:left w:w="0" w:type="dxa"/>
                    <w:bottom w:w="0" w:type="dxa"/>
                    <w:right w:w="0" w:type="dxa"/>
                  </w:tcMar>
                  <w:vAlign w:val="center"/>
                </w:tcPr>
                <w:p w14:paraId="20BC5B12">
                  <w:pPr>
                    <w:pStyle w:val="12"/>
                    <w:rPr>
                      <w:rFonts w:cs="Times New Roman"/>
                    </w:rPr>
                  </w:pPr>
                  <w:r>
                    <w:rPr>
                      <w:rFonts w:cs="Times New Roman"/>
                    </w:rPr>
                    <w:t>10.6</w:t>
                  </w:r>
                </w:p>
              </w:tc>
              <w:tc>
                <w:tcPr>
                  <w:tcW w:w="463" w:type="dxa"/>
                  <w:shd w:val="clear" w:color="auto" w:fill="auto"/>
                  <w:tcMar>
                    <w:top w:w="0" w:type="dxa"/>
                    <w:left w:w="0" w:type="dxa"/>
                    <w:bottom w:w="0" w:type="dxa"/>
                    <w:right w:w="0" w:type="dxa"/>
                  </w:tcMar>
                  <w:vAlign w:val="center"/>
                </w:tcPr>
                <w:p w14:paraId="4654FC1C">
                  <w:pPr>
                    <w:pStyle w:val="12"/>
                    <w:rPr>
                      <w:rFonts w:cs="Times New Roman"/>
                    </w:rPr>
                  </w:pPr>
                  <w:r>
                    <w:rPr>
                      <w:rFonts w:cs="Times New Roman"/>
                    </w:rPr>
                    <w:t>57.9</w:t>
                  </w:r>
                </w:p>
              </w:tc>
              <w:tc>
                <w:tcPr>
                  <w:tcW w:w="463" w:type="dxa"/>
                  <w:shd w:val="clear" w:color="auto" w:fill="auto"/>
                  <w:tcMar>
                    <w:top w:w="0" w:type="dxa"/>
                    <w:left w:w="0" w:type="dxa"/>
                    <w:bottom w:w="0" w:type="dxa"/>
                    <w:right w:w="0" w:type="dxa"/>
                  </w:tcMar>
                  <w:vAlign w:val="center"/>
                </w:tcPr>
                <w:p w14:paraId="36CA7852">
                  <w:pPr>
                    <w:pStyle w:val="12"/>
                    <w:rPr>
                      <w:rFonts w:cs="Times New Roman"/>
                    </w:rPr>
                  </w:pPr>
                  <w:r>
                    <w:rPr>
                      <w:rFonts w:cs="Times New Roman"/>
                    </w:rPr>
                    <w:t>57.9</w:t>
                  </w:r>
                </w:p>
              </w:tc>
              <w:tc>
                <w:tcPr>
                  <w:tcW w:w="463" w:type="dxa"/>
                  <w:shd w:val="clear" w:color="auto" w:fill="auto"/>
                  <w:tcMar>
                    <w:top w:w="0" w:type="dxa"/>
                    <w:left w:w="0" w:type="dxa"/>
                    <w:bottom w:w="0" w:type="dxa"/>
                    <w:right w:w="0" w:type="dxa"/>
                  </w:tcMar>
                  <w:vAlign w:val="center"/>
                </w:tcPr>
                <w:p w14:paraId="3B86F2C1">
                  <w:pPr>
                    <w:pStyle w:val="12"/>
                    <w:rPr>
                      <w:rFonts w:cs="Times New Roman"/>
                    </w:rPr>
                  </w:pPr>
                  <w:r>
                    <w:rPr>
                      <w:rFonts w:cs="Times New Roman"/>
                    </w:rPr>
                    <w:t>58.1</w:t>
                  </w:r>
                </w:p>
              </w:tc>
              <w:tc>
                <w:tcPr>
                  <w:tcW w:w="492" w:type="dxa"/>
                  <w:shd w:val="clear" w:color="auto" w:fill="auto"/>
                  <w:tcMar>
                    <w:top w:w="0" w:type="dxa"/>
                    <w:left w:w="0" w:type="dxa"/>
                    <w:bottom w:w="0" w:type="dxa"/>
                    <w:right w:w="0" w:type="dxa"/>
                  </w:tcMar>
                  <w:vAlign w:val="center"/>
                </w:tcPr>
                <w:p w14:paraId="1AF84648">
                  <w:pPr>
                    <w:pStyle w:val="12"/>
                    <w:rPr>
                      <w:rFonts w:cs="Times New Roman"/>
                    </w:rPr>
                  </w:pPr>
                  <w:r>
                    <w:rPr>
                      <w:rFonts w:cs="Times New Roman"/>
                    </w:rPr>
                    <w:t>58.1</w:t>
                  </w:r>
                </w:p>
              </w:tc>
              <w:tc>
                <w:tcPr>
                  <w:tcW w:w="456" w:type="dxa"/>
                  <w:vMerge w:val="restart"/>
                  <w:shd w:val="clear" w:color="auto" w:fill="auto"/>
                  <w:tcMar>
                    <w:top w:w="0" w:type="dxa"/>
                    <w:left w:w="0" w:type="dxa"/>
                    <w:bottom w:w="0" w:type="dxa"/>
                    <w:right w:w="0" w:type="dxa"/>
                  </w:tcMar>
                  <w:vAlign w:val="center"/>
                </w:tcPr>
                <w:p w14:paraId="3D675B4A">
                  <w:pPr>
                    <w:pStyle w:val="12"/>
                    <w:rPr>
                      <w:rFonts w:cs="Times New Roman"/>
                    </w:rPr>
                  </w:pPr>
                  <w:r>
                    <w:rPr>
                      <w:rFonts w:cs="Times New Roman"/>
                    </w:rPr>
                    <w:t>昼间</w:t>
                  </w:r>
                </w:p>
              </w:tc>
              <w:tc>
                <w:tcPr>
                  <w:tcW w:w="449" w:type="dxa"/>
                  <w:shd w:val="clear" w:color="auto" w:fill="auto"/>
                  <w:tcMar>
                    <w:top w:w="0" w:type="dxa"/>
                    <w:left w:w="0" w:type="dxa"/>
                    <w:bottom w:w="0" w:type="dxa"/>
                    <w:right w:w="0" w:type="dxa"/>
                  </w:tcMar>
                  <w:vAlign w:val="center"/>
                </w:tcPr>
                <w:p w14:paraId="48AC9BF1">
                  <w:pPr>
                    <w:pStyle w:val="12"/>
                    <w:rPr>
                      <w:rFonts w:cs="Times New Roman"/>
                    </w:rPr>
                  </w:pPr>
                  <w:r>
                    <w:rPr>
                      <w:rFonts w:cs="Times New Roman"/>
                    </w:rPr>
                    <w:t>26.0</w:t>
                  </w:r>
                </w:p>
              </w:tc>
              <w:tc>
                <w:tcPr>
                  <w:tcW w:w="449" w:type="dxa"/>
                  <w:shd w:val="clear" w:color="auto" w:fill="auto"/>
                  <w:tcMar>
                    <w:top w:w="0" w:type="dxa"/>
                    <w:left w:w="0" w:type="dxa"/>
                    <w:bottom w:w="0" w:type="dxa"/>
                    <w:right w:w="0" w:type="dxa"/>
                  </w:tcMar>
                  <w:vAlign w:val="center"/>
                </w:tcPr>
                <w:p w14:paraId="77A4C076">
                  <w:pPr>
                    <w:pStyle w:val="12"/>
                    <w:rPr>
                      <w:rFonts w:cs="Times New Roman"/>
                    </w:rPr>
                  </w:pPr>
                  <w:r>
                    <w:rPr>
                      <w:rFonts w:cs="Times New Roman"/>
                    </w:rPr>
                    <w:t>26.0</w:t>
                  </w:r>
                </w:p>
              </w:tc>
              <w:tc>
                <w:tcPr>
                  <w:tcW w:w="449" w:type="dxa"/>
                  <w:shd w:val="clear" w:color="auto" w:fill="auto"/>
                  <w:tcMar>
                    <w:top w:w="0" w:type="dxa"/>
                    <w:left w:w="0" w:type="dxa"/>
                    <w:bottom w:w="0" w:type="dxa"/>
                    <w:right w:w="0" w:type="dxa"/>
                  </w:tcMar>
                  <w:vAlign w:val="center"/>
                </w:tcPr>
                <w:p w14:paraId="18B417A4">
                  <w:pPr>
                    <w:pStyle w:val="12"/>
                    <w:rPr>
                      <w:rFonts w:cs="Times New Roman"/>
                    </w:rPr>
                  </w:pPr>
                  <w:r>
                    <w:rPr>
                      <w:rFonts w:cs="Times New Roman"/>
                    </w:rPr>
                    <w:t>26.0</w:t>
                  </w:r>
                </w:p>
              </w:tc>
              <w:tc>
                <w:tcPr>
                  <w:tcW w:w="466" w:type="dxa"/>
                  <w:shd w:val="clear" w:color="auto" w:fill="auto"/>
                  <w:tcMar>
                    <w:top w:w="0" w:type="dxa"/>
                    <w:left w:w="0" w:type="dxa"/>
                    <w:bottom w:w="0" w:type="dxa"/>
                    <w:right w:w="0" w:type="dxa"/>
                  </w:tcMar>
                  <w:vAlign w:val="center"/>
                </w:tcPr>
                <w:p w14:paraId="7FFF02B7">
                  <w:pPr>
                    <w:pStyle w:val="12"/>
                    <w:rPr>
                      <w:rFonts w:cs="Times New Roman"/>
                    </w:rPr>
                  </w:pPr>
                  <w:r>
                    <w:rPr>
                      <w:rFonts w:cs="Times New Roman"/>
                    </w:rPr>
                    <w:t>26.0</w:t>
                  </w:r>
                </w:p>
              </w:tc>
              <w:tc>
                <w:tcPr>
                  <w:tcW w:w="475" w:type="dxa"/>
                  <w:shd w:val="clear" w:color="auto" w:fill="auto"/>
                  <w:tcMar>
                    <w:top w:w="0" w:type="dxa"/>
                    <w:left w:w="0" w:type="dxa"/>
                    <w:bottom w:w="0" w:type="dxa"/>
                    <w:right w:w="0" w:type="dxa"/>
                  </w:tcMar>
                  <w:vAlign w:val="center"/>
                </w:tcPr>
                <w:p w14:paraId="77F314FD">
                  <w:pPr>
                    <w:pStyle w:val="12"/>
                    <w:rPr>
                      <w:rFonts w:cs="Times New Roman"/>
                    </w:rPr>
                  </w:pPr>
                  <w:r>
                    <w:rPr>
                      <w:rFonts w:cs="Times New Roman"/>
                    </w:rPr>
                    <w:t>31.9</w:t>
                  </w:r>
                </w:p>
              </w:tc>
              <w:tc>
                <w:tcPr>
                  <w:tcW w:w="475" w:type="dxa"/>
                  <w:shd w:val="clear" w:color="auto" w:fill="auto"/>
                  <w:tcMar>
                    <w:top w:w="0" w:type="dxa"/>
                    <w:left w:w="0" w:type="dxa"/>
                    <w:bottom w:w="0" w:type="dxa"/>
                    <w:right w:w="0" w:type="dxa"/>
                  </w:tcMar>
                  <w:vAlign w:val="center"/>
                </w:tcPr>
                <w:p w14:paraId="0F4AFC5B">
                  <w:pPr>
                    <w:pStyle w:val="12"/>
                    <w:rPr>
                      <w:rFonts w:cs="Times New Roman"/>
                    </w:rPr>
                  </w:pPr>
                  <w:r>
                    <w:rPr>
                      <w:rFonts w:cs="Times New Roman"/>
                    </w:rPr>
                    <w:t>31.9</w:t>
                  </w:r>
                </w:p>
              </w:tc>
              <w:tc>
                <w:tcPr>
                  <w:tcW w:w="476" w:type="dxa"/>
                  <w:shd w:val="clear" w:color="auto" w:fill="auto"/>
                  <w:tcMar>
                    <w:top w:w="0" w:type="dxa"/>
                    <w:left w:w="0" w:type="dxa"/>
                    <w:bottom w:w="0" w:type="dxa"/>
                    <w:right w:w="0" w:type="dxa"/>
                  </w:tcMar>
                  <w:vAlign w:val="center"/>
                </w:tcPr>
                <w:p w14:paraId="5F5A542E">
                  <w:pPr>
                    <w:pStyle w:val="12"/>
                    <w:rPr>
                      <w:rFonts w:cs="Times New Roman"/>
                    </w:rPr>
                  </w:pPr>
                  <w:r>
                    <w:rPr>
                      <w:rFonts w:cs="Times New Roman"/>
                    </w:rPr>
                    <w:t>32.1</w:t>
                  </w:r>
                </w:p>
              </w:tc>
              <w:tc>
                <w:tcPr>
                  <w:tcW w:w="476" w:type="dxa"/>
                  <w:shd w:val="clear" w:color="auto" w:fill="auto"/>
                  <w:tcMar>
                    <w:top w:w="0" w:type="dxa"/>
                    <w:left w:w="0" w:type="dxa"/>
                    <w:bottom w:w="0" w:type="dxa"/>
                    <w:right w:w="0" w:type="dxa"/>
                  </w:tcMar>
                  <w:vAlign w:val="center"/>
                </w:tcPr>
                <w:p w14:paraId="1184B37D">
                  <w:pPr>
                    <w:pStyle w:val="12"/>
                    <w:rPr>
                      <w:rFonts w:cs="Times New Roman"/>
                    </w:rPr>
                  </w:pPr>
                  <w:r>
                    <w:rPr>
                      <w:rFonts w:cs="Times New Roman"/>
                    </w:rPr>
                    <w:t>32.1</w:t>
                  </w:r>
                </w:p>
              </w:tc>
              <w:tc>
                <w:tcPr>
                  <w:tcW w:w="545" w:type="dxa"/>
                  <w:shd w:val="clear" w:color="auto" w:fill="auto"/>
                  <w:tcMar>
                    <w:top w:w="0" w:type="dxa"/>
                    <w:left w:w="0" w:type="dxa"/>
                    <w:bottom w:w="0" w:type="dxa"/>
                    <w:right w:w="0" w:type="dxa"/>
                  </w:tcMar>
                  <w:vAlign w:val="center"/>
                </w:tcPr>
                <w:p w14:paraId="361B98F7">
                  <w:pPr>
                    <w:pStyle w:val="12"/>
                    <w:rPr>
                      <w:rFonts w:cs="Times New Roman"/>
                    </w:rPr>
                  </w:pPr>
                  <w:r>
                    <w:rPr>
                      <w:rFonts w:cs="Times New Roman"/>
                    </w:rPr>
                    <w:t>1</w:t>
                  </w:r>
                </w:p>
              </w:tc>
            </w:tr>
            <w:tr w14:paraId="2F17C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5" w:type="dxa"/>
                  <w:shd w:val="clear" w:color="auto" w:fill="auto"/>
                  <w:tcMar>
                    <w:top w:w="0" w:type="dxa"/>
                    <w:left w:w="0" w:type="dxa"/>
                    <w:bottom w:w="0" w:type="dxa"/>
                    <w:right w:w="0" w:type="dxa"/>
                  </w:tcMar>
                  <w:vAlign w:val="center"/>
                </w:tcPr>
                <w:p w14:paraId="2478FA29">
                  <w:pPr>
                    <w:pStyle w:val="12"/>
                    <w:rPr>
                      <w:rFonts w:cs="Times New Roman"/>
                    </w:rPr>
                  </w:pPr>
                  <w:r>
                    <w:rPr>
                      <w:rFonts w:cs="Times New Roman"/>
                    </w:rPr>
                    <w:t>2</w:t>
                  </w:r>
                </w:p>
              </w:tc>
              <w:tc>
                <w:tcPr>
                  <w:tcW w:w="1076" w:type="dxa"/>
                  <w:shd w:val="clear" w:color="auto" w:fill="auto"/>
                  <w:tcMar>
                    <w:top w:w="0" w:type="dxa"/>
                    <w:left w:w="0" w:type="dxa"/>
                    <w:bottom w:w="0" w:type="dxa"/>
                    <w:right w:w="0" w:type="dxa"/>
                  </w:tcMar>
                  <w:vAlign w:val="center"/>
                </w:tcPr>
                <w:p w14:paraId="276ED27E">
                  <w:pPr>
                    <w:pStyle w:val="12"/>
                    <w:rPr>
                      <w:rFonts w:hint="eastAsia" w:eastAsia="宋体" w:cs="Times New Roman"/>
                      <w:lang w:val="en-US" w:eastAsia="zh-CN"/>
                    </w:rPr>
                  </w:pPr>
                  <w:r>
                    <w:rPr>
                      <w:rFonts w:hint="eastAsia" w:cs="Times New Roman"/>
                      <w:lang w:val="en-US" w:eastAsia="zh-CN"/>
                    </w:rPr>
                    <w:t>压滤机</w:t>
                  </w:r>
                </w:p>
              </w:tc>
              <w:tc>
                <w:tcPr>
                  <w:tcW w:w="592" w:type="dxa"/>
                  <w:shd w:val="clear" w:color="auto" w:fill="auto"/>
                  <w:tcMar>
                    <w:top w:w="0" w:type="dxa"/>
                    <w:left w:w="0" w:type="dxa"/>
                    <w:bottom w:w="0" w:type="dxa"/>
                    <w:right w:w="0" w:type="dxa"/>
                  </w:tcMar>
                  <w:vAlign w:val="center"/>
                </w:tcPr>
                <w:p w14:paraId="6D9E38C6">
                  <w:pPr>
                    <w:pStyle w:val="12"/>
                    <w:rPr>
                      <w:rFonts w:hint="default" w:eastAsia="宋体" w:cs="Times New Roman"/>
                      <w:lang w:val="en-US" w:eastAsia="zh-CN"/>
                    </w:rPr>
                  </w:pPr>
                  <w:r>
                    <w:rPr>
                      <w:rFonts w:hint="eastAsia" w:cs="Times New Roman"/>
                      <w:lang w:val="en-US" w:eastAsia="zh-CN"/>
                    </w:rPr>
                    <w:t>85</w:t>
                  </w:r>
                </w:p>
              </w:tc>
              <w:tc>
                <w:tcPr>
                  <w:tcW w:w="516" w:type="dxa"/>
                  <w:vMerge w:val="continue"/>
                  <w:shd w:val="clear" w:color="auto" w:fill="auto"/>
                  <w:tcMar>
                    <w:top w:w="0" w:type="dxa"/>
                    <w:left w:w="0" w:type="dxa"/>
                    <w:bottom w:w="0" w:type="dxa"/>
                    <w:right w:w="0" w:type="dxa"/>
                  </w:tcMar>
                  <w:vAlign w:val="center"/>
                </w:tcPr>
                <w:p w14:paraId="29D67F1E">
                  <w:pPr>
                    <w:pStyle w:val="12"/>
                    <w:rPr>
                      <w:rFonts w:cs="Times New Roman"/>
                    </w:rPr>
                  </w:pPr>
                </w:p>
              </w:tc>
              <w:tc>
                <w:tcPr>
                  <w:tcW w:w="554" w:type="dxa"/>
                  <w:shd w:val="clear" w:color="auto" w:fill="auto"/>
                  <w:tcMar>
                    <w:top w:w="0" w:type="dxa"/>
                    <w:left w:w="0" w:type="dxa"/>
                    <w:bottom w:w="0" w:type="dxa"/>
                    <w:right w:w="0" w:type="dxa"/>
                  </w:tcMar>
                  <w:vAlign w:val="center"/>
                </w:tcPr>
                <w:p w14:paraId="47B13F28">
                  <w:pPr>
                    <w:pStyle w:val="12"/>
                    <w:rPr>
                      <w:rFonts w:cs="Times New Roman"/>
                    </w:rPr>
                  </w:pPr>
                  <w:r>
                    <w:rPr>
                      <w:rFonts w:cs="Times New Roman"/>
                    </w:rPr>
                    <w:t>9.1</w:t>
                  </w:r>
                </w:p>
              </w:tc>
              <w:tc>
                <w:tcPr>
                  <w:tcW w:w="554" w:type="dxa"/>
                  <w:shd w:val="clear" w:color="auto" w:fill="auto"/>
                  <w:tcMar>
                    <w:top w:w="0" w:type="dxa"/>
                    <w:left w:w="0" w:type="dxa"/>
                    <w:bottom w:w="0" w:type="dxa"/>
                    <w:right w:w="0" w:type="dxa"/>
                  </w:tcMar>
                  <w:vAlign w:val="center"/>
                </w:tcPr>
                <w:p w14:paraId="26E4B4CC">
                  <w:pPr>
                    <w:pStyle w:val="12"/>
                    <w:rPr>
                      <w:rFonts w:cs="Times New Roman"/>
                    </w:rPr>
                  </w:pPr>
                  <w:r>
                    <w:rPr>
                      <w:rFonts w:cs="Times New Roman"/>
                    </w:rPr>
                    <w:t>27.9</w:t>
                  </w:r>
                </w:p>
              </w:tc>
              <w:tc>
                <w:tcPr>
                  <w:tcW w:w="583" w:type="dxa"/>
                  <w:shd w:val="clear" w:color="auto" w:fill="auto"/>
                  <w:tcMar>
                    <w:top w:w="0" w:type="dxa"/>
                    <w:left w:w="0" w:type="dxa"/>
                    <w:bottom w:w="0" w:type="dxa"/>
                    <w:right w:w="0" w:type="dxa"/>
                  </w:tcMar>
                  <w:vAlign w:val="center"/>
                </w:tcPr>
                <w:p w14:paraId="14AF81A7">
                  <w:pPr>
                    <w:pStyle w:val="12"/>
                    <w:rPr>
                      <w:rFonts w:cs="Times New Roman"/>
                    </w:rPr>
                  </w:pPr>
                  <w:r>
                    <w:rPr>
                      <w:rFonts w:cs="Times New Roman"/>
                    </w:rPr>
                    <w:t>4</w:t>
                  </w:r>
                </w:p>
              </w:tc>
              <w:tc>
                <w:tcPr>
                  <w:tcW w:w="522" w:type="dxa"/>
                  <w:shd w:val="clear" w:color="auto" w:fill="auto"/>
                  <w:tcMar>
                    <w:top w:w="0" w:type="dxa"/>
                    <w:left w:w="0" w:type="dxa"/>
                    <w:bottom w:w="0" w:type="dxa"/>
                    <w:right w:w="0" w:type="dxa"/>
                  </w:tcMar>
                  <w:vAlign w:val="center"/>
                </w:tcPr>
                <w:p w14:paraId="3A2FCD14">
                  <w:pPr>
                    <w:pStyle w:val="12"/>
                    <w:rPr>
                      <w:rFonts w:cs="Times New Roman"/>
                    </w:rPr>
                  </w:pPr>
                  <w:r>
                    <w:rPr>
                      <w:rFonts w:cs="Times New Roman"/>
                    </w:rPr>
                    <w:t>30.2</w:t>
                  </w:r>
                </w:p>
              </w:tc>
              <w:tc>
                <w:tcPr>
                  <w:tcW w:w="522" w:type="dxa"/>
                  <w:shd w:val="clear" w:color="auto" w:fill="auto"/>
                  <w:tcMar>
                    <w:top w:w="0" w:type="dxa"/>
                    <w:left w:w="0" w:type="dxa"/>
                    <w:bottom w:w="0" w:type="dxa"/>
                    <w:right w:w="0" w:type="dxa"/>
                  </w:tcMar>
                  <w:vAlign w:val="center"/>
                </w:tcPr>
                <w:p w14:paraId="72403B99">
                  <w:pPr>
                    <w:pStyle w:val="12"/>
                    <w:rPr>
                      <w:rFonts w:cs="Times New Roman"/>
                    </w:rPr>
                  </w:pPr>
                  <w:r>
                    <w:rPr>
                      <w:rFonts w:cs="Times New Roman"/>
                    </w:rPr>
                    <w:t>67.7</w:t>
                  </w:r>
                </w:p>
              </w:tc>
              <w:tc>
                <w:tcPr>
                  <w:tcW w:w="522" w:type="dxa"/>
                  <w:shd w:val="clear" w:color="auto" w:fill="auto"/>
                  <w:tcMar>
                    <w:top w:w="0" w:type="dxa"/>
                    <w:left w:w="0" w:type="dxa"/>
                    <w:bottom w:w="0" w:type="dxa"/>
                    <w:right w:w="0" w:type="dxa"/>
                  </w:tcMar>
                  <w:vAlign w:val="center"/>
                </w:tcPr>
                <w:p w14:paraId="4BB554F4">
                  <w:pPr>
                    <w:pStyle w:val="12"/>
                    <w:rPr>
                      <w:rFonts w:cs="Times New Roman"/>
                    </w:rPr>
                  </w:pPr>
                  <w:r>
                    <w:rPr>
                      <w:rFonts w:cs="Times New Roman"/>
                    </w:rPr>
                    <w:t>10.3</w:t>
                  </w:r>
                </w:p>
              </w:tc>
              <w:tc>
                <w:tcPr>
                  <w:tcW w:w="638" w:type="dxa"/>
                  <w:shd w:val="clear" w:color="auto" w:fill="auto"/>
                  <w:tcMar>
                    <w:top w:w="0" w:type="dxa"/>
                    <w:left w:w="0" w:type="dxa"/>
                    <w:bottom w:w="0" w:type="dxa"/>
                    <w:right w:w="0" w:type="dxa"/>
                  </w:tcMar>
                  <w:vAlign w:val="center"/>
                </w:tcPr>
                <w:p w14:paraId="3DD2BAC1">
                  <w:pPr>
                    <w:pStyle w:val="12"/>
                    <w:rPr>
                      <w:rFonts w:cs="Times New Roman"/>
                    </w:rPr>
                  </w:pPr>
                  <w:r>
                    <w:rPr>
                      <w:rFonts w:cs="Times New Roman"/>
                    </w:rPr>
                    <w:t>23.5</w:t>
                  </w:r>
                </w:p>
              </w:tc>
              <w:tc>
                <w:tcPr>
                  <w:tcW w:w="463" w:type="dxa"/>
                  <w:shd w:val="clear" w:color="auto" w:fill="auto"/>
                  <w:tcMar>
                    <w:top w:w="0" w:type="dxa"/>
                    <w:left w:w="0" w:type="dxa"/>
                    <w:bottom w:w="0" w:type="dxa"/>
                    <w:right w:w="0" w:type="dxa"/>
                  </w:tcMar>
                  <w:vAlign w:val="center"/>
                </w:tcPr>
                <w:p w14:paraId="67A408E6">
                  <w:pPr>
                    <w:pStyle w:val="12"/>
                    <w:rPr>
                      <w:rFonts w:cs="Times New Roman"/>
                    </w:rPr>
                  </w:pPr>
                  <w:r>
                    <w:rPr>
                      <w:rFonts w:cs="Times New Roman"/>
                    </w:rPr>
                    <w:t>67.9</w:t>
                  </w:r>
                </w:p>
              </w:tc>
              <w:tc>
                <w:tcPr>
                  <w:tcW w:w="463" w:type="dxa"/>
                  <w:shd w:val="clear" w:color="auto" w:fill="auto"/>
                  <w:tcMar>
                    <w:top w:w="0" w:type="dxa"/>
                    <w:left w:w="0" w:type="dxa"/>
                    <w:bottom w:w="0" w:type="dxa"/>
                    <w:right w:w="0" w:type="dxa"/>
                  </w:tcMar>
                  <w:vAlign w:val="center"/>
                </w:tcPr>
                <w:p w14:paraId="257197EA">
                  <w:pPr>
                    <w:pStyle w:val="12"/>
                    <w:rPr>
                      <w:rFonts w:cs="Times New Roman"/>
                    </w:rPr>
                  </w:pPr>
                  <w:r>
                    <w:rPr>
                      <w:rFonts w:cs="Times New Roman"/>
                    </w:rPr>
                    <w:t>67.9</w:t>
                  </w:r>
                </w:p>
              </w:tc>
              <w:tc>
                <w:tcPr>
                  <w:tcW w:w="463" w:type="dxa"/>
                  <w:shd w:val="clear" w:color="auto" w:fill="auto"/>
                  <w:tcMar>
                    <w:top w:w="0" w:type="dxa"/>
                    <w:left w:w="0" w:type="dxa"/>
                    <w:bottom w:w="0" w:type="dxa"/>
                    <w:right w:w="0" w:type="dxa"/>
                  </w:tcMar>
                  <w:vAlign w:val="center"/>
                </w:tcPr>
                <w:p w14:paraId="52664327">
                  <w:pPr>
                    <w:pStyle w:val="12"/>
                    <w:rPr>
                      <w:rFonts w:cs="Times New Roman"/>
                    </w:rPr>
                  </w:pPr>
                  <w:r>
                    <w:rPr>
                      <w:rFonts w:cs="Times New Roman"/>
                    </w:rPr>
                    <w:t>68.1</w:t>
                  </w:r>
                </w:p>
              </w:tc>
              <w:tc>
                <w:tcPr>
                  <w:tcW w:w="492" w:type="dxa"/>
                  <w:shd w:val="clear" w:color="auto" w:fill="auto"/>
                  <w:tcMar>
                    <w:top w:w="0" w:type="dxa"/>
                    <w:left w:w="0" w:type="dxa"/>
                    <w:bottom w:w="0" w:type="dxa"/>
                    <w:right w:w="0" w:type="dxa"/>
                  </w:tcMar>
                  <w:vAlign w:val="center"/>
                </w:tcPr>
                <w:p w14:paraId="6639F156">
                  <w:pPr>
                    <w:pStyle w:val="12"/>
                    <w:rPr>
                      <w:rFonts w:cs="Times New Roman"/>
                    </w:rPr>
                  </w:pPr>
                  <w:r>
                    <w:rPr>
                      <w:rFonts w:cs="Times New Roman"/>
                    </w:rPr>
                    <w:t>68.0</w:t>
                  </w:r>
                </w:p>
              </w:tc>
              <w:tc>
                <w:tcPr>
                  <w:tcW w:w="456" w:type="dxa"/>
                  <w:vMerge w:val="continue"/>
                  <w:shd w:val="clear" w:color="auto" w:fill="auto"/>
                  <w:tcMar>
                    <w:top w:w="0" w:type="dxa"/>
                    <w:left w:w="0" w:type="dxa"/>
                    <w:bottom w:w="0" w:type="dxa"/>
                    <w:right w:w="0" w:type="dxa"/>
                  </w:tcMar>
                  <w:vAlign w:val="center"/>
                </w:tcPr>
                <w:p w14:paraId="3EA98D63">
                  <w:pPr>
                    <w:pStyle w:val="12"/>
                    <w:rPr>
                      <w:rFonts w:cs="Times New Roman"/>
                    </w:rPr>
                  </w:pPr>
                </w:p>
              </w:tc>
              <w:tc>
                <w:tcPr>
                  <w:tcW w:w="449" w:type="dxa"/>
                  <w:shd w:val="clear" w:color="auto" w:fill="auto"/>
                  <w:tcMar>
                    <w:top w:w="0" w:type="dxa"/>
                    <w:left w:w="0" w:type="dxa"/>
                    <w:bottom w:w="0" w:type="dxa"/>
                    <w:right w:w="0" w:type="dxa"/>
                  </w:tcMar>
                  <w:vAlign w:val="center"/>
                </w:tcPr>
                <w:p w14:paraId="53B0B333">
                  <w:pPr>
                    <w:pStyle w:val="12"/>
                    <w:rPr>
                      <w:rFonts w:cs="Times New Roman"/>
                    </w:rPr>
                  </w:pPr>
                  <w:r>
                    <w:rPr>
                      <w:rFonts w:cs="Times New Roman"/>
                    </w:rPr>
                    <w:t>26.0</w:t>
                  </w:r>
                </w:p>
              </w:tc>
              <w:tc>
                <w:tcPr>
                  <w:tcW w:w="449" w:type="dxa"/>
                  <w:shd w:val="clear" w:color="auto" w:fill="auto"/>
                  <w:tcMar>
                    <w:top w:w="0" w:type="dxa"/>
                    <w:left w:w="0" w:type="dxa"/>
                    <w:bottom w:w="0" w:type="dxa"/>
                    <w:right w:w="0" w:type="dxa"/>
                  </w:tcMar>
                  <w:vAlign w:val="center"/>
                </w:tcPr>
                <w:p w14:paraId="64E56C8B">
                  <w:pPr>
                    <w:pStyle w:val="12"/>
                    <w:rPr>
                      <w:rFonts w:cs="Times New Roman"/>
                    </w:rPr>
                  </w:pPr>
                  <w:r>
                    <w:rPr>
                      <w:rFonts w:cs="Times New Roman"/>
                    </w:rPr>
                    <w:t>26.0</w:t>
                  </w:r>
                </w:p>
              </w:tc>
              <w:tc>
                <w:tcPr>
                  <w:tcW w:w="449" w:type="dxa"/>
                  <w:shd w:val="clear" w:color="auto" w:fill="auto"/>
                  <w:tcMar>
                    <w:top w:w="0" w:type="dxa"/>
                    <w:left w:w="0" w:type="dxa"/>
                    <w:bottom w:w="0" w:type="dxa"/>
                    <w:right w:w="0" w:type="dxa"/>
                  </w:tcMar>
                  <w:vAlign w:val="center"/>
                </w:tcPr>
                <w:p w14:paraId="2BBF554A">
                  <w:pPr>
                    <w:pStyle w:val="12"/>
                    <w:rPr>
                      <w:rFonts w:cs="Times New Roman"/>
                    </w:rPr>
                  </w:pPr>
                  <w:r>
                    <w:rPr>
                      <w:rFonts w:cs="Times New Roman"/>
                    </w:rPr>
                    <w:t>26.0</w:t>
                  </w:r>
                </w:p>
              </w:tc>
              <w:tc>
                <w:tcPr>
                  <w:tcW w:w="466" w:type="dxa"/>
                  <w:shd w:val="clear" w:color="auto" w:fill="auto"/>
                  <w:tcMar>
                    <w:top w:w="0" w:type="dxa"/>
                    <w:left w:w="0" w:type="dxa"/>
                    <w:bottom w:w="0" w:type="dxa"/>
                    <w:right w:w="0" w:type="dxa"/>
                  </w:tcMar>
                  <w:vAlign w:val="center"/>
                </w:tcPr>
                <w:p w14:paraId="3B210D58">
                  <w:pPr>
                    <w:pStyle w:val="12"/>
                    <w:rPr>
                      <w:rFonts w:cs="Times New Roman"/>
                    </w:rPr>
                  </w:pPr>
                  <w:r>
                    <w:rPr>
                      <w:rFonts w:cs="Times New Roman"/>
                    </w:rPr>
                    <w:t>26.0</w:t>
                  </w:r>
                </w:p>
              </w:tc>
              <w:tc>
                <w:tcPr>
                  <w:tcW w:w="475" w:type="dxa"/>
                  <w:shd w:val="clear" w:color="auto" w:fill="auto"/>
                  <w:tcMar>
                    <w:top w:w="0" w:type="dxa"/>
                    <w:left w:w="0" w:type="dxa"/>
                    <w:bottom w:w="0" w:type="dxa"/>
                    <w:right w:w="0" w:type="dxa"/>
                  </w:tcMar>
                  <w:vAlign w:val="center"/>
                </w:tcPr>
                <w:p w14:paraId="56AAA4DD">
                  <w:pPr>
                    <w:pStyle w:val="12"/>
                    <w:rPr>
                      <w:rFonts w:cs="Times New Roman"/>
                    </w:rPr>
                  </w:pPr>
                  <w:r>
                    <w:rPr>
                      <w:rFonts w:cs="Times New Roman"/>
                    </w:rPr>
                    <w:t>41.9</w:t>
                  </w:r>
                </w:p>
              </w:tc>
              <w:tc>
                <w:tcPr>
                  <w:tcW w:w="475" w:type="dxa"/>
                  <w:shd w:val="clear" w:color="auto" w:fill="auto"/>
                  <w:tcMar>
                    <w:top w:w="0" w:type="dxa"/>
                    <w:left w:w="0" w:type="dxa"/>
                    <w:bottom w:w="0" w:type="dxa"/>
                    <w:right w:w="0" w:type="dxa"/>
                  </w:tcMar>
                  <w:vAlign w:val="center"/>
                </w:tcPr>
                <w:p w14:paraId="1CEF19D9">
                  <w:pPr>
                    <w:pStyle w:val="12"/>
                    <w:rPr>
                      <w:rFonts w:cs="Times New Roman"/>
                    </w:rPr>
                  </w:pPr>
                  <w:r>
                    <w:rPr>
                      <w:rFonts w:cs="Times New Roman"/>
                    </w:rPr>
                    <w:t>41.9</w:t>
                  </w:r>
                </w:p>
              </w:tc>
              <w:tc>
                <w:tcPr>
                  <w:tcW w:w="476" w:type="dxa"/>
                  <w:shd w:val="clear" w:color="auto" w:fill="auto"/>
                  <w:tcMar>
                    <w:top w:w="0" w:type="dxa"/>
                    <w:left w:w="0" w:type="dxa"/>
                    <w:bottom w:w="0" w:type="dxa"/>
                    <w:right w:w="0" w:type="dxa"/>
                  </w:tcMar>
                  <w:vAlign w:val="center"/>
                </w:tcPr>
                <w:p w14:paraId="139DCA9C">
                  <w:pPr>
                    <w:pStyle w:val="12"/>
                    <w:rPr>
                      <w:rFonts w:cs="Times New Roman"/>
                    </w:rPr>
                  </w:pPr>
                  <w:r>
                    <w:rPr>
                      <w:rFonts w:cs="Times New Roman"/>
                    </w:rPr>
                    <w:t>42.1</w:t>
                  </w:r>
                </w:p>
              </w:tc>
              <w:tc>
                <w:tcPr>
                  <w:tcW w:w="476" w:type="dxa"/>
                  <w:shd w:val="clear" w:color="auto" w:fill="auto"/>
                  <w:tcMar>
                    <w:top w:w="0" w:type="dxa"/>
                    <w:left w:w="0" w:type="dxa"/>
                    <w:bottom w:w="0" w:type="dxa"/>
                    <w:right w:w="0" w:type="dxa"/>
                  </w:tcMar>
                  <w:vAlign w:val="center"/>
                </w:tcPr>
                <w:p w14:paraId="7E2D5007">
                  <w:pPr>
                    <w:pStyle w:val="12"/>
                    <w:rPr>
                      <w:rFonts w:cs="Times New Roman"/>
                    </w:rPr>
                  </w:pPr>
                  <w:r>
                    <w:rPr>
                      <w:rFonts w:cs="Times New Roman"/>
                    </w:rPr>
                    <w:t>42.0</w:t>
                  </w:r>
                </w:p>
              </w:tc>
              <w:tc>
                <w:tcPr>
                  <w:tcW w:w="545" w:type="dxa"/>
                  <w:shd w:val="clear" w:color="auto" w:fill="auto"/>
                  <w:tcMar>
                    <w:top w:w="0" w:type="dxa"/>
                    <w:left w:w="0" w:type="dxa"/>
                    <w:bottom w:w="0" w:type="dxa"/>
                    <w:right w:w="0" w:type="dxa"/>
                  </w:tcMar>
                  <w:vAlign w:val="center"/>
                </w:tcPr>
                <w:p w14:paraId="21BB668A">
                  <w:pPr>
                    <w:pStyle w:val="12"/>
                    <w:rPr>
                      <w:rFonts w:cs="Times New Roman"/>
                    </w:rPr>
                  </w:pPr>
                  <w:r>
                    <w:rPr>
                      <w:rFonts w:cs="Times New Roman"/>
                    </w:rPr>
                    <w:t>1</w:t>
                  </w:r>
                </w:p>
              </w:tc>
            </w:tr>
            <w:tr w14:paraId="10A00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5" w:type="dxa"/>
                  <w:shd w:val="clear" w:color="auto" w:fill="auto"/>
                  <w:tcMar>
                    <w:top w:w="0" w:type="dxa"/>
                    <w:left w:w="0" w:type="dxa"/>
                    <w:bottom w:w="0" w:type="dxa"/>
                    <w:right w:w="0" w:type="dxa"/>
                  </w:tcMar>
                  <w:vAlign w:val="center"/>
                </w:tcPr>
                <w:p w14:paraId="4E2B4717">
                  <w:pPr>
                    <w:pStyle w:val="12"/>
                    <w:rPr>
                      <w:rFonts w:cs="Times New Roman"/>
                    </w:rPr>
                  </w:pPr>
                  <w:r>
                    <w:rPr>
                      <w:rFonts w:cs="Times New Roman"/>
                    </w:rPr>
                    <w:t>3</w:t>
                  </w:r>
                </w:p>
              </w:tc>
              <w:tc>
                <w:tcPr>
                  <w:tcW w:w="1076" w:type="dxa"/>
                  <w:shd w:val="clear" w:color="auto" w:fill="auto"/>
                  <w:tcMar>
                    <w:top w:w="0" w:type="dxa"/>
                    <w:left w:w="0" w:type="dxa"/>
                    <w:bottom w:w="0" w:type="dxa"/>
                    <w:right w:w="0" w:type="dxa"/>
                  </w:tcMar>
                  <w:vAlign w:val="center"/>
                </w:tcPr>
                <w:p w14:paraId="18224D00">
                  <w:pPr>
                    <w:pStyle w:val="12"/>
                    <w:rPr>
                      <w:rFonts w:hint="default" w:eastAsia="宋体" w:cs="Times New Roman"/>
                      <w:lang w:val="en-US" w:eastAsia="zh-CN"/>
                    </w:rPr>
                  </w:pPr>
                  <w:r>
                    <w:rPr>
                      <w:rFonts w:hint="eastAsia" w:cs="Times New Roman"/>
                      <w:lang w:val="en-US" w:eastAsia="zh-CN"/>
                    </w:rPr>
                    <w:t>泵1#</w:t>
                  </w:r>
                </w:p>
              </w:tc>
              <w:tc>
                <w:tcPr>
                  <w:tcW w:w="592" w:type="dxa"/>
                  <w:shd w:val="clear" w:color="auto" w:fill="auto"/>
                  <w:tcMar>
                    <w:top w:w="0" w:type="dxa"/>
                    <w:left w:w="0" w:type="dxa"/>
                    <w:bottom w:w="0" w:type="dxa"/>
                    <w:right w:w="0" w:type="dxa"/>
                  </w:tcMar>
                  <w:vAlign w:val="center"/>
                </w:tcPr>
                <w:p w14:paraId="12B7C8FA">
                  <w:pPr>
                    <w:pStyle w:val="12"/>
                    <w:rPr>
                      <w:rFonts w:hint="default" w:eastAsia="宋体" w:cs="Times New Roman"/>
                      <w:lang w:val="en-US" w:eastAsia="zh-CN"/>
                    </w:rPr>
                  </w:pPr>
                  <w:r>
                    <w:rPr>
                      <w:rFonts w:hint="eastAsia" w:cs="Times New Roman"/>
                      <w:lang w:val="en-US" w:eastAsia="zh-CN"/>
                    </w:rPr>
                    <w:t>80</w:t>
                  </w:r>
                </w:p>
              </w:tc>
              <w:tc>
                <w:tcPr>
                  <w:tcW w:w="516" w:type="dxa"/>
                  <w:vMerge w:val="continue"/>
                  <w:shd w:val="clear" w:color="auto" w:fill="auto"/>
                  <w:tcMar>
                    <w:top w:w="0" w:type="dxa"/>
                    <w:left w:w="0" w:type="dxa"/>
                    <w:bottom w:w="0" w:type="dxa"/>
                    <w:right w:w="0" w:type="dxa"/>
                  </w:tcMar>
                  <w:vAlign w:val="center"/>
                </w:tcPr>
                <w:p w14:paraId="2C53E264">
                  <w:pPr>
                    <w:pStyle w:val="12"/>
                    <w:rPr>
                      <w:rFonts w:cs="Times New Roman"/>
                    </w:rPr>
                  </w:pPr>
                </w:p>
              </w:tc>
              <w:tc>
                <w:tcPr>
                  <w:tcW w:w="554" w:type="dxa"/>
                  <w:shd w:val="clear" w:color="auto" w:fill="auto"/>
                  <w:tcMar>
                    <w:top w:w="0" w:type="dxa"/>
                    <w:left w:w="0" w:type="dxa"/>
                    <w:bottom w:w="0" w:type="dxa"/>
                    <w:right w:w="0" w:type="dxa"/>
                  </w:tcMar>
                  <w:vAlign w:val="center"/>
                </w:tcPr>
                <w:p w14:paraId="143E1206">
                  <w:pPr>
                    <w:pStyle w:val="12"/>
                    <w:rPr>
                      <w:rFonts w:cs="Times New Roman"/>
                    </w:rPr>
                  </w:pPr>
                  <w:r>
                    <w:rPr>
                      <w:rFonts w:cs="Times New Roman"/>
                    </w:rPr>
                    <w:t>18.3</w:t>
                  </w:r>
                </w:p>
              </w:tc>
              <w:tc>
                <w:tcPr>
                  <w:tcW w:w="554" w:type="dxa"/>
                  <w:shd w:val="clear" w:color="auto" w:fill="auto"/>
                  <w:tcMar>
                    <w:top w:w="0" w:type="dxa"/>
                    <w:left w:w="0" w:type="dxa"/>
                    <w:bottom w:w="0" w:type="dxa"/>
                    <w:right w:w="0" w:type="dxa"/>
                  </w:tcMar>
                  <w:vAlign w:val="center"/>
                </w:tcPr>
                <w:p w14:paraId="4AA4B3FE">
                  <w:pPr>
                    <w:pStyle w:val="12"/>
                    <w:rPr>
                      <w:rFonts w:cs="Times New Roman"/>
                    </w:rPr>
                  </w:pPr>
                  <w:r>
                    <w:rPr>
                      <w:rFonts w:cs="Times New Roman"/>
                    </w:rPr>
                    <w:t>41.2</w:t>
                  </w:r>
                </w:p>
              </w:tc>
              <w:tc>
                <w:tcPr>
                  <w:tcW w:w="583" w:type="dxa"/>
                  <w:shd w:val="clear" w:color="auto" w:fill="auto"/>
                  <w:tcMar>
                    <w:top w:w="0" w:type="dxa"/>
                    <w:left w:w="0" w:type="dxa"/>
                    <w:bottom w:w="0" w:type="dxa"/>
                    <w:right w:w="0" w:type="dxa"/>
                  </w:tcMar>
                  <w:vAlign w:val="center"/>
                </w:tcPr>
                <w:p w14:paraId="6E08ED7F">
                  <w:pPr>
                    <w:pStyle w:val="12"/>
                    <w:rPr>
                      <w:rFonts w:cs="Times New Roman"/>
                    </w:rPr>
                  </w:pPr>
                  <w:r>
                    <w:rPr>
                      <w:rFonts w:cs="Times New Roman"/>
                    </w:rPr>
                    <w:t>0.2</w:t>
                  </w:r>
                </w:p>
              </w:tc>
              <w:tc>
                <w:tcPr>
                  <w:tcW w:w="522" w:type="dxa"/>
                  <w:shd w:val="clear" w:color="auto" w:fill="auto"/>
                  <w:tcMar>
                    <w:top w:w="0" w:type="dxa"/>
                    <w:left w:w="0" w:type="dxa"/>
                    <w:bottom w:w="0" w:type="dxa"/>
                    <w:right w:w="0" w:type="dxa"/>
                  </w:tcMar>
                  <w:vAlign w:val="center"/>
                </w:tcPr>
                <w:p w14:paraId="7053A592">
                  <w:pPr>
                    <w:pStyle w:val="12"/>
                    <w:rPr>
                      <w:rFonts w:cs="Times New Roman"/>
                    </w:rPr>
                  </w:pPr>
                  <w:r>
                    <w:rPr>
                      <w:rFonts w:cs="Times New Roman"/>
                    </w:rPr>
                    <w:t>15.7</w:t>
                  </w:r>
                </w:p>
              </w:tc>
              <w:tc>
                <w:tcPr>
                  <w:tcW w:w="522" w:type="dxa"/>
                  <w:shd w:val="clear" w:color="auto" w:fill="auto"/>
                  <w:tcMar>
                    <w:top w:w="0" w:type="dxa"/>
                    <w:left w:w="0" w:type="dxa"/>
                    <w:bottom w:w="0" w:type="dxa"/>
                    <w:right w:w="0" w:type="dxa"/>
                  </w:tcMar>
                  <w:vAlign w:val="center"/>
                </w:tcPr>
                <w:p w14:paraId="1537BC65">
                  <w:pPr>
                    <w:pStyle w:val="12"/>
                    <w:rPr>
                      <w:rFonts w:cs="Times New Roman"/>
                    </w:rPr>
                  </w:pPr>
                  <w:r>
                    <w:rPr>
                      <w:rFonts w:cs="Times New Roman"/>
                    </w:rPr>
                    <w:t>75.7</w:t>
                  </w:r>
                </w:p>
              </w:tc>
              <w:tc>
                <w:tcPr>
                  <w:tcW w:w="522" w:type="dxa"/>
                  <w:shd w:val="clear" w:color="auto" w:fill="auto"/>
                  <w:tcMar>
                    <w:top w:w="0" w:type="dxa"/>
                    <w:left w:w="0" w:type="dxa"/>
                    <w:bottom w:w="0" w:type="dxa"/>
                    <w:right w:w="0" w:type="dxa"/>
                  </w:tcMar>
                  <w:vAlign w:val="center"/>
                </w:tcPr>
                <w:p w14:paraId="0F687DEE">
                  <w:pPr>
                    <w:pStyle w:val="12"/>
                    <w:rPr>
                      <w:rFonts w:cs="Times New Roman"/>
                    </w:rPr>
                  </w:pPr>
                  <w:r>
                    <w:rPr>
                      <w:rFonts w:cs="Times New Roman"/>
                    </w:rPr>
                    <w:t>24.6</w:t>
                  </w:r>
                </w:p>
              </w:tc>
              <w:tc>
                <w:tcPr>
                  <w:tcW w:w="638" w:type="dxa"/>
                  <w:shd w:val="clear" w:color="auto" w:fill="auto"/>
                  <w:tcMar>
                    <w:top w:w="0" w:type="dxa"/>
                    <w:left w:w="0" w:type="dxa"/>
                    <w:bottom w:w="0" w:type="dxa"/>
                    <w:right w:w="0" w:type="dxa"/>
                  </w:tcMar>
                  <w:vAlign w:val="center"/>
                </w:tcPr>
                <w:p w14:paraId="1B1F5B63">
                  <w:pPr>
                    <w:pStyle w:val="12"/>
                    <w:rPr>
                      <w:rFonts w:cs="Times New Roman"/>
                    </w:rPr>
                  </w:pPr>
                  <w:r>
                    <w:rPr>
                      <w:rFonts w:cs="Times New Roman"/>
                    </w:rPr>
                    <w:t>16.6</w:t>
                  </w:r>
                </w:p>
              </w:tc>
              <w:tc>
                <w:tcPr>
                  <w:tcW w:w="463" w:type="dxa"/>
                  <w:shd w:val="clear" w:color="auto" w:fill="auto"/>
                  <w:tcMar>
                    <w:top w:w="0" w:type="dxa"/>
                    <w:left w:w="0" w:type="dxa"/>
                    <w:bottom w:w="0" w:type="dxa"/>
                    <w:right w:w="0" w:type="dxa"/>
                  </w:tcMar>
                  <w:vAlign w:val="center"/>
                </w:tcPr>
                <w:p w14:paraId="16C78189">
                  <w:pPr>
                    <w:pStyle w:val="12"/>
                    <w:rPr>
                      <w:rFonts w:cs="Times New Roman"/>
                    </w:rPr>
                  </w:pPr>
                  <w:r>
                    <w:rPr>
                      <w:rFonts w:cs="Times New Roman"/>
                    </w:rPr>
                    <w:t>63.0</w:t>
                  </w:r>
                </w:p>
              </w:tc>
              <w:tc>
                <w:tcPr>
                  <w:tcW w:w="463" w:type="dxa"/>
                  <w:shd w:val="clear" w:color="auto" w:fill="auto"/>
                  <w:tcMar>
                    <w:top w:w="0" w:type="dxa"/>
                    <w:left w:w="0" w:type="dxa"/>
                    <w:bottom w:w="0" w:type="dxa"/>
                    <w:right w:w="0" w:type="dxa"/>
                  </w:tcMar>
                  <w:vAlign w:val="center"/>
                </w:tcPr>
                <w:p w14:paraId="46D608A4">
                  <w:pPr>
                    <w:pStyle w:val="12"/>
                    <w:rPr>
                      <w:rFonts w:cs="Times New Roman"/>
                    </w:rPr>
                  </w:pPr>
                  <w:r>
                    <w:rPr>
                      <w:rFonts w:cs="Times New Roman"/>
                    </w:rPr>
                    <w:t>62.9</w:t>
                  </w:r>
                </w:p>
              </w:tc>
              <w:tc>
                <w:tcPr>
                  <w:tcW w:w="463" w:type="dxa"/>
                  <w:shd w:val="clear" w:color="auto" w:fill="auto"/>
                  <w:tcMar>
                    <w:top w:w="0" w:type="dxa"/>
                    <w:left w:w="0" w:type="dxa"/>
                    <w:bottom w:w="0" w:type="dxa"/>
                    <w:right w:w="0" w:type="dxa"/>
                  </w:tcMar>
                  <w:vAlign w:val="center"/>
                </w:tcPr>
                <w:p w14:paraId="759F4836">
                  <w:pPr>
                    <w:pStyle w:val="12"/>
                    <w:rPr>
                      <w:rFonts w:cs="Times New Roman"/>
                    </w:rPr>
                  </w:pPr>
                  <w:r>
                    <w:rPr>
                      <w:rFonts w:cs="Times New Roman"/>
                    </w:rPr>
                    <w:t>63.0</w:t>
                  </w:r>
                </w:p>
              </w:tc>
              <w:tc>
                <w:tcPr>
                  <w:tcW w:w="492" w:type="dxa"/>
                  <w:shd w:val="clear" w:color="auto" w:fill="auto"/>
                  <w:tcMar>
                    <w:top w:w="0" w:type="dxa"/>
                    <w:left w:w="0" w:type="dxa"/>
                    <w:bottom w:w="0" w:type="dxa"/>
                    <w:right w:w="0" w:type="dxa"/>
                  </w:tcMar>
                  <w:vAlign w:val="center"/>
                </w:tcPr>
                <w:p w14:paraId="14404D92">
                  <w:pPr>
                    <w:pStyle w:val="12"/>
                    <w:rPr>
                      <w:rFonts w:cs="Times New Roman"/>
                    </w:rPr>
                  </w:pPr>
                  <w:r>
                    <w:rPr>
                      <w:rFonts w:cs="Times New Roman"/>
                    </w:rPr>
                    <w:t>63.0</w:t>
                  </w:r>
                </w:p>
              </w:tc>
              <w:tc>
                <w:tcPr>
                  <w:tcW w:w="456" w:type="dxa"/>
                  <w:vMerge w:val="continue"/>
                  <w:shd w:val="clear" w:color="auto" w:fill="auto"/>
                  <w:tcMar>
                    <w:top w:w="0" w:type="dxa"/>
                    <w:left w:w="0" w:type="dxa"/>
                    <w:bottom w:w="0" w:type="dxa"/>
                    <w:right w:w="0" w:type="dxa"/>
                  </w:tcMar>
                  <w:vAlign w:val="center"/>
                </w:tcPr>
                <w:p w14:paraId="759F79AA">
                  <w:pPr>
                    <w:pStyle w:val="12"/>
                    <w:rPr>
                      <w:rFonts w:cs="Times New Roman"/>
                    </w:rPr>
                  </w:pPr>
                </w:p>
              </w:tc>
              <w:tc>
                <w:tcPr>
                  <w:tcW w:w="449" w:type="dxa"/>
                  <w:shd w:val="clear" w:color="auto" w:fill="auto"/>
                  <w:tcMar>
                    <w:top w:w="0" w:type="dxa"/>
                    <w:left w:w="0" w:type="dxa"/>
                    <w:bottom w:w="0" w:type="dxa"/>
                    <w:right w:w="0" w:type="dxa"/>
                  </w:tcMar>
                  <w:vAlign w:val="center"/>
                </w:tcPr>
                <w:p w14:paraId="2FF7CF8E">
                  <w:pPr>
                    <w:pStyle w:val="12"/>
                    <w:rPr>
                      <w:rFonts w:cs="Times New Roman"/>
                    </w:rPr>
                  </w:pPr>
                  <w:r>
                    <w:rPr>
                      <w:rFonts w:cs="Times New Roman"/>
                    </w:rPr>
                    <w:t>26.0</w:t>
                  </w:r>
                </w:p>
              </w:tc>
              <w:tc>
                <w:tcPr>
                  <w:tcW w:w="449" w:type="dxa"/>
                  <w:shd w:val="clear" w:color="auto" w:fill="auto"/>
                  <w:tcMar>
                    <w:top w:w="0" w:type="dxa"/>
                    <w:left w:w="0" w:type="dxa"/>
                    <w:bottom w:w="0" w:type="dxa"/>
                    <w:right w:w="0" w:type="dxa"/>
                  </w:tcMar>
                  <w:vAlign w:val="center"/>
                </w:tcPr>
                <w:p w14:paraId="3B398A27">
                  <w:pPr>
                    <w:pStyle w:val="12"/>
                    <w:rPr>
                      <w:rFonts w:cs="Times New Roman"/>
                    </w:rPr>
                  </w:pPr>
                  <w:r>
                    <w:rPr>
                      <w:rFonts w:cs="Times New Roman"/>
                    </w:rPr>
                    <w:t>26.0</w:t>
                  </w:r>
                </w:p>
              </w:tc>
              <w:tc>
                <w:tcPr>
                  <w:tcW w:w="449" w:type="dxa"/>
                  <w:shd w:val="clear" w:color="auto" w:fill="auto"/>
                  <w:tcMar>
                    <w:top w:w="0" w:type="dxa"/>
                    <w:left w:w="0" w:type="dxa"/>
                    <w:bottom w:w="0" w:type="dxa"/>
                    <w:right w:w="0" w:type="dxa"/>
                  </w:tcMar>
                  <w:vAlign w:val="center"/>
                </w:tcPr>
                <w:p w14:paraId="19DD12B9">
                  <w:pPr>
                    <w:pStyle w:val="12"/>
                    <w:rPr>
                      <w:rFonts w:cs="Times New Roman"/>
                    </w:rPr>
                  </w:pPr>
                  <w:r>
                    <w:rPr>
                      <w:rFonts w:cs="Times New Roman"/>
                    </w:rPr>
                    <w:t>26.0</w:t>
                  </w:r>
                </w:p>
              </w:tc>
              <w:tc>
                <w:tcPr>
                  <w:tcW w:w="466" w:type="dxa"/>
                  <w:shd w:val="clear" w:color="auto" w:fill="auto"/>
                  <w:tcMar>
                    <w:top w:w="0" w:type="dxa"/>
                    <w:left w:w="0" w:type="dxa"/>
                    <w:bottom w:w="0" w:type="dxa"/>
                    <w:right w:w="0" w:type="dxa"/>
                  </w:tcMar>
                  <w:vAlign w:val="center"/>
                </w:tcPr>
                <w:p w14:paraId="300E4D85">
                  <w:pPr>
                    <w:pStyle w:val="12"/>
                    <w:rPr>
                      <w:rFonts w:cs="Times New Roman"/>
                    </w:rPr>
                  </w:pPr>
                  <w:r>
                    <w:rPr>
                      <w:rFonts w:cs="Times New Roman"/>
                    </w:rPr>
                    <w:t>26.0</w:t>
                  </w:r>
                </w:p>
              </w:tc>
              <w:tc>
                <w:tcPr>
                  <w:tcW w:w="475" w:type="dxa"/>
                  <w:shd w:val="clear" w:color="auto" w:fill="auto"/>
                  <w:tcMar>
                    <w:top w:w="0" w:type="dxa"/>
                    <w:left w:w="0" w:type="dxa"/>
                    <w:bottom w:w="0" w:type="dxa"/>
                    <w:right w:w="0" w:type="dxa"/>
                  </w:tcMar>
                  <w:vAlign w:val="center"/>
                </w:tcPr>
                <w:p w14:paraId="0705EE3C">
                  <w:pPr>
                    <w:pStyle w:val="12"/>
                    <w:rPr>
                      <w:rFonts w:cs="Times New Roman"/>
                    </w:rPr>
                  </w:pPr>
                  <w:r>
                    <w:rPr>
                      <w:rFonts w:cs="Times New Roman"/>
                    </w:rPr>
                    <w:t>37.0</w:t>
                  </w:r>
                </w:p>
              </w:tc>
              <w:tc>
                <w:tcPr>
                  <w:tcW w:w="475" w:type="dxa"/>
                  <w:shd w:val="clear" w:color="auto" w:fill="auto"/>
                  <w:tcMar>
                    <w:top w:w="0" w:type="dxa"/>
                    <w:left w:w="0" w:type="dxa"/>
                    <w:bottom w:w="0" w:type="dxa"/>
                    <w:right w:w="0" w:type="dxa"/>
                  </w:tcMar>
                  <w:vAlign w:val="center"/>
                </w:tcPr>
                <w:p w14:paraId="4C7F0E2D">
                  <w:pPr>
                    <w:pStyle w:val="12"/>
                    <w:rPr>
                      <w:rFonts w:cs="Times New Roman"/>
                    </w:rPr>
                  </w:pPr>
                  <w:r>
                    <w:rPr>
                      <w:rFonts w:cs="Times New Roman"/>
                    </w:rPr>
                    <w:t>36.9</w:t>
                  </w:r>
                </w:p>
              </w:tc>
              <w:tc>
                <w:tcPr>
                  <w:tcW w:w="476" w:type="dxa"/>
                  <w:shd w:val="clear" w:color="auto" w:fill="auto"/>
                  <w:tcMar>
                    <w:top w:w="0" w:type="dxa"/>
                    <w:left w:w="0" w:type="dxa"/>
                    <w:bottom w:w="0" w:type="dxa"/>
                    <w:right w:w="0" w:type="dxa"/>
                  </w:tcMar>
                  <w:vAlign w:val="center"/>
                </w:tcPr>
                <w:p w14:paraId="6D119DE7">
                  <w:pPr>
                    <w:pStyle w:val="12"/>
                    <w:rPr>
                      <w:rFonts w:cs="Times New Roman"/>
                    </w:rPr>
                  </w:pPr>
                  <w:r>
                    <w:rPr>
                      <w:rFonts w:cs="Times New Roman"/>
                    </w:rPr>
                    <w:t>37.0</w:t>
                  </w:r>
                </w:p>
              </w:tc>
              <w:tc>
                <w:tcPr>
                  <w:tcW w:w="476" w:type="dxa"/>
                  <w:shd w:val="clear" w:color="auto" w:fill="auto"/>
                  <w:tcMar>
                    <w:top w:w="0" w:type="dxa"/>
                    <w:left w:w="0" w:type="dxa"/>
                    <w:bottom w:w="0" w:type="dxa"/>
                    <w:right w:w="0" w:type="dxa"/>
                  </w:tcMar>
                  <w:vAlign w:val="center"/>
                </w:tcPr>
                <w:p w14:paraId="23F3EF6A">
                  <w:pPr>
                    <w:pStyle w:val="12"/>
                    <w:rPr>
                      <w:rFonts w:cs="Times New Roman"/>
                    </w:rPr>
                  </w:pPr>
                  <w:r>
                    <w:rPr>
                      <w:rFonts w:cs="Times New Roman"/>
                    </w:rPr>
                    <w:t>37.0</w:t>
                  </w:r>
                </w:p>
              </w:tc>
              <w:tc>
                <w:tcPr>
                  <w:tcW w:w="545" w:type="dxa"/>
                  <w:shd w:val="clear" w:color="auto" w:fill="auto"/>
                  <w:tcMar>
                    <w:top w:w="0" w:type="dxa"/>
                    <w:left w:w="0" w:type="dxa"/>
                    <w:bottom w:w="0" w:type="dxa"/>
                    <w:right w:w="0" w:type="dxa"/>
                  </w:tcMar>
                  <w:vAlign w:val="center"/>
                </w:tcPr>
                <w:p w14:paraId="7570CE9D">
                  <w:pPr>
                    <w:pStyle w:val="12"/>
                    <w:rPr>
                      <w:rFonts w:cs="Times New Roman"/>
                    </w:rPr>
                  </w:pPr>
                  <w:r>
                    <w:rPr>
                      <w:rFonts w:cs="Times New Roman"/>
                    </w:rPr>
                    <w:t>1</w:t>
                  </w:r>
                </w:p>
              </w:tc>
            </w:tr>
            <w:tr w14:paraId="1520D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5" w:type="dxa"/>
                  <w:shd w:val="clear" w:color="auto" w:fill="auto"/>
                  <w:tcMar>
                    <w:top w:w="0" w:type="dxa"/>
                    <w:left w:w="0" w:type="dxa"/>
                    <w:bottom w:w="0" w:type="dxa"/>
                    <w:right w:w="0" w:type="dxa"/>
                  </w:tcMar>
                  <w:vAlign w:val="center"/>
                </w:tcPr>
                <w:p w14:paraId="7BB35FDA">
                  <w:pPr>
                    <w:pStyle w:val="12"/>
                    <w:rPr>
                      <w:rFonts w:cs="Times New Roman"/>
                    </w:rPr>
                  </w:pPr>
                  <w:r>
                    <w:rPr>
                      <w:rFonts w:cs="Times New Roman"/>
                    </w:rPr>
                    <w:t>4</w:t>
                  </w:r>
                </w:p>
              </w:tc>
              <w:tc>
                <w:tcPr>
                  <w:tcW w:w="1076" w:type="dxa"/>
                  <w:shd w:val="clear" w:color="auto" w:fill="auto"/>
                  <w:tcMar>
                    <w:top w:w="0" w:type="dxa"/>
                    <w:left w:w="0" w:type="dxa"/>
                    <w:bottom w:w="0" w:type="dxa"/>
                    <w:right w:w="0" w:type="dxa"/>
                  </w:tcMar>
                  <w:vAlign w:val="center"/>
                </w:tcPr>
                <w:p w14:paraId="0B7D8F27">
                  <w:pPr>
                    <w:pStyle w:val="12"/>
                    <w:rPr>
                      <w:rFonts w:hint="default" w:eastAsia="宋体" w:cs="Times New Roman"/>
                      <w:lang w:val="en-US" w:eastAsia="zh-CN"/>
                    </w:rPr>
                  </w:pPr>
                  <w:r>
                    <w:rPr>
                      <w:rFonts w:hint="eastAsia" w:cs="Times New Roman"/>
                      <w:lang w:val="en-US" w:eastAsia="zh-CN"/>
                    </w:rPr>
                    <w:t>泵2#</w:t>
                  </w:r>
                </w:p>
              </w:tc>
              <w:tc>
                <w:tcPr>
                  <w:tcW w:w="592" w:type="dxa"/>
                  <w:shd w:val="clear" w:color="auto" w:fill="auto"/>
                  <w:tcMar>
                    <w:top w:w="0" w:type="dxa"/>
                    <w:left w:w="0" w:type="dxa"/>
                    <w:bottom w:w="0" w:type="dxa"/>
                    <w:right w:w="0" w:type="dxa"/>
                  </w:tcMar>
                  <w:vAlign w:val="center"/>
                </w:tcPr>
                <w:p w14:paraId="63B8F73F">
                  <w:pPr>
                    <w:pStyle w:val="12"/>
                    <w:rPr>
                      <w:rFonts w:hint="default" w:eastAsia="宋体" w:cs="Times New Roman"/>
                      <w:lang w:val="en-US" w:eastAsia="zh-CN"/>
                    </w:rPr>
                  </w:pPr>
                  <w:r>
                    <w:rPr>
                      <w:rFonts w:hint="eastAsia" w:cs="Times New Roman"/>
                      <w:lang w:val="en-US" w:eastAsia="zh-CN"/>
                    </w:rPr>
                    <w:t>80</w:t>
                  </w:r>
                </w:p>
              </w:tc>
              <w:tc>
                <w:tcPr>
                  <w:tcW w:w="516" w:type="dxa"/>
                  <w:vMerge w:val="continue"/>
                  <w:shd w:val="clear" w:color="auto" w:fill="auto"/>
                  <w:tcMar>
                    <w:top w:w="0" w:type="dxa"/>
                    <w:left w:w="0" w:type="dxa"/>
                    <w:bottom w:w="0" w:type="dxa"/>
                    <w:right w:w="0" w:type="dxa"/>
                  </w:tcMar>
                  <w:vAlign w:val="center"/>
                </w:tcPr>
                <w:p w14:paraId="3DA84055">
                  <w:pPr>
                    <w:pStyle w:val="12"/>
                    <w:rPr>
                      <w:rFonts w:cs="Times New Roman"/>
                    </w:rPr>
                  </w:pPr>
                </w:p>
              </w:tc>
              <w:tc>
                <w:tcPr>
                  <w:tcW w:w="554" w:type="dxa"/>
                  <w:shd w:val="clear" w:color="auto" w:fill="auto"/>
                  <w:tcMar>
                    <w:top w:w="0" w:type="dxa"/>
                    <w:left w:w="0" w:type="dxa"/>
                    <w:bottom w:w="0" w:type="dxa"/>
                    <w:right w:w="0" w:type="dxa"/>
                  </w:tcMar>
                  <w:vAlign w:val="center"/>
                </w:tcPr>
                <w:p w14:paraId="686E5CC4">
                  <w:pPr>
                    <w:pStyle w:val="12"/>
                    <w:rPr>
                      <w:rFonts w:cs="Times New Roman"/>
                    </w:rPr>
                  </w:pPr>
                  <w:r>
                    <w:rPr>
                      <w:rFonts w:cs="Times New Roman"/>
                    </w:rPr>
                    <w:t>52.9</w:t>
                  </w:r>
                </w:p>
              </w:tc>
              <w:tc>
                <w:tcPr>
                  <w:tcW w:w="554" w:type="dxa"/>
                  <w:shd w:val="clear" w:color="auto" w:fill="auto"/>
                  <w:tcMar>
                    <w:top w:w="0" w:type="dxa"/>
                    <w:left w:w="0" w:type="dxa"/>
                    <w:bottom w:w="0" w:type="dxa"/>
                    <w:right w:w="0" w:type="dxa"/>
                  </w:tcMar>
                  <w:vAlign w:val="center"/>
                </w:tcPr>
                <w:p w14:paraId="31F18817">
                  <w:pPr>
                    <w:pStyle w:val="12"/>
                    <w:rPr>
                      <w:rFonts w:cs="Times New Roman"/>
                    </w:rPr>
                  </w:pPr>
                  <w:r>
                    <w:rPr>
                      <w:rFonts w:cs="Times New Roman"/>
                    </w:rPr>
                    <w:t>-13.8</w:t>
                  </w:r>
                </w:p>
              </w:tc>
              <w:tc>
                <w:tcPr>
                  <w:tcW w:w="583" w:type="dxa"/>
                  <w:shd w:val="clear" w:color="auto" w:fill="auto"/>
                  <w:tcMar>
                    <w:top w:w="0" w:type="dxa"/>
                    <w:left w:w="0" w:type="dxa"/>
                    <w:bottom w:w="0" w:type="dxa"/>
                    <w:right w:w="0" w:type="dxa"/>
                  </w:tcMar>
                  <w:vAlign w:val="center"/>
                </w:tcPr>
                <w:p w14:paraId="6B60E284">
                  <w:pPr>
                    <w:pStyle w:val="12"/>
                    <w:rPr>
                      <w:rFonts w:cs="Times New Roman"/>
                    </w:rPr>
                  </w:pPr>
                  <w:r>
                    <w:rPr>
                      <w:rFonts w:cs="Times New Roman"/>
                    </w:rPr>
                    <w:t>0.2</w:t>
                  </w:r>
                </w:p>
              </w:tc>
              <w:tc>
                <w:tcPr>
                  <w:tcW w:w="522" w:type="dxa"/>
                  <w:shd w:val="clear" w:color="auto" w:fill="auto"/>
                  <w:tcMar>
                    <w:top w:w="0" w:type="dxa"/>
                    <w:left w:w="0" w:type="dxa"/>
                    <w:bottom w:w="0" w:type="dxa"/>
                    <w:right w:w="0" w:type="dxa"/>
                  </w:tcMar>
                  <w:vAlign w:val="center"/>
                </w:tcPr>
                <w:p w14:paraId="4092563E">
                  <w:pPr>
                    <w:pStyle w:val="12"/>
                    <w:rPr>
                      <w:rFonts w:cs="Times New Roman"/>
                    </w:rPr>
                  </w:pPr>
                  <w:r>
                    <w:rPr>
                      <w:rFonts w:cs="Times New Roman"/>
                    </w:rPr>
                    <w:t>12.0</w:t>
                  </w:r>
                </w:p>
              </w:tc>
              <w:tc>
                <w:tcPr>
                  <w:tcW w:w="522" w:type="dxa"/>
                  <w:shd w:val="clear" w:color="auto" w:fill="auto"/>
                  <w:tcMar>
                    <w:top w:w="0" w:type="dxa"/>
                    <w:left w:w="0" w:type="dxa"/>
                    <w:bottom w:w="0" w:type="dxa"/>
                    <w:right w:w="0" w:type="dxa"/>
                  </w:tcMar>
                  <w:vAlign w:val="center"/>
                </w:tcPr>
                <w:p w14:paraId="53EDB1C4">
                  <w:pPr>
                    <w:pStyle w:val="12"/>
                    <w:rPr>
                      <w:rFonts w:cs="Times New Roman"/>
                    </w:rPr>
                  </w:pPr>
                  <w:r>
                    <w:rPr>
                      <w:rFonts w:cs="Times New Roman"/>
                    </w:rPr>
                    <w:t>11.2</w:t>
                  </w:r>
                </w:p>
              </w:tc>
              <w:tc>
                <w:tcPr>
                  <w:tcW w:w="522" w:type="dxa"/>
                  <w:shd w:val="clear" w:color="auto" w:fill="auto"/>
                  <w:tcMar>
                    <w:top w:w="0" w:type="dxa"/>
                    <w:left w:w="0" w:type="dxa"/>
                    <w:bottom w:w="0" w:type="dxa"/>
                    <w:right w:w="0" w:type="dxa"/>
                  </w:tcMar>
                  <w:vAlign w:val="center"/>
                </w:tcPr>
                <w:p w14:paraId="257D4CA1">
                  <w:pPr>
                    <w:pStyle w:val="12"/>
                    <w:rPr>
                      <w:rFonts w:cs="Times New Roman"/>
                    </w:rPr>
                  </w:pPr>
                  <w:r>
                    <w:rPr>
                      <w:rFonts w:cs="Times New Roman"/>
                    </w:rPr>
                    <w:t>30.0</w:t>
                  </w:r>
                </w:p>
              </w:tc>
              <w:tc>
                <w:tcPr>
                  <w:tcW w:w="638" w:type="dxa"/>
                  <w:shd w:val="clear" w:color="auto" w:fill="auto"/>
                  <w:tcMar>
                    <w:top w:w="0" w:type="dxa"/>
                    <w:left w:w="0" w:type="dxa"/>
                    <w:bottom w:w="0" w:type="dxa"/>
                    <w:right w:w="0" w:type="dxa"/>
                  </w:tcMar>
                  <w:vAlign w:val="center"/>
                </w:tcPr>
                <w:p w14:paraId="63DFDF2B">
                  <w:pPr>
                    <w:pStyle w:val="12"/>
                    <w:rPr>
                      <w:rFonts w:cs="Times New Roman"/>
                    </w:rPr>
                  </w:pPr>
                  <w:r>
                    <w:rPr>
                      <w:rFonts w:cs="Times New Roman"/>
                    </w:rPr>
                    <w:t>81.4</w:t>
                  </w:r>
                </w:p>
              </w:tc>
              <w:tc>
                <w:tcPr>
                  <w:tcW w:w="463" w:type="dxa"/>
                  <w:shd w:val="clear" w:color="auto" w:fill="auto"/>
                  <w:tcMar>
                    <w:top w:w="0" w:type="dxa"/>
                    <w:left w:w="0" w:type="dxa"/>
                    <w:bottom w:w="0" w:type="dxa"/>
                    <w:right w:w="0" w:type="dxa"/>
                  </w:tcMar>
                  <w:vAlign w:val="center"/>
                </w:tcPr>
                <w:p w14:paraId="401674DD">
                  <w:pPr>
                    <w:pStyle w:val="12"/>
                    <w:rPr>
                      <w:rFonts w:cs="Times New Roman"/>
                    </w:rPr>
                  </w:pPr>
                  <w:r>
                    <w:rPr>
                      <w:rFonts w:cs="Times New Roman"/>
                    </w:rPr>
                    <w:t>63.0</w:t>
                  </w:r>
                </w:p>
              </w:tc>
              <w:tc>
                <w:tcPr>
                  <w:tcW w:w="463" w:type="dxa"/>
                  <w:shd w:val="clear" w:color="auto" w:fill="auto"/>
                  <w:tcMar>
                    <w:top w:w="0" w:type="dxa"/>
                    <w:left w:w="0" w:type="dxa"/>
                    <w:bottom w:w="0" w:type="dxa"/>
                    <w:right w:w="0" w:type="dxa"/>
                  </w:tcMar>
                  <w:vAlign w:val="center"/>
                </w:tcPr>
                <w:p w14:paraId="133ADFC1">
                  <w:pPr>
                    <w:pStyle w:val="12"/>
                    <w:rPr>
                      <w:rFonts w:cs="Times New Roman"/>
                    </w:rPr>
                  </w:pPr>
                  <w:r>
                    <w:rPr>
                      <w:rFonts w:cs="Times New Roman"/>
                    </w:rPr>
                    <w:t>63.1</w:t>
                  </w:r>
                </w:p>
              </w:tc>
              <w:tc>
                <w:tcPr>
                  <w:tcW w:w="463" w:type="dxa"/>
                  <w:shd w:val="clear" w:color="auto" w:fill="auto"/>
                  <w:tcMar>
                    <w:top w:w="0" w:type="dxa"/>
                    <w:left w:w="0" w:type="dxa"/>
                    <w:bottom w:w="0" w:type="dxa"/>
                    <w:right w:w="0" w:type="dxa"/>
                  </w:tcMar>
                  <w:vAlign w:val="center"/>
                </w:tcPr>
                <w:p w14:paraId="1C8BC37D">
                  <w:pPr>
                    <w:pStyle w:val="12"/>
                    <w:rPr>
                      <w:rFonts w:cs="Times New Roman"/>
                    </w:rPr>
                  </w:pPr>
                  <w:r>
                    <w:rPr>
                      <w:rFonts w:cs="Times New Roman"/>
                    </w:rPr>
                    <w:t>62.9</w:t>
                  </w:r>
                </w:p>
              </w:tc>
              <w:tc>
                <w:tcPr>
                  <w:tcW w:w="492" w:type="dxa"/>
                  <w:shd w:val="clear" w:color="auto" w:fill="auto"/>
                  <w:tcMar>
                    <w:top w:w="0" w:type="dxa"/>
                    <w:left w:w="0" w:type="dxa"/>
                    <w:bottom w:w="0" w:type="dxa"/>
                    <w:right w:w="0" w:type="dxa"/>
                  </w:tcMar>
                  <w:vAlign w:val="center"/>
                </w:tcPr>
                <w:p w14:paraId="7A922C58">
                  <w:pPr>
                    <w:pStyle w:val="12"/>
                    <w:rPr>
                      <w:rFonts w:cs="Times New Roman"/>
                    </w:rPr>
                  </w:pPr>
                  <w:r>
                    <w:rPr>
                      <w:rFonts w:cs="Times New Roman"/>
                    </w:rPr>
                    <w:t>62.9</w:t>
                  </w:r>
                </w:p>
              </w:tc>
              <w:tc>
                <w:tcPr>
                  <w:tcW w:w="456" w:type="dxa"/>
                  <w:vMerge w:val="continue"/>
                  <w:shd w:val="clear" w:color="auto" w:fill="auto"/>
                  <w:tcMar>
                    <w:top w:w="0" w:type="dxa"/>
                    <w:left w:w="0" w:type="dxa"/>
                    <w:bottom w:w="0" w:type="dxa"/>
                    <w:right w:w="0" w:type="dxa"/>
                  </w:tcMar>
                  <w:vAlign w:val="center"/>
                </w:tcPr>
                <w:p w14:paraId="1C56ADC8">
                  <w:pPr>
                    <w:pStyle w:val="12"/>
                    <w:rPr>
                      <w:rFonts w:cs="Times New Roman"/>
                    </w:rPr>
                  </w:pPr>
                </w:p>
              </w:tc>
              <w:tc>
                <w:tcPr>
                  <w:tcW w:w="449" w:type="dxa"/>
                  <w:shd w:val="clear" w:color="auto" w:fill="auto"/>
                  <w:tcMar>
                    <w:top w:w="0" w:type="dxa"/>
                    <w:left w:w="0" w:type="dxa"/>
                    <w:bottom w:w="0" w:type="dxa"/>
                    <w:right w:w="0" w:type="dxa"/>
                  </w:tcMar>
                  <w:vAlign w:val="center"/>
                </w:tcPr>
                <w:p w14:paraId="1EAB667A">
                  <w:pPr>
                    <w:pStyle w:val="12"/>
                    <w:rPr>
                      <w:rFonts w:cs="Times New Roman"/>
                    </w:rPr>
                  </w:pPr>
                  <w:r>
                    <w:rPr>
                      <w:rFonts w:cs="Times New Roman"/>
                    </w:rPr>
                    <w:t>26.0</w:t>
                  </w:r>
                </w:p>
              </w:tc>
              <w:tc>
                <w:tcPr>
                  <w:tcW w:w="449" w:type="dxa"/>
                  <w:shd w:val="clear" w:color="auto" w:fill="auto"/>
                  <w:tcMar>
                    <w:top w:w="0" w:type="dxa"/>
                    <w:left w:w="0" w:type="dxa"/>
                    <w:bottom w:w="0" w:type="dxa"/>
                    <w:right w:w="0" w:type="dxa"/>
                  </w:tcMar>
                  <w:vAlign w:val="center"/>
                </w:tcPr>
                <w:p w14:paraId="72B7ECC0">
                  <w:pPr>
                    <w:pStyle w:val="12"/>
                    <w:rPr>
                      <w:rFonts w:cs="Times New Roman"/>
                    </w:rPr>
                  </w:pPr>
                  <w:r>
                    <w:rPr>
                      <w:rFonts w:cs="Times New Roman"/>
                    </w:rPr>
                    <w:t>26.0</w:t>
                  </w:r>
                </w:p>
              </w:tc>
              <w:tc>
                <w:tcPr>
                  <w:tcW w:w="449" w:type="dxa"/>
                  <w:shd w:val="clear" w:color="auto" w:fill="auto"/>
                  <w:tcMar>
                    <w:top w:w="0" w:type="dxa"/>
                    <w:left w:w="0" w:type="dxa"/>
                    <w:bottom w:w="0" w:type="dxa"/>
                    <w:right w:w="0" w:type="dxa"/>
                  </w:tcMar>
                  <w:vAlign w:val="center"/>
                </w:tcPr>
                <w:p w14:paraId="2DE916B8">
                  <w:pPr>
                    <w:pStyle w:val="12"/>
                    <w:rPr>
                      <w:rFonts w:cs="Times New Roman"/>
                    </w:rPr>
                  </w:pPr>
                  <w:r>
                    <w:rPr>
                      <w:rFonts w:cs="Times New Roman"/>
                    </w:rPr>
                    <w:t>26.0</w:t>
                  </w:r>
                </w:p>
              </w:tc>
              <w:tc>
                <w:tcPr>
                  <w:tcW w:w="466" w:type="dxa"/>
                  <w:shd w:val="clear" w:color="auto" w:fill="auto"/>
                  <w:tcMar>
                    <w:top w:w="0" w:type="dxa"/>
                    <w:left w:w="0" w:type="dxa"/>
                    <w:bottom w:w="0" w:type="dxa"/>
                    <w:right w:w="0" w:type="dxa"/>
                  </w:tcMar>
                  <w:vAlign w:val="center"/>
                </w:tcPr>
                <w:p w14:paraId="56BC43FC">
                  <w:pPr>
                    <w:pStyle w:val="12"/>
                    <w:rPr>
                      <w:rFonts w:cs="Times New Roman"/>
                    </w:rPr>
                  </w:pPr>
                  <w:r>
                    <w:rPr>
                      <w:rFonts w:cs="Times New Roman"/>
                    </w:rPr>
                    <w:t>26.0</w:t>
                  </w:r>
                </w:p>
              </w:tc>
              <w:tc>
                <w:tcPr>
                  <w:tcW w:w="475" w:type="dxa"/>
                  <w:shd w:val="clear" w:color="auto" w:fill="auto"/>
                  <w:tcMar>
                    <w:top w:w="0" w:type="dxa"/>
                    <w:left w:w="0" w:type="dxa"/>
                    <w:bottom w:w="0" w:type="dxa"/>
                    <w:right w:w="0" w:type="dxa"/>
                  </w:tcMar>
                  <w:vAlign w:val="center"/>
                </w:tcPr>
                <w:p w14:paraId="56ACF215">
                  <w:pPr>
                    <w:pStyle w:val="12"/>
                    <w:rPr>
                      <w:rFonts w:cs="Times New Roman"/>
                    </w:rPr>
                  </w:pPr>
                  <w:r>
                    <w:rPr>
                      <w:rFonts w:cs="Times New Roman"/>
                    </w:rPr>
                    <w:t>37.0</w:t>
                  </w:r>
                </w:p>
              </w:tc>
              <w:tc>
                <w:tcPr>
                  <w:tcW w:w="475" w:type="dxa"/>
                  <w:shd w:val="clear" w:color="auto" w:fill="auto"/>
                  <w:tcMar>
                    <w:top w:w="0" w:type="dxa"/>
                    <w:left w:w="0" w:type="dxa"/>
                    <w:bottom w:w="0" w:type="dxa"/>
                    <w:right w:w="0" w:type="dxa"/>
                  </w:tcMar>
                  <w:vAlign w:val="center"/>
                </w:tcPr>
                <w:p w14:paraId="612A32F6">
                  <w:pPr>
                    <w:pStyle w:val="12"/>
                    <w:rPr>
                      <w:rFonts w:cs="Times New Roman"/>
                    </w:rPr>
                  </w:pPr>
                  <w:r>
                    <w:rPr>
                      <w:rFonts w:cs="Times New Roman"/>
                    </w:rPr>
                    <w:t>37.1</w:t>
                  </w:r>
                </w:p>
              </w:tc>
              <w:tc>
                <w:tcPr>
                  <w:tcW w:w="476" w:type="dxa"/>
                  <w:shd w:val="clear" w:color="auto" w:fill="auto"/>
                  <w:tcMar>
                    <w:top w:w="0" w:type="dxa"/>
                    <w:left w:w="0" w:type="dxa"/>
                    <w:bottom w:w="0" w:type="dxa"/>
                    <w:right w:w="0" w:type="dxa"/>
                  </w:tcMar>
                  <w:vAlign w:val="center"/>
                </w:tcPr>
                <w:p w14:paraId="02406C8F">
                  <w:pPr>
                    <w:pStyle w:val="12"/>
                    <w:rPr>
                      <w:rFonts w:cs="Times New Roman"/>
                    </w:rPr>
                  </w:pPr>
                  <w:r>
                    <w:rPr>
                      <w:rFonts w:cs="Times New Roman"/>
                    </w:rPr>
                    <w:t>36.9</w:t>
                  </w:r>
                </w:p>
              </w:tc>
              <w:tc>
                <w:tcPr>
                  <w:tcW w:w="476" w:type="dxa"/>
                  <w:shd w:val="clear" w:color="auto" w:fill="auto"/>
                  <w:tcMar>
                    <w:top w:w="0" w:type="dxa"/>
                    <w:left w:w="0" w:type="dxa"/>
                    <w:bottom w:w="0" w:type="dxa"/>
                    <w:right w:w="0" w:type="dxa"/>
                  </w:tcMar>
                  <w:vAlign w:val="center"/>
                </w:tcPr>
                <w:p w14:paraId="7A6F3A88">
                  <w:pPr>
                    <w:pStyle w:val="12"/>
                    <w:rPr>
                      <w:rFonts w:cs="Times New Roman"/>
                    </w:rPr>
                  </w:pPr>
                  <w:r>
                    <w:rPr>
                      <w:rFonts w:cs="Times New Roman"/>
                    </w:rPr>
                    <w:t>36.9</w:t>
                  </w:r>
                </w:p>
              </w:tc>
              <w:tc>
                <w:tcPr>
                  <w:tcW w:w="545" w:type="dxa"/>
                  <w:shd w:val="clear" w:color="auto" w:fill="auto"/>
                  <w:tcMar>
                    <w:top w:w="0" w:type="dxa"/>
                    <w:left w:w="0" w:type="dxa"/>
                    <w:bottom w:w="0" w:type="dxa"/>
                    <w:right w:w="0" w:type="dxa"/>
                  </w:tcMar>
                  <w:vAlign w:val="center"/>
                </w:tcPr>
                <w:p w14:paraId="25E2CEF1">
                  <w:pPr>
                    <w:pStyle w:val="12"/>
                    <w:rPr>
                      <w:rFonts w:hint="eastAsia" w:eastAsia="宋体" w:cs="Times New Roman"/>
                      <w:lang w:val="en-US" w:eastAsia="zh-CN"/>
                    </w:rPr>
                  </w:pPr>
                  <w:r>
                    <w:rPr>
                      <w:rFonts w:hint="eastAsia" w:cs="Times New Roman"/>
                      <w:lang w:val="en-US" w:eastAsia="zh-CN"/>
                    </w:rPr>
                    <w:t>1</w:t>
                  </w:r>
                </w:p>
              </w:tc>
            </w:tr>
            <w:tr w14:paraId="3834D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5" w:type="dxa"/>
                  <w:shd w:val="clear" w:color="auto" w:fill="auto"/>
                  <w:tcMar>
                    <w:top w:w="0" w:type="dxa"/>
                    <w:left w:w="0" w:type="dxa"/>
                    <w:bottom w:w="0" w:type="dxa"/>
                    <w:right w:w="0" w:type="dxa"/>
                  </w:tcMar>
                  <w:vAlign w:val="center"/>
                </w:tcPr>
                <w:p w14:paraId="7289E9F7">
                  <w:pPr>
                    <w:pStyle w:val="12"/>
                    <w:rPr>
                      <w:rFonts w:cs="Times New Roman"/>
                    </w:rPr>
                  </w:pPr>
                  <w:r>
                    <w:rPr>
                      <w:rFonts w:cs="Times New Roman"/>
                    </w:rPr>
                    <w:t>5</w:t>
                  </w:r>
                </w:p>
              </w:tc>
              <w:tc>
                <w:tcPr>
                  <w:tcW w:w="1076" w:type="dxa"/>
                  <w:shd w:val="clear" w:color="auto" w:fill="auto"/>
                  <w:tcMar>
                    <w:top w:w="0" w:type="dxa"/>
                    <w:left w:w="0" w:type="dxa"/>
                    <w:bottom w:w="0" w:type="dxa"/>
                    <w:right w:w="0" w:type="dxa"/>
                  </w:tcMar>
                  <w:vAlign w:val="center"/>
                </w:tcPr>
                <w:p w14:paraId="5C827956">
                  <w:pPr>
                    <w:pStyle w:val="12"/>
                    <w:rPr>
                      <w:rFonts w:hint="eastAsia" w:eastAsia="宋体" w:cs="Times New Roman"/>
                      <w:lang w:val="en-US" w:eastAsia="zh-CN"/>
                    </w:rPr>
                  </w:pPr>
                  <w:r>
                    <w:rPr>
                      <w:rFonts w:hint="eastAsia" w:cs="Times New Roman"/>
                      <w:lang w:val="en-US" w:eastAsia="zh-CN"/>
                    </w:rPr>
                    <w:t>回转窑</w:t>
                  </w:r>
                </w:p>
              </w:tc>
              <w:tc>
                <w:tcPr>
                  <w:tcW w:w="592" w:type="dxa"/>
                  <w:shd w:val="clear" w:color="auto" w:fill="auto"/>
                  <w:tcMar>
                    <w:top w:w="0" w:type="dxa"/>
                    <w:left w:w="0" w:type="dxa"/>
                    <w:bottom w:w="0" w:type="dxa"/>
                    <w:right w:w="0" w:type="dxa"/>
                  </w:tcMar>
                  <w:vAlign w:val="center"/>
                </w:tcPr>
                <w:p w14:paraId="1EF44415">
                  <w:pPr>
                    <w:pStyle w:val="12"/>
                    <w:rPr>
                      <w:rFonts w:hint="default" w:eastAsia="宋体" w:cs="Times New Roman"/>
                      <w:lang w:val="en-US" w:eastAsia="zh-CN"/>
                    </w:rPr>
                  </w:pPr>
                  <w:r>
                    <w:rPr>
                      <w:rFonts w:hint="eastAsia" w:cs="Times New Roman"/>
                      <w:lang w:val="en-US" w:eastAsia="zh-CN"/>
                    </w:rPr>
                    <w:t>100</w:t>
                  </w:r>
                </w:p>
              </w:tc>
              <w:tc>
                <w:tcPr>
                  <w:tcW w:w="516" w:type="dxa"/>
                  <w:vMerge w:val="continue"/>
                  <w:shd w:val="clear" w:color="auto" w:fill="auto"/>
                  <w:tcMar>
                    <w:top w:w="0" w:type="dxa"/>
                    <w:left w:w="0" w:type="dxa"/>
                    <w:bottom w:w="0" w:type="dxa"/>
                    <w:right w:w="0" w:type="dxa"/>
                  </w:tcMar>
                  <w:vAlign w:val="center"/>
                </w:tcPr>
                <w:p w14:paraId="62F8E081">
                  <w:pPr>
                    <w:pStyle w:val="12"/>
                    <w:rPr>
                      <w:rFonts w:cs="Times New Roman"/>
                    </w:rPr>
                  </w:pPr>
                </w:p>
              </w:tc>
              <w:tc>
                <w:tcPr>
                  <w:tcW w:w="554" w:type="dxa"/>
                  <w:shd w:val="clear" w:color="auto" w:fill="auto"/>
                  <w:tcMar>
                    <w:top w:w="0" w:type="dxa"/>
                    <w:left w:w="0" w:type="dxa"/>
                    <w:bottom w:w="0" w:type="dxa"/>
                    <w:right w:w="0" w:type="dxa"/>
                  </w:tcMar>
                  <w:vAlign w:val="center"/>
                </w:tcPr>
                <w:p w14:paraId="2D253471">
                  <w:pPr>
                    <w:pStyle w:val="12"/>
                    <w:rPr>
                      <w:rFonts w:cs="Times New Roman"/>
                    </w:rPr>
                  </w:pPr>
                  <w:r>
                    <w:rPr>
                      <w:rFonts w:cs="Times New Roman"/>
                    </w:rPr>
                    <w:t>24.9</w:t>
                  </w:r>
                </w:p>
              </w:tc>
              <w:tc>
                <w:tcPr>
                  <w:tcW w:w="554" w:type="dxa"/>
                  <w:shd w:val="clear" w:color="auto" w:fill="auto"/>
                  <w:tcMar>
                    <w:top w:w="0" w:type="dxa"/>
                    <w:left w:w="0" w:type="dxa"/>
                    <w:bottom w:w="0" w:type="dxa"/>
                    <w:right w:w="0" w:type="dxa"/>
                  </w:tcMar>
                  <w:vAlign w:val="center"/>
                </w:tcPr>
                <w:p w14:paraId="575AE72D">
                  <w:pPr>
                    <w:pStyle w:val="12"/>
                    <w:rPr>
                      <w:rFonts w:cs="Times New Roman"/>
                    </w:rPr>
                  </w:pPr>
                  <w:r>
                    <w:rPr>
                      <w:rFonts w:cs="Times New Roman"/>
                    </w:rPr>
                    <w:t>-2.6</w:t>
                  </w:r>
                </w:p>
              </w:tc>
              <w:tc>
                <w:tcPr>
                  <w:tcW w:w="583" w:type="dxa"/>
                  <w:shd w:val="clear" w:color="auto" w:fill="auto"/>
                  <w:tcMar>
                    <w:top w:w="0" w:type="dxa"/>
                    <w:left w:w="0" w:type="dxa"/>
                    <w:bottom w:w="0" w:type="dxa"/>
                    <w:right w:w="0" w:type="dxa"/>
                  </w:tcMar>
                  <w:vAlign w:val="center"/>
                </w:tcPr>
                <w:p w14:paraId="539FAB2A">
                  <w:pPr>
                    <w:pStyle w:val="12"/>
                    <w:rPr>
                      <w:rFonts w:hint="default" w:eastAsia="宋体" w:cs="Times New Roman"/>
                      <w:lang w:val="en-US" w:eastAsia="zh-CN"/>
                    </w:rPr>
                  </w:pPr>
                  <w:r>
                    <w:rPr>
                      <w:rFonts w:hint="eastAsia" w:cs="Times New Roman"/>
                      <w:lang w:val="en-US" w:eastAsia="zh-CN"/>
                    </w:rPr>
                    <w:t>2.5</w:t>
                  </w:r>
                </w:p>
              </w:tc>
              <w:tc>
                <w:tcPr>
                  <w:tcW w:w="522" w:type="dxa"/>
                  <w:shd w:val="clear" w:color="auto" w:fill="auto"/>
                  <w:tcMar>
                    <w:top w:w="0" w:type="dxa"/>
                    <w:left w:w="0" w:type="dxa"/>
                    <w:bottom w:w="0" w:type="dxa"/>
                    <w:right w:w="0" w:type="dxa"/>
                  </w:tcMar>
                  <w:vAlign w:val="center"/>
                </w:tcPr>
                <w:p w14:paraId="2E616796">
                  <w:pPr>
                    <w:pStyle w:val="12"/>
                    <w:rPr>
                      <w:rFonts w:cs="Times New Roman"/>
                    </w:rPr>
                  </w:pPr>
                  <w:r>
                    <w:rPr>
                      <w:rFonts w:cs="Times New Roman"/>
                    </w:rPr>
                    <w:t>31.1</w:t>
                  </w:r>
                </w:p>
              </w:tc>
              <w:tc>
                <w:tcPr>
                  <w:tcW w:w="522" w:type="dxa"/>
                  <w:shd w:val="clear" w:color="auto" w:fill="auto"/>
                  <w:tcMar>
                    <w:top w:w="0" w:type="dxa"/>
                    <w:left w:w="0" w:type="dxa"/>
                    <w:bottom w:w="0" w:type="dxa"/>
                    <w:right w:w="0" w:type="dxa"/>
                  </w:tcMar>
                  <w:vAlign w:val="center"/>
                </w:tcPr>
                <w:p w14:paraId="37CA4D63">
                  <w:pPr>
                    <w:pStyle w:val="12"/>
                    <w:rPr>
                      <w:rFonts w:cs="Times New Roman"/>
                    </w:rPr>
                  </w:pPr>
                  <w:r>
                    <w:rPr>
                      <w:rFonts w:cs="Times New Roman"/>
                    </w:rPr>
                    <w:t>33.4</w:t>
                  </w:r>
                </w:p>
              </w:tc>
              <w:tc>
                <w:tcPr>
                  <w:tcW w:w="522" w:type="dxa"/>
                  <w:shd w:val="clear" w:color="auto" w:fill="auto"/>
                  <w:tcMar>
                    <w:top w:w="0" w:type="dxa"/>
                    <w:left w:w="0" w:type="dxa"/>
                    <w:bottom w:w="0" w:type="dxa"/>
                    <w:right w:w="0" w:type="dxa"/>
                  </w:tcMar>
                  <w:vAlign w:val="center"/>
                </w:tcPr>
                <w:p w14:paraId="45146C0E">
                  <w:pPr>
                    <w:pStyle w:val="12"/>
                    <w:rPr>
                      <w:rFonts w:cs="Times New Roman"/>
                    </w:rPr>
                  </w:pPr>
                  <w:r>
                    <w:rPr>
                      <w:rFonts w:cs="Times New Roman"/>
                    </w:rPr>
                    <w:t>10.3</w:t>
                  </w:r>
                </w:p>
              </w:tc>
              <w:tc>
                <w:tcPr>
                  <w:tcW w:w="638" w:type="dxa"/>
                  <w:shd w:val="clear" w:color="auto" w:fill="auto"/>
                  <w:tcMar>
                    <w:top w:w="0" w:type="dxa"/>
                    <w:left w:w="0" w:type="dxa"/>
                    <w:bottom w:w="0" w:type="dxa"/>
                    <w:right w:w="0" w:type="dxa"/>
                  </w:tcMar>
                  <w:vAlign w:val="center"/>
                </w:tcPr>
                <w:p w14:paraId="534F9264">
                  <w:pPr>
                    <w:pStyle w:val="12"/>
                    <w:rPr>
                      <w:rFonts w:cs="Times New Roman"/>
                    </w:rPr>
                  </w:pPr>
                  <w:r>
                    <w:rPr>
                      <w:rFonts w:cs="Times New Roman"/>
                    </w:rPr>
                    <w:t>57.8</w:t>
                  </w:r>
                </w:p>
              </w:tc>
              <w:tc>
                <w:tcPr>
                  <w:tcW w:w="463" w:type="dxa"/>
                  <w:shd w:val="clear" w:color="auto" w:fill="auto"/>
                  <w:tcMar>
                    <w:top w:w="0" w:type="dxa"/>
                    <w:left w:w="0" w:type="dxa"/>
                    <w:bottom w:w="0" w:type="dxa"/>
                    <w:right w:w="0" w:type="dxa"/>
                  </w:tcMar>
                  <w:vAlign w:val="center"/>
                </w:tcPr>
                <w:p w14:paraId="40E3DD65">
                  <w:pPr>
                    <w:pStyle w:val="12"/>
                    <w:rPr>
                      <w:rFonts w:cs="Times New Roman"/>
                    </w:rPr>
                  </w:pPr>
                  <w:r>
                    <w:rPr>
                      <w:rFonts w:cs="Times New Roman"/>
                    </w:rPr>
                    <w:t>82.9</w:t>
                  </w:r>
                </w:p>
              </w:tc>
              <w:tc>
                <w:tcPr>
                  <w:tcW w:w="463" w:type="dxa"/>
                  <w:shd w:val="clear" w:color="auto" w:fill="auto"/>
                  <w:tcMar>
                    <w:top w:w="0" w:type="dxa"/>
                    <w:left w:w="0" w:type="dxa"/>
                    <w:bottom w:w="0" w:type="dxa"/>
                    <w:right w:w="0" w:type="dxa"/>
                  </w:tcMar>
                  <w:vAlign w:val="center"/>
                </w:tcPr>
                <w:p w14:paraId="2832D43A">
                  <w:pPr>
                    <w:pStyle w:val="12"/>
                    <w:rPr>
                      <w:rFonts w:cs="Times New Roman"/>
                    </w:rPr>
                  </w:pPr>
                  <w:r>
                    <w:rPr>
                      <w:rFonts w:cs="Times New Roman"/>
                    </w:rPr>
                    <w:t>82.9</w:t>
                  </w:r>
                </w:p>
              </w:tc>
              <w:tc>
                <w:tcPr>
                  <w:tcW w:w="463" w:type="dxa"/>
                  <w:shd w:val="clear" w:color="auto" w:fill="auto"/>
                  <w:tcMar>
                    <w:top w:w="0" w:type="dxa"/>
                    <w:left w:w="0" w:type="dxa"/>
                    <w:bottom w:w="0" w:type="dxa"/>
                    <w:right w:w="0" w:type="dxa"/>
                  </w:tcMar>
                  <w:vAlign w:val="center"/>
                </w:tcPr>
                <w:p w14:paraId="1C4A0DE6">
                  <w:pPr>
                    <w:pStyle w:val="12"/>
                    <w:rPr>
                      <w:rFonts w:cs="Times New Roman"/>
                    </w:rPr>
                  </w:pPr>
                  <w:r>
                    <w:rPr>
                      <w:rFonts w:cs="Times New Roman"/>
                    </w:rPr>
                    <w:t>83.1</w:t>
                  </w:r>
                </w:p>
              </w:tc>
              <w:tc>
                <w:tcPr>
                  <w:tcW w:w="492" w:type="dxa"/>
                  <w:shd w:val="clear" w:color="auto" w:fill="auto"/>
                  <w:tcMar>
                    <w:top w:w="0" w:type="dxa"/>
                    <w:left w:w="0" w:type="dxa"/>
                    <w:bottom w:w="0" w:type="dxa"/>
                    <w:right w:w="0" w:type="dxa"/>
                  </w:tcMar>
                  <w:vAlign w:val="center"/>
                </w:tcPr>
                <w:p w14:paraId="22C20AD0">
                  <w:pPr>
                    <w:pStyle w:val="12"/>
                    <w:rPr>
                      <w:rFonts w:cs="Times New Roman"/>
                    </w:rPr>
                  </w:pPr>
                  <w:r>
                    <w:rPr>
                      <w:rFonts w:cs="Times New Roman"/>
                    </w:rPr>
                    <w:t>82.9</w:t>
                  </w:r>
                </w:p>
              </w:tc>
              <w:tc>
                <w:tcPr>
                  <w:tcW w:w="456" w:type="dxa"/>
                  <w:vMerge w:val="continue"/>
                  <w:shd w:val="clear" w:color="auto" w:fill="auto"/>
                  <w:tcMar>
                    <w:top w:w="0" w:type="dxa"/>
                    <w:left w:w="0" w:type="dxa"/>
                    <w:bottom w:w="0" w:type="dxa"/>
                    <w:right w:w="0" w:type="dxa"/>
                  </w:tcMar>
                  <w:vAlign w:val="center"/>
                </w:tcPr>
                <w:p w14:paraId="71854B52">
                  <w:pPr>
                    <w:pStyle w:val="12"/>
                    <w:rPr>
                      <w:rFonts w:cs="Times New Roman"/>
                    </w:rPr>
                  </w:pPr>
                </w:p>
              </w:tc>
              <w:tc>
                <w:tcPr>
                  <w:tcW w:w="449" w:type="dxa"/>
                  <w:shd w:val="clear" w:color="auto" w:fill="auto"/>
                  <w:tcMar>
                    <w:top w:w="0" w:type="dxa"/>
                    <w:left w:w="0" w:type="dxa"/>
                    <w:bottom w:w="0" w:type="dxa"/>
                    <w:right w:w="0" w:type="dxa"/>
                  </w:tcMar>
                  <w:vAlign w:val="center"/>
                </w:tcPr>
                <w:p w14:paraId="43319F7C">
                  <w:pPr>
                    <w:pStyle w:val="12"/>
                    <w:rPr>
                      <w:rFonts w:cs="Times New Roman"/>
                    </w:rPr>
                  </w:pPr>
                  <w:r>
                    <w:rPr>
                      <w:rFonts w:cs="Times New Roman"/>
                    </w:rPr>
                    <w:t>26.0</w:t>
                  </w:r>
                </w:p>
              </w:tc>
              <w:tc>
                <w:tcPr>
                  <w:tcW w:w="449" w:type="dxa"/>
                  <w:shd w:val="clear" w:color="auto" w:fill="auto"/>
                  <w:tcMar>
                    <w:top w:w="0" w:type="dxa"/>
                    <w:left w:w="0" w:type="dxa"/>
                    <w:bottom w:w="0" w:type="dxa"/>
                    <w:right w:w="0" w:type="dxa"/>
                  </w:tcMar>
                  <w:vAlign w:val="center"/>
                </w:tcPr>
                <w:p w14:paraId="53A5E246">
                  <w:pPr>
                    <w:pStyle w:val="12"/>
                    <w:rPr>
                      <w:rFonts w:cs="Times New Roman"/>
                    </w:rPr>
                  </w:pPr>
                  <w:r>
                    <w:rPr>
                      <w:rFonts w:cs="Times New Roman"/>
                    </w:rPr>
                    <w:t>26.0</w:t>
                  </w:r>
                </w:p>
              </w:tc>
              <w:tc>
                <w:tcPr>
                  <w:tcW w:w="449" w:type="dxa"/>
                  <w:shd w:val="clear" w:color="auto" w:fill="auto"/>
                  <w:tcMar>
                    <w:top w:w="0" w:type="dxa"/>
                    <w:left w:w="0" w:type="dxa"/>
                    <w:bottom w:w="0" w:type="dxa"/>
                    <w:right w:w="0" w:type="dxa"/>
                  </w:tcMar>
                  <w:vAlign w:val="center"/>
                </w:tcPr>
                <w:p w14:paraId="2012FE97">
                  <w:pPr>
                    <w:pStyle w:val="12"/>
                    <w:rPr>
                      <w:rFonts w:cs="Times New Roman"/>
                    </w:rPr>
                  </w:pPr>
                  <w:r>
                    <w:rPr>
                      <w:rFonts w:cs="Times New Roman"/>
                    </w:rPr>
                    <w:t>26.0</w:t>
                  </w:r>
                </w:p>
              </w:tc>
              <w:tc>
                <w:tcPr>
                  <w:tcW w:w="466" w:type="dxa"/>
                  <w:shd w:val="clear" w:color="auto" w:fill="auto"/>
                  <w:tcMar>
                    <w:top w:w="0" w:type="dxa"/>
                    <w:left w:w="0" w:type="dxa"/>
                    <w:bottom w:w="0" w:type="dxa"/>
                    <w:right w:w="0" w:type="dxa"/>
                  </w:tcMar>
                  <w:vAlign w:val="center"/>
                </w:tcPr>
                <w:p w14:paraId="2C331DEF">
                  <w:pPr>
                    <w:pStyle w:val="12"/>
                    <w:rPr>
                      <w:rFonts w:cs="Times New Roman"/>
                    </w:rPr>
                  </w:pPr>
                  <w:r>
                    <w:rPr>
                      <w:rFonts w:cs="Times New Roman"/>
                    </w:rPr>
                    <w:t>26.0</w:t>
                  </w:r>
                </w:p>
              </w:tc>
              <w:tc>
                <w:tcPr>
                  <w:tcW w:w="475" w:type="dxa"/>
                  <w:shd w:val="clear" w:color="auto" w:fill="auto"/>
                  <w:tcMar>
                    <w:top w:w="0" w:type="dxa"/>
                    <w:left w:w="0" w:type="dxa"/>
                    <w:bottom w:w="0" w:type="dxa"/>
                    <w:right w:w="0" w:type="dxa"/>
                  </w:tcMar>
                  <w:vAlign w:val="center"/>
                </w:tcPr>
                <w:p w14:paraId="376BFB06">
                  <w:pPr>
                    <w:pStyle w:val="12"/>
                    <w:rPr>
                      <w:rFonts w:cs="Times New Roman"/>
                    </w:rPr>
                  </w:pPr>
                  <w:r>
                    <w:rPr>
                      <w:rFonts w:cs="Times New Roman"/>
                    </w:rPr>
                    <w:t>56.9</w:t>
                  </w:r>
                </w:p>
              </w:tc>
              <w:tc>
                <w:tcPr>
                  <w:tcW w:w="475" w:type="dxa"/>
                  <w:shd w:val="clear" w:color="auto" w:fill="auto"/>
                  <w:tcMar>
                    <w:top w:w="0" w:type="dxa"/>
                    <w:left w:w="0" w:type="dxa"/>
                    <w:bottom w:w="0" w:type="dxa"/>
                    <w:right w:w="0" w:type="dxa"/>
                  </w:tcMar>
                  <w:vAlign w:val="center"/>
                </w:tcPr>
                <w:p w14:paraId="0B8CD858">
                  <w:pPr>
                    <w:pStyle w:val="12"/>
                    <w:rPr>
                      <w:rFonts w:cs="Times New Roman"/>
                    </w:rPr>
                  </w:pPr>
                  <w:r>
                    <w:rPr>
                      <w:rFonts w:cs="Times New Roman"/>
                    </w:rPr>
                    <w:t>56.9</w:t>
                  </w:r>
                </w:p>
              </w:tc>
              <w:tc>
                <w:tcPr>
                  <w:tcW w:w="476" w:type="dxa"/>
                  <w:shd w:val="clear" w:color="auto" w:fill="auto"/>
                  <w:tcMar>
                    <w:top w:w="0" w:type="dxa"/>
                    <w:left w:w="0" w:type="dxa"/>
                    <w:bottom w:w="0" w:type="dxa"/>
                    <w:right w:w="0" w:type="dxa"/>
                  </w:tcMar>
                  <w:vAlign w:val="center"/>
                </w:tcPr>
                <w:p w14:paraId="5471EA79">
                  <w:pPr>
                    <w:pStyle w:val="12"/>
                    <w:rPr>
                      <w:rFonts w:cs="Times New Roman"/>
                    </w:rPr>
                  </w:pPr>
                  <w:r>
                    <w:rPr>
                      <w:rFonts w:cs="Times New Roman"/>
                    </w:rPr>
                    <w:t>57.1</w:t>
                  </w:r>
                </w:p>
              </w:tc>
              <w:tc>
                <w:tcPr>
                  <w:tcW w:w="476" w:type="dxa"/>
                  <w:shd w:val="clear" w:color="auto" w:fill="auto"/>
                  <w:tcMar>
                    <w:top w:w="0" w:type="dxa"/>
                    <w:left w:w="0" w:type="dxa"/>
                    <w:bottom w:w="0" w:type="dxa"/>
                    <w:right w:w="0" w:type="dxa"/>
                  </w:tcMar>
                  <w:vAlign w:val="center"/>
                </w:tcPr>
                <w:p w14:paraId="509DB70D">
                  <w:pPr>
                    <w:pStyle w:val="12"/>
                    <w:rPr>
                      <w:rFonts w:cs="Times New Roman"/>
                    </w:rPr>
                  </w:pPr>
                  <w:r>
                    <w:rPr>
                      <w:rFonts w:cs="Times New Roman"/>
                    </w:rPr>
                    <w:t>56.9</w:t>
                  </w:r>
                </w:p>
              </w:tc>
              <w:tc>
                <w:tcPr>
                  <w:tcW w:w="545" w:type="dxa"/>
                  <w:shd w:val="clear" w:color="auto" w:fill="auto"/>
                  <w:tcMar>
                    <w:top w:w="0" w:type="dxa"/>
                    <w:left w:w="0" w:type="dxa"/>
                    <w:bottom w:w="0" w:type="dxa"/>
                    <w:right w:w="0" w:type="dxa"/>
                  </w:tcMar>
                  <w:vAlign w:val="center"/>
                </w:tcPr>
                <w:p w14:paraId="5AA38BC7">
                  <w:pPr>
                    <w:pStyle w:val="12"/>
                    <w:rPr>
                      <w:rFonts w:cs="Times New Roman"/>
                    </w:rPr>
                  </w:pPr>
                  <w:r>
                    <w:rPr>
                      <w:rFonts w:cs="Times New Roman"/>
                    </w:rPr>
                    <w:t>1</w:t>
                  </w:r>
                </w:p>
              </w:tc>
            </w:tr>
            <w:tr w14:paraId="3268B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5" w:type="dxa"/>
                  <w:shd w:val="clear" w:color="auto" w:fill="auto"/>
                  <w:tcMar>
                    <w:top w:w="0" w:type="dxa"/>
                    <w:left w:w="0" w:type="dxa"/>
                    <w:bottom w:w="0" w:type="dxa"/>
                    <w:right w:w="0" w:type="dxa"/>
                  </w:tcMar>
                  <w:vAlign w:val="center"/>
                </w:tcPr>
                <w:p w14:paraId="5BCECA59">
                  <w:pPr>
                    <w:pStyle w:val="12"/>
                    <w:rPr>
                      <w:rFonts w:cs="Times New Roman"/>
                    </w:rPr>
                  </w:pPr>
                  <w:r>
                    <w:rPr>
                      <w:rFonts w:cs="Times New Roman"/>
                    </w:rPr>
                    <w:t>6</w:t>
                  </w:r>
                </w:p>
              </w:tc>
              <w:tc>
                <w:tcPr>
                  <w:tcW w:w="1076" w:type="dxa"/>
                  <w:shd w:val="clear" w:color="auto" w:fill="auto"/>
                  <w:tcMar>
                    <w:top w:w="0" w:type="dxa"/>
                    <w:left w:w="0" w:type="dxa"/>
                    <w:bottom w:w="0" w:type="dxa"/>
                    <w:right w:w="0" w:type="dxa"/>
                  </w:tcMar>
                  <w:vAlign w:val="center"/>
                </w:tcPr>
                <w:p w14:paraId="43FF24F0">
                  <w:pPr>
                    <w:pStyle w:val="12"/>
                    <w:rPr>
                      <w:rFonts w:hint="eastAsia" w:eastAsia="宋体" w:cs="Times New Roman"/>
                      <w:lang w:val="en-US" w:eastAsia="zh-CN"/>
                    </w:rPr>
                  </w:pPr>
                  <w:r>
                    <w:rPr>
                      <w:rFonts w:hint="eastAsia" w:cs="Times New Roman"/>
                      <w:lang w:val="en-US" w:eastAsia="zh-CN"/>
                    </w:rPr>
                    <w:t>冷渣机</w:t>
                  </w:r>
                </w:p>
              </w:tc>
              <w:tc>
                <w:tcPr>
                  <w:tcW w:w="592" w:type="dxa"/>
                  <w:shd w:val="clear" w:color="auto" w:fill="auto"/>
                  <w:tcMar>
                    <w:top w:w="0" w:type="dxa"/>
                    <w:left w:w="0" w:type="dxa"/>
                    <w:bottom w:w="0" w:type="dxa"/>
                    <w:right w:w="0" w:type="dxa"/>
                  </w:tcMar>
                  <w:vAlign w:val="center"/>
                </w:tcPr>
                <w:p w14:paraId="6FD5386A">
                  <w:pPr>
                    <w:pStyle w:val="12"/>
                    <w:rPr>
                      <w:rFonts w:hint="default" w:eastAsia="宋体" w:cs="Times New Roman"/>
                      <w:lang w:val="en-US" w:eastAsia="zh-CN"/>
                    </w:rPr>
                  </w:pPr>
                  <w:r>
                    <w:rPr>
                      <w:rFonts w:hint="eastAsia" w:cs="Times New Roman"/>
                      <w:lang w:val="en-US" w:eastAsia="zh-CN"/>
                    </w:rPr>
                    <w:t>70</w:t>
                  </w:r>
                </w:p>
              </w:tc>
              <w:tc>
                <w:tcPr>
                  <w:tcW w:w="516" w:type="dxa"/>
                  <w:vMerge w:val="continue"/>
                  <w:shd w:val="clear" w:color="auto" w:fill="auto"/>
                  <w:tcMar>
                    <w:top w:w="0" w:type="dxa"/>
                    <w:left w:w="0" w:type="dxa"/>
                    <w:bottom w:w="0" w:type="dxa"/>
                    <w:right w:w="0" w:type="dxa"/>
                  </w:tcMar>
                  <w:vAlign w:val="center"/>
                </w:tcPr>
                <w:p w14:paraId="60F9DB9B">
                  <w:pPr>
                    <w:pStyle w:val="12"/>
                    <w:rPr>
                      <w:rFonts w:cs="Times New Roman"/>
                    </w:rPr>
                  </w:pPr>
                </w:p>
              </w:tc>
              <w:tc>
                <w:tcPr>
                  <w:tcW w:w="554" w:type="dxa"/>
                  <w:shd w:val="clear" w:color="auto" w:fill="auto"/>
                  <w:tcMar>
                    <w:top w:w="0" w:type="dxa"/>
                    <w:left w:w="0" w:type="dxa"/>
                    <w:bottom w:w="0" w:type="dxa"/>
                    <w:right w:w="0" w:type="dxa"/>
                  </w:tcMar>
                  <w:vAlign w:val="center"/>
                </w:tcPr>
                <w:p w14:paraId="0E9C9846">
                  <w:pPr>
                    <w:pStyle w:val="12"/>
                    <w:rPr>
                      <w:rFonts w:cs="Times New Roman"/>
                    </w:rPr>
                  </w:pPr>
                  <w:r>
                    <w:rPr>
                      <w:rFonts w:cs="Times New Roman"/>
                    </w:rPr>
                    <w:t>28</w:t>
                  </w:r>
                </w:p>
              </w:tc>
              <w:tc>
                <w:tcPr>
                  <w:tcW w:w="554" w:type="dxa"/>
                  <w:shd w:val="clear" w:color="auto" w:fill="auto"/>
                  <w:tcMar>
                    <w:top w:w="0" w:type="dxa"/>
                    <w:left w:w="0" w:type="dxa"/>
                    <w:bottom w:w="0" w:type="dxa"/>
                    <w:right w:w="0" w:type="dxa"/>
                  </w:tcMar>
                  <w:vAlign w:val="center"/>
                </w:tcPr>
                <w:p w14:paraId="4C6E1B11">
                  <w:pPr>
                    <w:pStyle w:val="12"/>
                    <w:rPr>
                      <w:rFonts w:cs="Times New Roman"/>
                    </w:rPr>
                  </w:pPr>
                  <w:r>
                    <w:rPr>
                      <w:rFonts w:cs="Times New Roman"/>
                    </w:rPr>
                    <w:t>-19.9</w:t>
                  </w:r>
                </w:p>
              </w:tc>
              <w:tc>
                <w:tcPr>
                  <w:tcW w:w="583" w:type="dxa"/>
                  <w:shd w:val="clear" w:color="auto" w:fill="auto"/>
                  <w:tcMar>
                    <w:top w:w="0" w:type="dxa"/>
                    <w:left w:w="0" w:type="dxa"/>
                    <w:bottom w:w="0" w:type="dxa"/>
                    <w:right w:w="0" w:type="dxa"/>
                  </w:tcMar>
                  <w:vAlign w:val="center"/>
                </w:tcPr>
                <w:p w14:paraId="25ED66DB">
                  <w:pPr>
                    <w:pStyle w:val="12"/>
                    <w:rPr>
                      <w:rFonts w:hint="default" w:eastAsia="宋体" w:cs="Times New Roman"/>
                      <w:lang w:val="en-US" w:eastAsia="zh-CN"/>
                    </w:rPr>
                  </w:pPr>
                  <w:r>
                    <w:rPr>
                      <w:rFonts w:hint="eastAsia" w:cs="Times New Roman"/>
                      <w:lang w:val="en-US" w:eastAsia="zh-CN"/>
                    </w:rPr>
                    <w:t>2.5</w:t>
                  </w:r>
                </w:p>
              </w:tc>
              <w:tc>
                <w:tcPr>
                  <w:tcW w:w="522" w:type="dxa"/>
                  <w:shd w:val="clear" w:color="auto" w:fill="auto"/>
                  <w:tcMar>
                    <w:top w:w="0" w:type="dxa"/>
                    <w:left w:w="0" w:type="dxa"/>
                    <w:bottom w:w="0" w:type="dxa"/>
                    <w:right w:w="0" w:type="dxa"/>
                  </w:tcMar>
                  <w:vAlign w:val="center"/>
                </w:tcPr>
                <w:p w14:paraId="27A73000">
                  <w:pPr>
                    <w:pStyle w:val="12"/>
                    <w:rPr>
                      <w:rFonts w:cs="Times New Roman"/>
                    </w:rPr>
                  </w:pPr>
                  <w:r>
                    <w:rPr>
                      <w:rFonts w:cs="Times New Roman"/>
                    </w:rPr>
                    <w:t>36.8</w:t>
                  </w:r>
                </w:p>
              </w:tc>
              <w:tc>
                <w:tcPr>
                  <w:tcW w:w="522" w:type="dxa"/>
                  <w:shd w:val="clear" w:color="auto" w:fill="auto"/>
                  <w:tcMar>
                    <w:top w:w="0" w:type="dxa"/>
                    <w:left w:w="0" w:type="dxa"/>
                    <w:bottom w:w="0" w:type="dxa"/>
                    <w:right w:w="0" w:type="dxa"/>
                  </w:tcMar>
                  <w:vAlign w:val="center"/>
                </w:tcPr>
                <w:p w14:paraId="76775DB8">
                  <w:pPr>
                    <w:pStyle w:val="12"/>
                    <w:rPr>
                      <w:rFonts w:cs="Times New Roman"/>
                    </w:rPr>
                  </w:pPr>
                  <w:r>
                    <w:rPr>
                      <w:rFonts w:cs="Times New Roman"/>
                    </w:rPr>
                    <w:t>16.4</w:t>
                  </w:r>
                </w:p>
              </w:tc>
              <w:tc>
                <w:tcPr>
                  <w:tcW w:w="522" w:type="dxa"/>
                  <w:shd w:val="clear" w:color="auto" w:fill="auto"/>
                  <w:tcMar>
                    <w:top w:w="0" w:type="dxa"/>
                    <w:left w:w="0" w:type="dxa"/>
                    <w:bottom w:w="0" w:type="dxa"/>
                    <w:right w:w="0" w:type="dxa"/>
                  </w:tcMar>
                  <w:vAlign w:val="center"/>
                </w:tcPr>
                <w:p w14:paraId="722E1BFE">
                  <w:pPr>
                    <w:pStyle w:val="12"/>
                    <w:rPr>
                      <w:rFonts w:cs="Times New Roman"/>
                    </w:rPr>
                  </w:pPr>
                  <w:r>
                    <w:rPr>
                      <w:rFonts w:cs="Times New Roman"/>
                    </w:rPr>
                    <w:t>5.1</w:t>
                  </w:r>
                </w:p>
              </w:tc>
              <w:tc>
                <w:tcPr>
                  <w:tcW w:w="638" w:type="dxa"/>
                  <w:shd w:val="clear" w:color="auto" w:fill="auto"/>
                  <w:tcMar>
                    <w:top w:w="0" w:type="dxa"/>
                    <w:left w:w="0" w:type="dxa"/>
                    <w:bottom w:w="0" w:type="dxa"/>
                    <w:right w:w="0" w:type="dxa"/>
                  </w:tcMar>
                  <w:vAlign w:val="center"/>
                </w:tcPr>
                <w:p w14:paraId="036AC6EE">
                  <w:pPr>
                    <w:pStyle w:val="12"/>
                    <w:rPr>
                      <w:rFonts w:cs="Times New Roman"/>
                    </w:rPr>
                  </w:pPr>
                  <w:r>
                    <w:rPr>
                      <w:rFonts w:cs="Times New Roman"/>
                    </w:rPr>
                    <w:t>74.4</w:t>
                  </w:r>
                </w:p>
              </w:tc>
              <w:tc>
                <w:tcPr>
                  <w:tcW w:w="463" w:type="dxa"/>
                  <w:shd w:val="clear" w:color="auto" w:fill="auto"/>
                  <w:tcMar>
                    <w:top w:w="0" w:type="dxa"/>
                    <w:left w:w="0" w:type="dxa"/>
                    <w:bottom w:w="0" w:type="dxa"/>
                    <w:right w:w="0" w:type="dxa"/>
                  </w:tcMar>
                  <w:vAlign w:val="center"/>
                </w:tcPr>
                <w:p w14:paraId="4BD73345">
                  <w:pPr>
                    <w:pStyle w:val="12"/>
                    <w:rPr>
                      <w:rFonts w:cs="Times New Roman"/>
                    </w:rPr>
                  </w:pPr>
                  <w:r>
                    <w:rPr>
                      <w:rFonts w:cs="Times New Roman"/>
                    </w:rPr>
                    <w:t>52.9</w:t>
                  </w:r>
                </w:p>
              </w:tc>
              <w:tc>
                <w:tcPr>
                  <w:tcW w:w="463" w:type="dxa"/>
                  <w:shd w:val="clear" w:color="auto" w:fill="auto"/>
                  <w:tcMar>
                    <w:top w:w="0" w:type="dxa"/>
                    <w:left w:w="0" w:type="dxa"/>
                    <w:bottom w:w="0" w:type="dxa"/>
                    <w:right w:w="0" w:type="dxa"/>
                  </w:tcMar>
                  <w:vAlign w:val="center"/>
                </w:tcPr>
                <w:p w14:paraId="328B3451">
                  <w:pPr>
                    <w:pStyle w:val="12"/>
                    <w:rPr>
                      <w:rFonts w:cs="Times New Roman"/>
                    </w:rPr>
                  </w:pPr>
                  <w:r>
                    <w:rPr>
                      <w:rFonts w:cs="Times New Roman"/>
                    </w:rPr>
                    <w:t>53.0</w:t>
                  </w:r>
                </w:p>
              </w:tc>
              <w:tc>
                <w:tcPr>
                  <w:tcW w:w="463" w:type="dxa"/>
                  <w:shd w:val="clear" w:color="auto" w:fill="auto"/>
                  <w:tcMar>
                    <w:top w:w="0" w:type="dxa"/>
                    <w:left w:w="0" w:type="dxa"/>
                    <w:bottom w:w="0" w:type="dxa"/>
                    <w:right w:w="0" w:type="dxa"/>
                  </w:tcMar>
                  <w:vAlign w:val="center"/>
                </w:tcPr>
                <w:p w14:paraId="621322CF">
                  <w:pPr>
                    <w:pStyle w:val="12"/>
                    <w:rPr>
                      <w:rFonts w:cs="Times New Roman"/>
                    </w:rPr>
                  </w:pPr>
                  <w:r>
                    <w:rPr>
                      <w:rFonts w:cs="Times New Roman"/>
                    </w:rPr>
                    <w:t>53.6</w:t>
                  </w:r>
                </w:p>
              </w:tc>
              <w:tc>
                <w:tcPr>
                  <w:tcW w:w="492" w:type="dxa"/>
                  <w:shd w:val="clear" w:color="auto" w:fill="auto"/>
                  <w:tcMar>
                    <w:top w:w="0" w:type="dxa"/>
                    <w:left w:w="0" w:type="dxa"/>
                    <w:bottom w:w="0" w:type="dxa"/>
                    <w:right w:w="0" w:type="dxa"/>
                  </w:tcMar>
                  <w:vAlign w:val="center"/>
                </w:tcPr>
                <w:p w14:paraId="77D752CF">
                  <w:pPr>
                    <w:pStyle w:val="12"/>
                    <w:rPr>
                      <w:rFonts w:cs="Times New Roman"/>
                    </w:rPr>
                  </w:pPr>
                  <w:r>
                    <w:rPr>
                      <w:rFonts w:cs="Times New Roman"/>
                    </w:rPr>
                    <w:t>52.9</w:t>
                  </w:r>
                </w:p>
              </w:tc>
              <w:tc>
                <w:tcPr>
                  <w:tcW w:w="456" w:type="dxa"/>
                  <w:vMerge w:val="continue"/>
                  <w:shd w:val="clear" w:color="auto" w:fill="auto"/>
                  <w:tcMar>
                    <w:top w:w="0" w:type="dxa"/>
                    <w:left w:w="0" w:type="dxa"/>
                    <w:bottom w:w="0" w:type="dxa"/>
                    <w:right w:w="0" w:type="dxa"/>
                  </w:tcMar>
                  <w:vAlign w:val="center"/>
                </w:tcPr>
                <w:p w14:paraId="38589E27">
                  <w:pPr>
                    <w:pStyle w:val="12"/>
                    <w:rPr>
                      <w:rFonts w:cs="Times New Roman"/>
                    </w:rPr>
                  </w:pPr>
                </w:p>
              </w:tc>
              <w:tc>
                <w:tcPr>
                  <w:tcW w:w="449" w:type="dxa"/>
                  <w:shd w:val="clear" w:color="auto" w:fill="auto"/>
                  <w:tcMar>
                    <w:top w:w="0" w:type="dxa"/>
                    <w:left w:w="0" w:type="dxa"/>
                    <w:bottom w:w="0" w:type="dxa"/>
                    <w:right w:w="0" w:type="dxa"/>
                  </w:tcMar>
                  <w:vAlign w:val="center"/>
                </w:tcPr>
                <w:p w14:paraId="7C47391C">
                  <w:pPr>
                    <w:pStyle w:val="12"/>
                    <w:rPr>
                      <w:rFonts w:cs="Times New Roman"/>
                    </w:rPr>
                  </w:pPr>
                  <w:r>
                    <w:rPr>
                      <w:rFonts w:cs="Times New Roman"/>
                    </w:rPr>
                    <w:t>26.0</w:t>
                  </w:r>
                </w:p>
              </w:tc>
              <w:tc>
                <w:tcPr>
                  <w:tcW w:w="449" w:type="dxa"/>
                  <w:shd w:val="clear" w:color="auto" w:fill="auto"/>
                  <w:tcMar>
                    <w:top w:w="0" w:type="dxa"/>
                    <w:left w:w="0" w:type="dxa"/>
                    <w:bottom w:w="0" w:type="dxa"/>
                    <w:right w:w="0" w:type="dxa"/>
                  </w:tcMar>
                  <w:vAlign w:val="center"/>
                </w:tcPr>
                <w:p w14:paraId="2AC1C296">
                  <w:pPr>
                    <w:pStyle w:val="12"/>
                    <w:rPr>
                      <w:rFonts w:cs="Times New Roman"/>
                    </w:rPr>
                  </w:pPr>
                  <w:r>
                    <w:rPr>
                      <w:rFonts w:cs="Times New Roman"/>
                    </w:rPr>
                    <w:t>26.0</w:t>
                  </w:r>
                </w:p>
              </w:tc>
              <w:tc>
                <w:tcPr>
                  <w:tcW w:w="449" w:type="dxa"/>
                  <w:shd w:val="clear" w:color="auto" w:fill="auto"/>
                  <w:tcMar>
                    <w:top w:w="0" w:type="dxa"/>
                    <w:left w:w="0" w:type="dxa"/>
                    <w:bottom w:w="0" w:type="dxa"/>
                    <w:right w:w="0" w:type="dxa"/>
                  </w:tcMar>
                  <w:vAlign w:val="center"/>
                </w:tcPr>
                <w:p w14:paraId="15E5A06A">
                  <w:pPr>
                    <w:pStyle w:val="12"/>
                    <w:rPr>
                      <w:rFonts w:cs="Times New Roman"/>
                    </w:rPr>
                  </w:pPr>
                  <w:r>
                    <w:rPr>
                      <w:rFonts w:cs="Times New Roman"/>
                    </w:rPr>
                    <w:t>26.0</w:t>
                  </w:r>
                </w:p>
              </w:tc>
              <w:tc>
                <w:tcPr>
                  <w:tcW w:w="466" w:type="dxa"/>
                  <w:shd w:val="clear" w:color="auto" w:fill="auto"/>
                  <w:tcMar>
                    <w:top w:w="0" w:type="dxa"/>
                    <w:left w:w="0" w:type="dxa"/>
                    <w:bottom w:w="0" w:type="dxa"/>
                    <w:right w:w="0" w:type="dxa"/>
                  </w:tcMar>
                  <w:vAlign w:val="center"/>
                </w:tcPr>
                <w:p w14:paraId="16B0BA66">
                  <w:pPr>
                    <w:pStyle w:val="12"/>
                    <w:rPr>
                      <w:rFonts w:cs="Times New Roman"/>
                    </w:rPr>
                  </w:pPr>
                  <w:r>
                    <w:rPr>
                      <w:rFonts w:cs="Times New Roman"/>
                    </w:rPr>
                    <w:t>26.0</w:t>
                  </w:r>
                </w:p>
              </w:tc>
              <w:tc>
                <w:tcPr>
                  <w:tcW w:w="475" w:type="dxa"/>
                  <w:shd w:val="clear" w:color="auto" w:fill="auto"/>
                  <w:tcMar>
                    <w:top w:w="0" w:type="dxa"/>
                    <w:left w:w="0" w:type="dxa"/>
                    <w:bottom w:w="0" w:type="dxa"/>
                    <w:right w:w="0" w:type="dxa"/>
                  </w:tcMar>
                  <w:vAlign w:val="center"/>
                </w:tcPr>
                <w:p w14:paraId="45D0056D">
                  <w:pPr>
                    <w:pStyle w:val="12"/>
                    <w:rPr>
                      <w:rFonts w:cs="Times New Roman"/>
                    </w:rPr>
                  </w:pPr>
                  <w:r>
                    <w:rPr>
                      <w:rFonts w:cs="Times New Roman"/>
                    </w:rPr>
                    <w:t>26.9</w:t>
                  </w:r>
                </w:p>
              </w:tc>
              <w:tc>
                <w:tcPr>
                  <w:tcW w:w="475" w:type="dxa"/>
                  <w:shd w:val="clear" w:color="auto" w:fill="auto"/>
                  <w:tcMar>
                    <w:top w:w="0" w:type="dxa"/>
                    <w:left w:w="0" w:type="dxa"/>
                    <w:bottom w:w="0" w:type="dxa"/>
                    <w:right w:w="0" w:type="dxa"/>
                  </w:tcMar>
                  <w:vAlign w:val="center"/>
                </w:tcPr>
                <w:p w14:paraId="45E7C552">
                  <w:pPr>
                    <w:pStyle w:val="12"/>
                    <w:rPr>
                      <w:rFonts w:cs="Times New Roman"/>
                    </w:rPr>
                  </w:pPr>
                  <w:r>
                    <w:rPr>
                      <w:rFonts w:cs="Times New Roman"/>
                    </w:rPr>
                    <w:t>27.0</w:t>
                  </w:r>
                </w:p>
              </w:tc>
              <w:tc>
                <w:tcPr>
                  <w:tcW w:w="476" w:type="dxa"/>
                  <w:shd w:val="clear" w:color="auto" w:fill="auto"/>
                  <w:tcMar>
                    <w:top w:w="0" w:type="dxa"/>
                    <w:left w:w="0" w:type="dxa"/>
                    <w:bottom w:w="0" w:type="dxa"/>
                    <w:right w:w="0" w:type="dxa"/>
                  </w:tcMar>
                  <w:vAlign w:val="center"/>
                </w:tcPr>
                <w:p w14:paraId="511711A6">
                  <w:pPr>
                    <w:pStyle w:val="12"/>
                    <w:rPr>
                      <w:rFonts w:cs="Times New Roman"/>
                    </w:rPr>
                  </w:pPr>
                  <w:r>
                    <w:rPr>
                      <w:rFonts w:cs="Times New Roman"/>
                    </w:rPr>
                    <w:t>27.6</w:t>
                  </w:r>
                </w:p>
              </w:tc>
              <w:tc>
                <w:tcPr>
                  <w:tcW w:w="476" w:type="dxa"/>
                  <w:shd w:val="clear" w:color="auto" w:fill="auto"/>
                  <w:tcMar>
                    <w:top w:w="0" w:type="dxa"/>
                    <w:left w:w="0" w:type="dxa"/>
                    <w:bottom w:w="0" w:type="dxa"/>
                    <w:right w:w="0" w:type="dxa"/>
                  </w:tcMar>
                  <w:vAlign w:val="center"/>
                </w:tcPr>
                <w:p w14:paraId="2557686B">
                  <w:pPr>
                    <w:pStyle w:val="12"/>
                    <w:rPr>
                      <w:rFonts w:cs="Times New Roman"/>
                    </w:rPr>
                  </w:pPr>
                  <w:r>
                    <w:rPr>
                      <w:rFonts w:cs="Times New Roman"/>
                    </w:rPr>
                    <w:t>26.9</w:t>
                  </w:r>
                </w:p>
              </w:tc>
              <w:tc>
                <w:tcPr>
                  <w:tcW w:w="545" w:type="dxa"/>
                  <w:shd w:val="clear" w:color="auto" w:fill="auto"/>
                  <w:tcMar>
                    <w:top w:w="0" w:type="dxa"/>
                    <w:left w:w="0" w:type="dxa"/>
                    <w:bottom w:w="0" w:type="dxa"/>
                    <w:right w:w="0" w:type="dxa"/>
                  </w:tcMar>
                  <w:vAlign w:val="center"/>
                </w:tcPr>
                <w:p w14:paraId="78631DDE">
                  <w:pPr>
                    <w:pStyle w:val="12"/>
                    <w:rPr>
                      <w:rFonts w:cs="Times New Roman"/>
                    </w:rPr>
                  </w:pPr>
                  <w:r>
                    <w:rPr>
                      <w:rFonts w:cs="Times New Roman"/>
                    </w:rPr>
                    <w:t>1</w:t>
                  </w:r>
                </w:p>
              </w:tc>
            </w:tr>
            <w:tr w14:paraId="7EC4F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5" w:type="dxa"/>
                  <w:shd w:val="clear" w:color="auto" w:fill="auto"/>
                  <w:tcMar>
                    <w:top w:w="0" w:type="dxa"/>
                    <w:left w:w="0" w:type="dxa"/>
                    <w:bottom w:w="0" w:type="dxa"/>
                    <w:right w:w="0" w:type="dxa"/>
                  </w:tcMar>
                  <w:vAlign w:val="center"/>
                </w:tcPr>
                <w:p w14:paraId="53C06D84">
                  <w:pPr>
                    <w:pStyle w:val="12"/>
                    <w:rPr>
                      <w:rFonts w:cs="Times New Roman"/>
                    </w:rPr>
                  </w:pPr>
                  <w:r>
                    <w:rPr>
                      <w:rFonts w:cs="Times New Roman"/>
                    </w:rPr>
                    <w:t>7</w:t>
                  </w:r>
                </w:p>
              </w:tc>
              <w:tc>
                <w:tcPr>
                  <w:tcW w:w="1076" w:type="dxa"/>
                  <w:shd w:val="clear" w:color="auto" w:fill="auto"/>
                  <w:tcMar>
                    <w:top w:w="0" w:type="dxa"/>
                    <w:left w:w="0" w:type="dxa"/>
                    <w:bottom w:w="0" w:type="dxa"/>
                    <w:right w:w="0" w:type="dxa"/>
                  </w:tcMar>
                  <w:vAlign w:val="center"/>
                </w:tcPr>
                <w:p w14:paraId="4A7F1658">
                  <w:pPr>
                    <w:pStyle w:val="12"/>
                    <w:rPr>
                      <w:rFonts w:hint="eastAsia" w:eastAsia="宋体" w:cs="Times New Roman"/>
                      <w:lang w:val="en-US" w:eastAsia="zh-CN"/>
                    </w:rPr>
                  </w:pPr>
                  <w:r>
                    <w:rPr>
                      <w:rFonts w:hint="eastAsia" w:cs="Times New Roman"/>
                      <w:lang w:val="en-US" w:eastAsia="zh-CN"/>
                    </w:rPr>
                    <w:t>补氧风机</w:t>
                  </w:r>
                </w:p>
              </w:tc>
              <w:tc>
                <w:tcPr>
                  <w:tcW w:w="592" w:type="dxa"/>
                  <w:shd w:val="clear" w:color="auto" w:fill="auto"/>
                  <w:tcMar>
                    <w:top w:w="0" w:type="dxa"/>
                    <w:left w:w="0" w:type="dxa"/>
                    <w:bottom w:w="0" w:type="dxa"/>
                    <w:right w:w="0" w:type="dxa"/>
                  </w:tcMar>
                  <w:vAlign w:val="center"/>
                </w:tcPr>
                <w:p w14:paraId="739E1C8D">
                  <w:pPr>
                    <w:pStyle w:val="12"/>
                    <w:rPr>
                      <w:rFonts w:hint="default" w:eastAsia="宋体" w:cs="Times New Roman"/>
                      <w:lang w:val="en-US" w:eastAsia="zh-CN"/>
                    </w:rPr>
                  </w:pPr>
                  <w:r>
                    <w:rPr>
                      <w:rFonts w:hint="eastAsia" w:cs="Times New Roman"/>
                      <w:lang w:val="en-US" w:eastAsia="zh-CN"/>
                    </w:rPr>
                    <w:t>90</w:t>
                  </w:r>
                </w:p>
              </w:tc>
              <w:tc>
                <w:tcPr>
                  <w:tcW w:w="516" w:type="dxa"/>
                  <w:vMerge w:val="continue"/>
                  <w:shd w:val="clear" w:color="auto" w:fill="auto"/>
                  <w:tcMar>
                    <w:top w:w="0" w:type="dxa"/>
                    <w:left w:w="0" w:type="dxa"/>
                    <w:bottom w:w="0" w:type="dxa"/>
                    <w:right w:w="0" w:type="dxa"/>
                  </w:tcMar>
                  <w:vAlign w:val="center"/>
                </w:tcPr>
                <w:p w14:paraId="363C6D4C">
                  <w:pPr>
                    <w:pStyle w:val="12"/>
                    <w:rPr>
                      <w:rFonts w:cs="Times New Roman"/>
                    </w:rPr>
                  </w:pPr>
                </w:p>
              </w:tc>
              <w:tc>
                <w:tcPr>
                  <w:tcW w:w="554" w:type="dxa"/>
                  <w:shd w:val="clear" w:color="auto" w:fill="auto"/>
                  <w:tcMar>
                    <w:top w:w="0" w:type="dxa"/>
                    <w:left w:w="0" w:type="dxa"/>
                    <w:bottom w:w="0" w:type="dxa"/>
                    <w:right w:w="0" w:type="dxa"/>
                  </w:tcMar>
                  <w:vAlign w:val="center"/>
                </w:tcPr>
                <w:p w14:paraId="20A96D61">
                  <w:pPr>
                    <w:pStyle w:val="12"/>
                    <w:rPr>
                      <w:rFonts w:cs="Times New Roman"/>
                    </w:rPr>
                  </w:pPr>
                  <w:r>
                    <w:rPr>
                      <w:rFonts w:cs="Times New Roman"/>
                    </w:rPr>
                    <w:t>12.7</w:t>
                  </w:r>
                </w:p>
              </w:tc>
              <w:tc>
                <w:tcPr>
                  <w:tcW w:w="554" w:type="dxa"/>
                  <w:shd w:val="clear" w:color="auto" w:fill="auto"/>
                  <w:tcMar>
                    <w:top w:w="0" w:type="dxa"/>
                    <w:left w:w="0" w:type="dxa"/>
                    <w:bottom w:w="0" w:type="dxa"/>
                    <w:right w:w="0" w:type="dxa"/>
                  </w:tcMar>
                  <w:vAlign w:val="center"/>
                </w:tcPr>
                <w:p w14:paraId="66B92908">
                  <w:pPr>
                    <w:pStyle w:val="12"/>
                    <w:rPr>
                      <w:rFonts w:cs="Times New Roman"/>
                    </w:rPr>
                  </w:pPr>
                  <w:r>
                    <w:rPr>
                      <w:rFonts w:cs="Times New Roman"/>
                    </w:rPr>
                    <w:t>9.1</w:t>
                  </w:r>
                </w:p>
              </w:tc>
              <w:tc>
                <w:tcPr>
                  <w:tcW w:w="583" w:type="dxa"/>
                  <w:shd w:val="clear" w:color="auto" w:fill="auto"/>
                  <w:tcMar>
                    <w:top w:w="0" w:type="dxa"/>
                    <w:left w:w="0" w:type="dxa"/>
                    <w:bottom w:w="0" w:type="dxa"/>
                    <w:right w:w="0" w:type="dxa"/>
                  </w:tcMar>
                  <w:vAlign w:val="center"/>
                </w:tcPr>
                <w:p w14:paraId="0BD010EC">
                  <w:pPr>
                    <w:pStyle w:val="12"/>
                    <w:rPr>
                      <w:rFonts w:hint="default" w:eastAsia="宋体" w:cs="Times New Roman"/>
                      <w:lang w:val="en-US" w:eastAsia="zh-CN"/>
                    </w:rPr>
                  </w:pPr>
                  <w:r>
                    <w:rPr>
                      <w:rFonts w:hint="eastAsia" w:cs="Times New Roman"/>
                      <w:lang w:val="en-US" w:eastAsia="zh-CN"/>
                    </w:rPr>
                    <w:t>0.5</w:t>
                  </w:r>
                </w:p>
              </w:tc>
              <w:tc>
                <w:tcPr>
                  <w:tcW w:w="522" w:type="dxa"/>
                  <w:shd w:val="clear" w:color="auto" w:fill="auto"/>
                  <w:tcMar>
                    <w:top w:w="0" w:type="dxa"/>
                    <w:left w:w="0" w:type="dxa"/>
                    <w:bottom w:w="0" w:type="dxa"/>
                    <w:right w:w="0" w:type="dxa"/>
                  </w:tcMar>
                  <w:vAlign w:val="center"/>
                </w:tcPr>
                <w:p w14:paraId="54C7E9AA">
                  <w:pPr>
                    <w:pStyle w:val="12"/>
                    <w:rPr>
                      <w:rFonts w:cs="Times New Roman"/>
                    </w:rPr>
                  </w:pPr>
                  <w:r>
                    <w:rPr>
                      <w:rFonts w:cs="Times New Roman"/>
                    </w:rPr>
                    <w:t>36.1</w:t>
                  </w:r>
                </w:p>
              </w:tc>
              <w:tc>
                <w:tcPr>
                  <w:tcW w:w="522" w:type="dxa"/>
                  <w:shd w:val="clear" w:color="auto" w:fill="auto"/>
                  <w:tcMar>
                    <w:top w:w="0" w:type="dxa"/>
                    <w:left w:w="0" w:type="dxa"/>
                    <w:bottom w:w="0" w:type="dxa"/>
                    <w:right w:w="0" w:type="dxa"/>
                  </w:tcMar>
                  <w:vAlign w:val="center"/>
                </w:tcPr>
                <w:p w14:paraId="5D1E1329">
                  <w:pPr>
                    <w:pStyle w:val="12"/>
                    <w:rPr>
                      <w:rFonts w:cs="Times New Roman"/>
                    </w:rPr>
                  </w:pPr>
                  <w:r>
                    <w:rPr>
                      <w:rFonts w:cs="Times New Roman"/>
                    </w:rPr>
                    <w:t>49.2</w:t>
                  </w:r>
                </w:p>
              </w:tc>
              <w:tc>
                <w:tcPr>
                  <w:tcW w:w="522" w:type="dxa"/>
                  <w:shd w:val="clear" w:color="auto" w:fill="auto"/>
                  <w:tcMar>
                    <w:top w:w="0" w:type="dxa"/>
                    <w:left w:w="0" w:type="dxa"/>
                    <w:bottom w:w="0" w:type="dxa"/>
                    <w:right w:w="0" w:type="dxa"/>
                  </w:tcMar>
                  <w:vAlign w:val="center"/>
                </w:tcPr>
                <w:p w14:paraId="75899206">
                  <w:pPr>
                    <w:pStyle w:val="12"/>
                    <w:rPr>
                      <w:rFonts w:cs="Times New Roman"/>
                    </w:rPr>
                  </w:pPr>
                  <w:r>
                    <w:rPr>
                      <w:rFonts w:cs="Times New Roman"/>
                    </w:rPr>
                    <w:t>4.8</w:t>
                  </w:r>
                </w:p>
              </w:tc>
              <w:tc>
                <w:tcPr>
                  <w:tcW w:w="638" w:type="dxa"/>
                  <w:shd w:val="clear" w:color="auto" w:fill="auto"/>
                  <w:tcMar>
                    <w:top w:w="0" w:type="dxa"/>
                    <w:left w:w="0" w:type="dxa"/>
                    <w:bottom w:w="0" w:type="dxa"/>
                    <w:right w:w="0" w:type="dxa"/>
                  </w:tcMar>
                  <w:vAlign w:val="center"/>
                </w:tcPr>
                <w:p w14:paraId="681A4CB6">
                  <w:pPr>
                    <w:pStyle w:val="12"/>
                    <w:rPr>
                      <w:rFonts w:cs="Times New Roman"/>
                    </w:rPr>
                  </w:pPr>
                  <w:r>
                    <w:rPr>
                      <w:rFonts w:cs="Times New Roman"/>
                    </w:rPr>
                    <w:t>41.6</w:t>
                  </w:r>
                </w:p>
              </w:tc>
              <w:tc>
                <w:tcPr>
                  <w:tcW w:w="463" w:type="dxa"/>
                  <w:shd w:val="clear" w:color="auto" w:fill="auto"/>
                  <w:tcMar>
                    <w:top w:w="0" w:type="dxa"/>
                    <w:left w:w="0" w:type="dxa"/>
                    <w:bottom w:w="0" w:type="dxa"/>
                    <w:right w:w="0" w:type="dxa"/>
                  </w:tcMar>
                  <w:vAlign w:val="center"/>
                </w:tcPr>
                <w:p w14:paraId="2D831C5E">
                  <w:pPr>
                    <w:pStyle w:val="12"/>
                    <w:rPr>
                      <w:rFonts w:cs="Times New Roman"/>
                    </w:rPr>
                  </w:pPr>
                  <w:r>
                    <w:rPr>
                      <w:rFonts w:cs="Times New Roman"/>
                    </w:rPr>
                    <w:t>72.9</w:t>
                  </w:r>
                </w:p>
              </w:tc>
              <w:tc>
                <w:tcPr>
                  <w:tcW w:w="463" w:type="dxa"/>
                  <w:shd w:val="clear" w:color="auto" w:fill="auto"/>
                  <w:tcMar>
                    <w:top w:w="0" w:type="dxa"/>
                    <w:left w:w="0" w:type="dxa"/>
                    <w:bottom w:w="0" w:type="dxa"/>
                    <w:right w:w="0" w:type="dxa"/>
                  </w:tcMar>
                  <w:vAlign w:val="center"/>
                </w:tcPr>
                <w:p w14:paraId="2FBC166F">
                  <w:pPr>
                    <w:pStyle w:val="12"/>
                    <w:rPr>
                      <w:rFonts w:cs="Times New Roman"/>
                    </w:rPr>
                  </w:pPr>
                  <w:r>
                    <w:rPr>
                      <w:rFonts w:cs="Times New Roman"/>
                    </w:rPr>
                    <w:t>72.9</w:t>
                  </w:r>
                </w:p>
              </w:tc>
              <w:tc>
                <w:tcPr>
                  <w:tcW w:w="463" w:type="dxa"/>
                  <w:shd w:val="clear" w:color="auto" w:fill="auto"/>
                  <w:tcMar>
                    <w:top w:w="0" w:type="dxa"/>
                    <w:left w:w="0" w:type="dxa"/>
                    <w:bottom w:w="0" w:type="dxa"/>
                    <w:right w:w="0" w:type="dxa"/>
                  </w:tcMar>
                  <w:vAlign w:val="center"/>
                </w:tcPr>
                <w:p w14:paraId="1679824D">
                  <w:pPr>
                    <w:pStyle w:val="12"/>
                    <w:rPr>
                      <w:rFonts w:cs="Times New Roman"/>
                    </w:rPr>
                  </w:pPr>
                  <w:r>
                    <w:rPr>
                      <w:rFonts w:cs="Times New Roman"/>
                    </w:rPr>
                    <w:t>73.6</w:t>
                  </w:r>
                </w:p>
              </w:tc>
              <w:tc>
                <w:tcPr>
                  <w:tcW w:w="492" w:type="dxa"/>
                  <w:shd w:val="clear" w:color="auto" w:fill="auto"/>
                  <w:tcMar>
                    <w:top w:w="0" w:type="dxa"/>
                    <w:left w:w="0" w:type="dxa"/>
                    <w:bottom w:w="0" w:type="dxa"/>
                    <w:right w:w="0" w:type="dxa"/>
                  </w:tcMar>
                  <w:vAlign w:val="center"/>
                </w:tcPr>
                <w:p w14:paraId="024066CC">
                  <w:pPr>
                    <w:pStyle w:val="12"/>
                    <w:rPr>
                      <w:rFonts w:cs="Times New Roman"/>
                    </w:rPr>
                  </w:pPr>
                  <w:r>
                    <w:rPr>
                      <w:rFonts w:cs="Times New Roman"/>
                    </w:rPr>
                    <w:t>72.9</w:t>
                  </w:r>
                </w:p>
              </w:tc>
              <w:tc>
                <w:tcPr>
                  <w:tcW w:w="456" w:type="dxa"/>
                  <w:vMerge w:val="continue"/>
                  <w:shd w:val="clear" w:color="auto" w:fill="auto"/>
                  <w:tcMar>
                    <w:top w:w="0" w:type="dxa"/>
                    <w:left w:w="0" w:type="dxa"/>
                    <w:bottom w:w="0" w:type="dxa"/>
                    <w:right w:w="0" w:type="dxa"/>
                  </w:tcMar>
                  <w:vAlign w:val="center"/>
                </w:tcPr>
                <w:p w14:paraId="4916B782">
                  <w:pPr>
                    <w:pStyle w:val="12"/>
                    <w:rPr>
                      <w:rFonts w:cs="Times New Roman"/>
                    </w:rPr>
                  </w:pPr>
                </w:p>
              </w:tc>
              <w:tc>
                <w:tcPr>
                  <w:tcW w:w="449" w:type="dxa"/>
                  <w:shd w:val="clear" w:color="auto" w:fill="auto"/>
                  <w:tcMar>
                    <w:top w:w="0" w:type="dxa"/>
                    <w:left w:w="0" w:type="dxa"/>
                    <w:bottom w:w="0" w:type="dxa"/>
                    <w:right w:w="0" w:type="dxa"/>
                  </w:tcMar>
                  <w:vAlign w:val="center"/>
                </w:tcPr>
                <w:p w14:paraId="01D8CEE3">
                  <w:pPr>
                    <w:pStyle w:val="12"/>
                    <w:rPr>
                      <w:rFonts w:cs="Times New Roman"/>
                    </w:rPr>
                  </w:pPr>
                  <w:r>
                    <w:rPr>
                      <w:rFonts w:cs="Times New Roman"/>
                    </w:rPr>
                    <w:t>26.0</w:t>
                  </w:r>
                </w:p>
              </w:tc>
              <w:tc>
                <w:tcPr>
                  <w:tcW w:w="449" w:type="dxa"/>
                  <w:shd w:val="clear" w:color="auto" w:fill="auto"/>
                  <w:tcMar>
                    <w:top w:w="0" w:type="dxa"/>
                    <w:left w:w="0" w:type="dxa"/>
                    <w:bottom w:w="0" w:type="dxa"/>
                    <w:right w:w="0" w:type="dxa"/>
                  </w:tcMar>
                  <w:vAlign w:val="center"/>
                </w:tcPr>
                <w:p w14:paraId="2CAAB405">
                  <w:pPr>
                    <w:pStyle w:val="12"/>
                    <w:rPr>
                      <w:rFonts w:cs="Times New Roman"/>
                    </w:rPr>
                  </w:pPr>
                  <w:r>
                    <w:rPr>
                      <w:rFonts w:cs="Times New Roman"/>
                    </w:rPr>
                    <w:t>26.0</w:t>
                  </w:r>
                </w:p>
              </w:tc>
              <w:tc>
                <w:tcPr>
                  <w:tcW w:w="449" w:type="dxa"/>
                  <w:shd w:val="clear" w:color="auto" w:fill="auto"/>
                  <w:tcMar>
                    <w:top w:w="0" w:type="dxa"/>
                    <w:left w:w="0" w:type="dxa"/>
                    <w:bottom w:w="0" w:type="dxa"/>
                    <w:right w:w="0" w:type="dxa"/>
                  </w:tcMar>
                  <w:vAlign w:val="center"/>
                </w:tcPr>
                <w:p w14:paraId="43810010">
                  <w:pPr>
                    <w:pStyle w:val="12"/>
                    <w:rPr>
                      <w:rFonts w:cs="Times New Roman"/>
                    </w:rPr>
                  </w:pPr>
                  <w:r>
                    <w:rPr>
                      <w:rFonts w:cs="Times New Roman"/>
                    </w:rPr>
                    <w:t>26.0</w:t>
                  </w:r>
                </w:p>
              </w:tc>
              <w:tc>
                <w:tcPr>
                  <w:tcW w:w="466" w:type="dxa"/>
                  <w:shd w:val="clear" w:color="auto" w:fill="auto"/>
                  <w:tcMar>
                    <w:top w:w="0" w:type="dxa"/>
                    <w:left w:w="0" w:type="dxa"/>
                    <w:bottom w:w="0" w:type="dxa"/>
                    <w:right w:w="0" w:type="dxa"/>
                  </w:tcMar>
                  <w:vAlign w:val="center"/>
                </w:tcPr>
                <w:p w14:paraId="0634D0BA">
                  <w:pPr>
                    <w:pStyle w:val="12"/>
                    <w:rPr>
                      <w:rFonts w:cs="Times New Roman"/>
                    </w:rPr>
                  </w:pPr>
                  <w:r>
                    <w:rPr>
                      <w:rFonts w:cs="Times New Roman"/>
                    </w:rPr>
                    <w:t>26.0</w:t>
                  </w:r>
                </w:p>
              </w:tc>
              <w:tc>
                <w:tcPr>
                  <w:tcW w:w="475" w:type="dxa"/>
                  <w:shd w:val="clear" w:color="auto" w:fill="auto"/>
                  <w:tcMar>
                    <w:top w:w="0" w:type="dxa"/>
                    <w:left w:w="0" w:type="dxa"/>
                    <w:bottom w:w="0" w:type="dxa"/>
                    <w:right w:w="0" w:type="dxa"/>
                  </w:tcMar>
                  <w:vAlign w:val="center"/>
                </w:tcPr>
                <w:p w14:paraId="0C7BDE19">
                  <w:pPr>
                    <w:pStyle w:val="12"/>
                    <w:rPr>
                      <w:rFonts w:cs="Times New Roman"/>
                    </w:rPr>
                  </w:pPr>
                  <w:r>
                    <w:rPr>
                      <w:rFonts w:cs="Times New Roman"/>
                    </w:rPr>
                    <w:t>46.9</w:t>
                  </w:r>
                </w:p>
              </w:tc>
              <w:tc>
                <w:tcPr>
                  <w:tcW w:w="475" w:type="dxa"/>
                  <w:shd w:val="clear" w:color="auto" w:fill="auto"/>
                  <w:tcMar>
                    <w:top w:w="0" w:type="dxa"/>
                    <w:left w:w="0" w:type="dxa"/>
                    <w:bottom w:w="0" w:type="dxa"/>
                    <w:right w:w="0" w:type="dxa"/>
                  </w:tcMar>
                  <w:vAlign w:val="center"/>
                </w:tcPr>
                <w:p w14:paraId="7AB948BD">
                  <w:pPr>
                    <w:pStyle w:val="12"/>
                    <w:rPr>
                      <w:rFonts w:cs="Times New Roman"/>
                    </w:rPr>
                  </w:pPr>
                  <w:r>
                    <w:rPr>
                      <w:rFonts w:cs="Times New Roman"/>
                    </w:rPr>
                    <w:t>46.9</w:t>
                  </w:r>
                </w:p>
              </w:tc>
              <w:tc>
                <w:tcPr>
                  <w:tcW w:w="476" w:type="dxa"/>
                  <w:shd w:val="clear" w:color="auto" w:fill="auto"/>
                  <w:tcMar>
                    <w:top w:w="0" w:type="dxa"/>
                    <w:left w:w="0" w:type="dxa"/>
                    <w:bottom w:w="0" w:type="dxa"/>
                    <w:right w:w="0" w:type="dxa"/>
                  </w:tcMar>
                  <w:vAlign w:val="center"/>
                </w:tcPr>
                <w:p w14:paraId="3540E94D">
                  <w:pPr>
                    <w:pStyle w:val="12"/>
                    <w:rPr>
                      <w:rFonts w:cs="Times New Roman"/>
                    </w:rPr>
                  </w:pPr>
                  <w:r>
                    <w:rPr>
                      <w:rFonts w:cs="Times New Roman"/>
                    </w:rPr>
                    <w:t>47.6</w:t>
                  </w:r>
                </w:p>
              </w:tc>
              <w:tc>
                <w:tcPr>
                  <w:tcW w:w="476" w:type="dxa"/>
                  <w:shd w:val="clear" w:color="auto" w:fill="auto"/>
                  <w:tcMar>
                    <w:top w:w="0" w:type="dxa"/>
                    <w:left w:w="0" w:type="dxa"/>
                    <w:bottom w:w="0" w:type="dxa"/>
                    <w:right w:w="0" w:type="dxa"/>
                  </w:tcMar>
                  <w:vAlign w:val="center"/>
                </w:tcPr>
                <w:p w14:paraId="15F0377E">
                  <w:pPr>
                    <w:pStyle w:val="12"/>
                    <w:rPr>
                      <w:rFonts w:cs="Times New Roman"/>
                    </w:rPr>
                  </w:pPr>
                  <w:r>
                    <w:rPr>
                      <w:rFonts w:cs="Times New Roman"/>
                    </w:rPr>
                    <w:t>46.9</w:t>
                  </w:r>
                </w:p>
              </w:tc>
              <w:tc>
                <w:tcPr>
                  <w:tcW w:w="545" w:type="dxa"/>
                  <w:shd w:val="clear" w:color="auto" w:fill="auto"/>
                  <w:tcMar>
                    <w:top w:w="0" w:type="dxa"/>
                    <w:left w:w="0" w:type="dxa"/>
                    <w:bottom w:w="0" w:type="dxa"/>
                    <w:right w:w="0" w:type="dxa"/>
                  </w:tcMar>
                  <w:vAlign w:val="center"/>
                </w:tcPr>
                <w:p w14:paraId="3BCB5221">
                  <w:pPr>
                    <w:pStyle w:val="12"/>
                    <w:rPr>
                      <w:rFonts w:cs="Times New Roman"/>
                    </w:rPr>
                  </w:pPr>
                  <w:r>
                    <w:rPr>
                      <w:rFonts w:cs="Times New Roman"/>
                    </w:rPr>
                    <w:t>1</w:t>
                  </w:r>
                </w:p>
              </w:tc>
            </w:tr>
            <w:tr w14:paraId="0FE51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5" w:type="dxa"/>
                  <w:shd w:val="clear" w:color="auto" w:fill="auto"/>
                  <w:tcMar>
                    <w:top w:w="0" w:type="dxa"/>
                    <w:left w:w="0" w:type="dxa"/>
                    <w:bottom w:w="0" w:type="dxa"/>
                    <w:right w:w="0" w:type="dxa"/>
                  </w:tcMar>
                  <w:vAlign w:val="center"/>
                </w:tcPr>
                <w:p w14:paraId="354C691E">
                  <w:pPr>
                    <w:pStyle w:val="12"/>
                    <w:rPr>
                      <w:rFonts w:cs="Times New Roman"/>
                    </w:rPr>
                  </w:pPr>
                  <w:r>
                    <w:rPr>
                      <w:rFonts w:cs="Times New Roman"/>
                    </w:rPr>
                    <w:t>8</w:t>
                  </w:r>
                </w:p>
              </w:tc>
              <w:tc>
                <w:tcPr>
                  <w:tcW w:w="1076" w:type="dxa"/>
                  <w:shd w:val="clear" w:color="auto" w:fill="auto"/>
                  <w:tcMar>
                    <w:top w:w="0" w:type="dxa"/>
                    <w:left w:w="0" w:type="dxa"/>
                    <w:bottom w:w="0" w:type="dxa"/>
                    <w:right w:w="0" w:type="dxa"/>
                  </w:tcMar>
                  <w:vAlign w:val="center"/>
                </w:tcPr>
                <w:p w14:paraId="61515B7B">
                  <w:pPr>
                    <w:pStyle w:val="12"/>
                    <w:rPr>
                      <w:rFonts w:hint="default" w:eastAsia="宋体" w:cs="Times New Roman"/>
                      <w:lang w:val="en-US" w:eastAsia="zh-CN"/>
                    </w:rPr>
                  </w:pPr>
                  <w:r>
                    <w:rPr>
                      <w:rFonts w:hint="eastAsia" w:cs="Times New Roman"/>
                      <w:lang w:val="en-US" w:eastAsia="zh-CN"/>
                    </w:rPr>
                    <w:t>风机1#</w:t>
                  </w:r>
                </w:p>
              </w:tc>
              <w:tc>
                <w:tcPr>
                  <w:tcW w:w="592" w:type="dxa"/>
                  <w:shd w:val="clear" w:color="auto" w:fill="auto"/>
                  <w:tcMar>
                    <w:top w:w="0" w:type="dxa"/>
                    <w:left w:w="0" w:type="dxa"/>
                    <w:bottom w:w="0" w:type="dxa"/>
                    <w:right w:w="0" w:type="dxa"/>
                  </w:tcMar>
                  <w:vAlign w:val="center"/>
                </w:tcPr>
                <w:p w14:paraId="11CBB99A">
                  <w:pPr>
                    <w:pStyle w:val="12"/>
                    <w:rPr>
                      <w:rFonts w:hint="default" w:eastAsia="宋体" w:cs="Times New Roman"/>
                      <w:lang w:val="en-US" w:eastAsia="zh-CN"/>
                    </w:rPr>
                  </w:pPr>
                  <w:r>
                    <w:rPr>
                      <w:rFonts w:hint="eastAsia" w:cs="Times New Roman"/>
                      <w:lang w:val="en-US" w:eastAsia="zh-CN"/>
                    </w:rPr>
                    <w:t>90</w:t>
                  </w:r>
                </w:p>
              </w:tc>
              <w:tc>
                <w:tcPr>
                  <w:tcW w:w="516" w:type="dxa"/>
                  <w:vMerge w:val="continue"/>
                  <w:shd w:val="clear" w:color="auto" w:fill="auto"/>
                  <w:tcMar>
                    <w:top w:w="0" w:type="dxa"/>
                    <w:left w:w="0" w:type="dxa"/>
                    <w:bottom w:w="0" w:type="dxa"/>
                    <w:right w:w="0" w:type="dxa"/>
                  </w:tcMar>
                  <w:vAlign w:val="center"/>
                </w:tcPr>
                <w:p w14:paraId="4F041466">
                  <w:pPr>
                    <w:pStyle w:val="12"/>
                    <w:rPr>
                      <w:rFonts w:cs="Times New Roman"/>
                    </w:rPr>
                  </w:pPr>
                </w:p>
              </w:tc>
              <w:tc>
                <w:tcPr>
                  <w:tcW w:w="554" w:type="dxa"/>
                  <w:shd w:val="clear" w:color="auto" w:fill="auto"/>
                  <w:tcMar>
                    <w:top w:w="0" w:type="dxa"/>
                    <w:left w:w="0" w:type="dxa"/>
                    <w:bottom w:w="0" w:type="dxa"/>
                    <w:right w:w="0" w:type="dxa"/>
                  </w:tcMar>
                  <w:vAlign w:val="center"/>
                </w:tcPr>
                <w:p w14:paraId="16990F1B">
                  <w:pPr>
                    <w:pStyle w:val="12"/>
                    <w:rPr>
                      <w:rFonts w:cs="Times New Roman"/>
                    </w:rPr>
                  </w:pPr>
                  <w:r>
                    <w:rPr>
                      <w:rFonts w:cs="Times New Roman"/>
                    </w:rPr>
                    <w:t>37.6</w:t>
                  </w:r>
                </w:p>
              </w:tc>
              <w:tc>
                <w:tcPr>
                  <w:tcW w:w="554" w:type="dxa"/>
                  <w:shd w:val="clear" w:color="auto" w:fill="auto"/>
                  <w:tcMar>
                    <w:top w:w="0" w:type="dxa"/>
                    <w:left w:w="0" w:type="dxa"/>
                    <w:bottom w:w="0" w:type="dxa"/>
                    <w:right w:w="0" w:type="dxa"/>
                  </w:tcMar>
                  <w:vAlign w:val="center"/>
                </w:tcPr>
                <w:p w14:paraId="10B88FEB">
                  <w:pPr>
                    <w:pStyle w:val="12"/>
                    <w:rPr>
                      <w:rFonts w:cs="Times New Roman"/>
                    </w:rPr>
                  </w:pPr>
                  <w:r>
                    <w:rPr>
                      <w:rFonts w:cs="Times New Roman"/>
                    </w:rPr>
                    <w:t>-27.1</w:t>
                  </w:r>
                </w:p>
              </w:tc>
              <w:tc>
                <w:tcPr>
                  <w:tcW w:w="583" w:type="dxa"/>
                  <w:shd w:val="clear" w:color="auto" w:fill="auto"/>
                  <w:tcMar>
                    <w:top w:w="0" w:type="dxa"/>
                    <w:left w:w="0" w:type="dxa"/>
                    <w:bottom w:w="0" w:type="dxa"/>
                    <w:right w:w="0" w:type="dxa"/>
                  </w:tcMar>
                  <w:vAlign w:val="center"/>
                </w:tcPr>
                <w:p w14:paraId="2360AA2E">
                  <w:pPr>
                    <w:pStyle w:val="12"/>
                    <w:rPr>
                      <w:rFonts w:hint="default" w:eastAsia="宋体" w:cs="Times New Roman"/>
                      <w:lang w:val="en-US" w:eastAsia="zh-CN"/>
                    </w:rPr>
                  </w:pPr>
                  <w:r>
                    <w:rPr>
                      <w:rFonts w:hint="eastAsia" w:cs="Times New Roman"/>
                      <w:lang w:val="en-US" w:eastAsia="zh-CN"/>
                    </w:rPr>
                    <w:t>0.3</w:t>
                  </w:r>
                </w:p>
              </w:tc>
              <w:tc>
                <w:tcPr>
                  <w:tcW w:w="522" w:type="dxa"/>
                  <w:shd w:val="clear" w:color="auto" w:fill="auto"/>
                  <w:tcMar>
                    <w:top w:w="0" w:type="dxa"/>
                    <w:left w:w="0" w:type="dxa"/>
                    <w:bottom w:w="0" w:type="dxa"/>
                    <w:right w:w="0" w:type="dxa"/>
                  </w:tcMar>
                  <w:vAlign w:val="center"/>
                </w:tcPr>
                <w:p w14:paraId="3D56ACB8">
                  <w:pPr>
                    <w:pStyle w:val="12"/>
                    <w:rPr>
                      <w:rFonts w:cs="Times New Roman"/>
                    </w:rPr>
                  </w:pPr>
                  <w:r>
                    <w:rPr>
                      <w:rFonts w:cs="Times New Roman"/>
                    </w:rPr>
                    <w:t>31.9</w:t>
                  </w:r>
                </w:p>
              </w:tc>
              <w:tc>
                <w:tcPr>
                  <w:tcW w:w="522" w:type="dxa"/>
                  <w:shd w:val="clear" w:color="auto" w:fill="auto"/>
                  <w:tcMar>
                    <w:top w:w="0" w:type="dxa"/>
                    <w:left w:w="0" w:type="dxa"/>
                    <w:bottom w:w="0" w:type="dxa"/>
                    <w:right w:w="0" w:type="dxa"/>
                  </w:tcMar>
                  <w:vAlign w:val="center"/>
                </w:tcPr>
                <w:p w14:paraId="43BE6775">
                  <w:pPr>
                    <w:pStyle w:val="12"/>
                    <w:rPr>
                      <w:rFonts w:cs="Times New Roman"/>
                    </w:rPr>
                  </w:pPr>
                  <w:r>
                    <w:rPr>
                      <w:rFonts w:cs="Times New Roman"/>
                    </w:rPr>
                    <w:t>5.8</w:t>
                  </w:r>
                </w:p>
              </w:tc>
              <w:tc>
                <w:tcPr>
                  <w:tcW w:w="522" w:type="dxa"/>
                  <w:shd w:val="clear" w:color="auto" w:fill="auto"/>
                  <w:tcMar>
                    <w:top w:w="0" w:type="dxa"/>
                    <w:left w:w="0" w:type="dxa"/>
                    <w:bottom w:w="0" w:type="dxa"/>
                    <w:right w:w="0" w:type="dxa"/>
                  </w:tcMar>
                  <w:vAlign w:val="center"/>
                </w:tcPr>
                <w:p w14:paraId="13A4CE88">
                  <w:pPr>
                    <w:pStyle w:val="12"/>
                    <w:rPr>
                      <w:rFonts w:cs="Times New Roman"/>
                    </w:rPr>
                  </w:pPr>
                  <w:r>
                    <w:rPr>
                      <w:rFonts w:cs="Times New Roman"/>
                    </w:rPr>
                    <w:t>10.3</w:t>
                  </w:r>
                </w:p>
              </w:tc>
              <w:tc>
                <w:tcPr>
                  <w:tcW w:w="638" w:type="dxa"/>
                  <w:shd w:val="clear" w:color="auto" w:fill="auto"/>
                  <w:tcMar>
                    <w:top w:w="0" w:type="dxa"/>
                    <w:left w:w="0" w:type="dxa"/>
                    <w:bottom w:w="0" w:type="dxa"/>
                    <w:right w:w="0" w:type="dxa"/>
                  </w:tcMar>
                  <w:vAlign w:val="center"/>
                </w:tcPr>
                <w:p w14:paraId="73B9C076">
                  <w:pPr>
                    <w:pStyle w:val="12"/>
                    <w:rPr>
                      <w:rFonts w:cs="Times New Roman"/>
                    </w:rPr>
                  </w:pPr>
                  <w:r>
                    <w:rPr>
                      <w:rFonts w:cs="Times New Roman"/>
                    </w:rPr>
                    <w:t>85.4</w:t>
                  </w:r>
                </w:p>
              </w:tc>
              <w:tc>
                <w:tcPr>
                  <w:tcW w:w="463" w:type="dxa"/>
                  <w:shd w:val="clear" w:color="auto" w:fill="auto"/>
                  <w:tcMar>
                    <w:top w:w="0" w:type="dxa"/>
                    <w:left w:w="0" w:type="dxa"/>
                    <w:bottom w:w="0" w:type="dxa"/>
                    <w:right w:w="0" w:type="dxa"/>
                  </w:tcMar>
                  <w:vAlign w:val="center"/>
                </w:tcPr>
                <w:p w14:paraId="01E7F084">
                  <w:pPr>
                    <w:pStyle w:val="12"/>
                    <w:rPr>
                      <w:rFonts w:cs="Times New Roman"/>
                    </w:rPr>
                  </w:pPr>
                  <w:r>
                    <w:rPr>
                      <w:rFonts w:cs="Times New Roman"/>
                    </w:rPr>
                    <w:t>72.9</w:t>
                  </w:r>
                </w:p>
              </w:tc>
              <w:tc>
                <w:tcPr>
                  <w:tcW w:w="463" w:type="dxa"/>
                  <w:shd w:val="clear" w:color="auto" w:fill="auto"/>
                  <w:tcMar>
                    <w:top w:w="0" w:type="dxa"/>
                    <w:left w:w="0" w:type="dxa"/>
                    <w:bottom w:w="0" w:type="dxa"/>
                    <w:right w:w="0" w:type="dxa"/>
                  </w:tcMar>
                  <w:vAlign w:val="center"/>
                </w:tcPr>
                <w:p w14:paraId="7401F4AD">
                  <w:pPr>
                    <w:pStyle w:val="12"/>
                    <w:rPr>
                      <w:rFonts w:cs="Times New Roman"/>
                    </w:rPr>
                  </w:pPr>
                  <w:r>
                    <w:rPr>
                      <w:rFonts w:cs="Times New Roman"/>
                    </w:rPr>
                    <w:t>73.4</w:t>
                  </w:r>
                </w:p>
              </w:tc>
              <w:tc>
                <w:tcPr>
                  <w:tcW w:w="463" w:type="dxa"/>
                  <w:shd w:val="clear" w:color="auto" w:fill="auto"/>
                  <w:tcMar>
                    <w:top w:w="0" w:type="dxa"/>
                    <w:left w:w="0" w:type="dxa"/>
                    <w:bottom w:w="0" w:type="dxa"/>
                    <w:right w:w="0" w:type="dxa"/>
                  </w:tcMar>
                  <w:vAlign w:val="center"/>
                </w:tcPr>
                <w:p w14:paraId="2FD6B0DA">
                  <w:pPr>
                    <w:pStyle w:val="12"/>
                    <w:rPr>
                      <w:rFonts w:cs="Times New Roman"/>
                    </w:rPr>
                  </w:pPr>
                  <w:r>
                    <w:rPr>
                      <w:rFonts w:cs="Times New Roman"/>
                    </w:rPr>
                    <w:t>73.1</w:t>
                  </w:r>
                </w:p>
              </w:tc>
              <w:tc>
                <w:tcPr>
                  <w:tcW w:w="492" w:type="dxa"/>
                  <w:shd w:val="clear" w:color="auto" w:fill="auto"/>
                  <w:tcMar>
                    <w:top w:w="0" w:type="dxa"/>
                    <w:left w:w="0" w:type="dxa"/>
                    <w:bottom w:w="0" w:type="dxa"/>
                    <w:right w:w="0" w:type="dxa"/>
                  </w:tcMar>
                  <w:vAlign w:val="center"/>
                </w:tcPr>
                <w:p w14:paraId="7317184F">
                  <w:pPr>
                    <w:pStyle w:val="12"/>
                    <w:rPr>
                      <w:rFonts w:cs="Times New Roman"/>
                    </w:rPr>
                  </w:pPr>
                  <w:r>
                    <w:rPr>
                      <w:rFonts w:cs="Times New Roman"/>
                    </w:rPr>
                    <w:t>72.9</w:t>
                  </w:r>
                </w:p>
              </w:tc>
              <w:tc>
                <w:tcPr>
                  <w:tcW w:w="456" w:type="dxa"/>
                  <w:vMerge w:val="continue"/>
                  <w:shd w:val="clear" w:color="auto" w:fill="auto"/>
                  <w:tcMar>
                    <w:top w:w="0" w:type="dxa"/>
                    <w:left w:w="0" w:type="dxa"/>
                    <w:bottom w:w="0" w:type="dxa"/>
                    <w:right w:w="0" w:type="dxa"/>
                  </w:tcMar>
                  <w:vAlign w:val="center"/>
                </w:tcPr>
                <w:p w14:paraId="5B942A08">
                  <w:pPr>
                    <w:pStyle w:val="12"/>
                    <w:rPr>
                      <w:rFonts w:cs="Times New Roman"/>
                    </w:rPr>
                  </w:pPr>
                </w:p>
              </w:tc>
              <w:tc>
                <w:tcPr>
                  <w:tcW w:w="449" w:type="dxa"/>
                  <w:shd w:val="clear" w:color="auto" w:fill="auto"/>
                  <w:tcMar>
                    <w:top w:w="0" w:type="dxa"/>
                    <w:left w:w="0" w:type="dxa"/>
                    <w:bottom w:w="0" w:type="dxa"/>
                    <w:right w:w="0" w:type="dxa"/>
                  </w:tcMar>
                  <w:vAlign w:val="center"/>
                </w:tcPr>
                <w:p w14:paraId="0F2745B0">
                  <w:pPr>
                    <w:pStyle w:val="12"/>
                    <w:rPr>
                      <w:rFonts w:cs="Times New Roman"/>
                    </w:rPr>
                  </w:pPr>
                  <w:r>
                    <w:rPr>
                      <w:rFonts w:cs="Times New Roman"/>
                    </w:rPr>
                    <w:t>26.0</w:t>
                  </w:r>
                </w:p>
              </w:tc>
              <w:tc>
                <w:tcPr>
                  <w:tcW w:w="449" w:type="dxa"/>
                  <w:shd w:val="clear" w:color="auto" w:fill="auto"/>
                  <w:tcMar>
                    <w:top w:w="0" w:type="dxa"/>
                    <w:left w:w="0" w:type="dxa"/>
                    <w:bottom w:w="0" w:type="dxa"/>
                    <w:right w:w="0" w:type="dxa"/>
                  </w:tcMar>
                  <w:vAlign w:val="center"/>
                </w:tcPr>
                <w:p w14:paraId="16B435CE">
                  <w:pPr>
                    <w:pStyle w:val="12"/>
                    <w:rPr>
                      <w:rFonts w:cs="Times New Roman"/>
                    </w:rPr>
                  </w:pPr>
                  <w:r>
                    <w:rPr>
                      <w:rFonts w:cs="Times New Roman"/>
                    </w:rPr>
                    <w:t>26.0</w:t>
                  </w:r>
                </w:p>
              </w:tc>
              <w:tc>
                <w:tcPr>
                  <w:tcW w:w="449" w:type="dxa"/>
                  <w:shd w:val="clear" w:color="auto" w:fill="auto"/>
                  <w:tcMar>
                    <w:top w:w="0" w:type="dxa"/>
                    <w:left w:w="0" w:type="dxa"/>
                    <w:bottom w:w="0" w:type="dxa"/>
                    <w:right w:w="0" w:type="dxa"/>
                  </w:tcMar>
                  <w:vAlign w:val="center"/>
                </w:tcPr>
                <w:p w14:paraId="25062D33">
                  <w:pPr>
                    <w:pStyle w:val="12"/>
                    <w:rPr>
                      <w:rFonts w:cs="Times New Roman"/>
                    </w:rPr>
                  </w:pPr>
                  <w:r>
                    <w:rPr>
                      <w:rFonts w:cs="Times New Roman"/>
                    </w:rPr>
                    <w:t>26.0</w:t>
                  </w:r>
                </w:p>
              </w:tc>
              <w:tc>
                <w:tcPr>
                  <w:tcW w:w="466" w:type="dxa"/>
                  <w:shd w:val="clear" w:color="auto" w:fill="auto"/>
                  <w:tcMar>
                    <w:top w:w="0" w:type="dxa"/>
                    <w:left w:w="0" w:type="dxa"/>
                    <w:bottom w:w="0" w:type="dxa"/>
                    <w:right w:w="0" w:type="dxa"/>
                  </w:tcMar>
                  <w:vAlign w:val="center"/>
                </w:tcPr>
                <w:p w14:paraId="4852FB31">
                  <w:pPr>
                    <w:pStyle w:val="12"/>
                    <w:rPr>
                      <w:rFonts w:cs="Times New Roman"/>
                    </w:rPr>
                  </w:pPr>
                  <w:r>
                    <w:rPr>
                      <w:rFonts w:cs="Times New Roman"/>
                    </w:rPr>
                    <w:t>26.0</w:t>
                  </w:r>
                </w:p>
              </w:tc>
              <w:tc>
                <w:tcPr>
                  <w:tcW w:w="475" w:type="dxa"/>
                  <w:shd w:val="clear" w:color="auto" w:fill="auto"/>
                  <w:tcMar>
                    <w:top w:w="0" w:type="dxa"/>
                    <w:left w:w="0" w:type="dxa"/>
                    <w:bottom w:w="0" w:type="dxa"/>
                    <w:right w:w="0" w:type="dxa"/>
                  </w:tcMar>
                  <w:vAlign w:val="center"/>
                </w:tcPr>
                <w:p w14:paraId="4373AA36">
                  <w:pPr>
                    <w:pStyle w:val="12"/>
                    <w:rPr>
                      <w:rFonts w:cs="Times New Roman"/>
                    </w:rPr>
                  </w:pPr>
                  <w:r>
                    <w:rPr>
                      <w:rFonts w:cs="Times New Roman"/>
                    </w:rPr>
                    <w:t>46.9</w:t>
                  </w:r>
                </w:p>
              </w:tc>
              <w:tc>
                <w:tcPr>
                  <w:tcW w:w="475" w:type="dxa"/>
                  <w:shd w:val="clear" w:color="auto" w:fill="auto"/>
                  <w:tcMar>
                    <w:top w:w="0" w:type="dxa"/>
                    <w:left w:w="0" w:type="dxa"/>
                    <w:bottom w:w="0" w:type="dxa"/>
                    <w:right w:w="0" w:type="dxa"/>
                  </w:tcMar>
                  <w:vAlign w:val="center"/>
                </w:tcPr>
                <w:p w14:paraId="046CE60C">
                  <w:pPr>
                    <w:pStyle w:val="12"/>
                    <w:rPr>
                      <w:rFonts w:cs="Times New Roman"/>
                    </w:rPr>
                  </w:pPr>
                  <w:r>
                    <w:rPr>
                      <w:rFonts w:cs="Times New Roman"/>
                    </w:rPr>
                    <w:t>47.4</w:t>
                  </w:r>
                </w:p>
              </w:tc>
              <w:tc>
                <w:tcPr>
                  <w:tcW w:w="476" w:type="dxa"/>
                  <w:shd w:val="clear" w:color="auto" w:fill="auto"/>
                  <w:tcMar>
                    <w:top w:w="0" w:type="dxa"/>
                    <w:left w:w="0" w:type="dxa"/>
                    <w:bottom w:w="0" w:type="dxa"/>
                    <w:right w:w="0" w:type="dxa"/>
                  </w:tcMar>
                  <w:vAlign w:val="center"/>
                </w:tcPr>
                <w:p w14:paraId="66B90AF6">
                  <w:pPr>
                    <w:pStyle w:val="12"/>
                    <w:rPr>
                      <w:rFonts w:cs="Times New Roman"/>
                    </w:rPr>
                  </w:pPr>
                  <w:r>
                    <w:rPr>
                      <w:rFonts w:cs="Times New Roman"/>
                    </w:rPr>
                    <w:t>47.1</w:t>
                  </w:r>
                </w:p>
              </w:tc>
              <w:tc>
                <w:tcPr>
                  <w:tcW w:w="476" w:type="dxa"/>
                  <w:shd w:val="clear" w:color="auto" w:fill="auto"/>
                  <w:tcMar>
                    <w:top w:w="0" w:type="dxa"/>
                    <w:left w:w="0" w:type="dxa"/>
                    <w:bottom w:w="0" w:type="dxa"/>
                    <w:right w:w="0" w:type="dxa"/>
                  </w:tcMar>
                  <w:vAlign w:val="center"/>
                </w:tcPr>
                <w:p w14:paraId="5272C48E">
                  <w:pPr>
                    <w:pStyle w:val="12"/>
                    <w:rPr>
                      <w:rFonts w:cs="Times New Roman"/>
                    </w:rPr>
                  </w:pPr>
                  <w:r>
                    <w:rPr>
                      <w:rFonts w:cs="Times New Roman"/>
                    </w:rPr>
                    <w:t>46.9</w:t>
                  </w:r>
                </w:p>
              </w:tc>
              <w:tc>
                <w:tcPr>
                  <w:tcW w:w="545" w:type="dxa"/>
                  <w:shd w:val="clear" w:color="auto" w:fill="auto"/>
                  <w:tcMar>
                    <w:top w:w="0" w:type="dxa"/>
                    <w:left w:w="0" w:type="dxa"/>
                    <w:bottom w:w="0" w:type="dxa"/>
                    <w:right w:w="0" w:type="dxa"/>
                  </w:tcMar>
                  <w:vAlign w:val="center"/>
                </w:tcPr>
                <w:p w14:paraId="3FEA7F3A">
                  <w:pPr>
                    <w:pStyle w:val="12"/>
                    <w:rPr>
                      <w:rFonts w:cs="Times New Roman"/>
                    </w:rPr>
                  </w:pPr>
                  <w:r>
                    <w:rPr>
                      <w:rFonts w:cs="Times New Roman"/>
                    </w:rPr>
                    <w:t>1</w:t>
                  </w:r>
                </w:p>
              </w:tc>
            </w:tr>
            <w:tr w14:paraId="28A60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5" w:type="dxa"/>
                  <w:shd w:val="clear" w:color="auto" w:fill="auto"/>
                  <w:tcMar>
                    <w:top w:w="0" w:type="dxa"/>
                    <w:left w:w="0" w:type="dxa"/>
                    <w:bottom w:w="0" w:type="dxa"/>
                    <w:right w:w="0" w:type="dxa"/>
                  </w:tcMar>
                  <w:vAlign w:val="center"/>
                </w:tcPr>
                <w:p w14:paraId="684C365E">
                  <w:pPr>
                    <w:pStyle w:val="12"/>
                    <w:rPr>
                      <w:rFonts w:hint="default" w:cs="Times New Roman"/>
                      <w:lang w:val="en-US" w:eastAsia="zh-CN"/>
                    </w:rPr>
                  </w:pPr>
                  <w:r>
                    <w:rPr>
                      <w:rFonts w:hint="eastAsia" w:cs="Times New Roman"/>
                      <w:lang w:val="en-US" w:eastAsia="zh-CN"/>
                    </w:rPr>
                    <w:t>9</w:t>
                  </w:r>
                </w:p>
              </w:tc>
              <w:tc>
                <w:tcPr>
                  <w:tcW w:w="1076" w:type="dxa"/>
                  <w:shd w:val="clear" w:color="auto" w:fill="auto"/>
                  <w:tcMar>
                    <w:top w:w="0" w:type="dxa"/>
                    <w:left w:w="0" w:type="dxa"/>
                    <w:bottom w:w="0" w:type="dxa"/>
                    <w:right w:w="0" w:type="dxa"/>
                  </w:tcMar>
                  <w:vAlign w:val="center"/>
                </w:tcPr>
                <w:p w14:paraId="025F5F05">
                  <w:pPr>
                    <w:pStyle w:val="12"/>
                    <w:rPr>
                      <w:rFonts w:hint="default" w:cs="Times New Roman"/>
                      <w:lang w:val="en-US" w:eastAsia="zh-CN"/>
                    </w:rPr>
                  </w:pPr>
                  <w:r>
                    <w:rPr>
                      <w:rFonts w:hint="eastAsia" w:cs="Times New Roman"/>
                      <w:lang w:val="en-US" w:eastAsia="zh-CN"/>
                    </w:rPr>
                    <w:t>循环泵</w:t>
                  </w:r>
                </w:p>
              </w:tc>
              <w:tc>
                <w:tcPr>
                  <w:tcW w:w="592" w:type="dxa"/>
                  <w:shd w:val="clear" w:color="auto" w:fill="auto"/>
                  <w:tcMar>
                    <w:top w:w="0" w:type="dxa"/>
                    <w:left w:w="0" w:type="dxa"/>
                    <w:bottom w:w="0" w:type="dxa"/>
                    <w:right w:w="0" w:type="dxa"/>
                  </w:tcMar>
                  <w:vAlign w:val="center"/>
                </w:tcPr>
                <w:p w14:paraId="1E176185">
                  <w:pPr>
                    <w:pStyle w:val="12"/>
                    <w:rPr>
                      <w:rFonts w:hint="default" w:eastAsia="宋体" w:cs="Times New Roman"/>
                      <w:lang w:val="en-US" w:eastAsia="zh-CN"/>
                    </w:rPr>
                  </w:pPr>
                  <w:r>
                    <w:rPr>
                      <w:rFonts w:hint="eastAsia" w:cs="Times New Roman"/>
                      <w:lang w:val="en-US" w:eastAsia="zh-CN"/>
                    </w:rPr>
                    <w:t>80</w:t>
                  </w:r>
                </w:p>
              </w:tc>
              <w:tc>
                <w:tcPr>
                  <w:tcW w:w="516" w:type="dxa"/>
                  <w:vMerge w:val="continue"/>
                  <w:shd w:val="clear" w:color="auto" w:fill="auto"/>
                  <w:tcMar>
                    <w:top w:w="0" w:type="dxa"/>
                    <w:left w:w="0" w:type="dxa"/>
                    <w:bottom w:w="0" w:type="dxa"/>
                    <w:right w:w="0" w:type="dxa"/>
                  </w:tcMar>
                  <w:vAlign w:val="center"/>
                </w:tcPr>
                <w:p w14:paraId="2F0819B5">
                  <w:pPr>
                    <w:pStyle w:val="12"/>
                    <w:rPr>
                      <w:rFonts w:cs="Times New Roman"/>
                    </w:rPr>
                  </w:pPr>
                </w:p>
              </w:tc>
              <w:tc>
                <w:tcPr>
                  <w:tcW w:w="554" w:type="dxa"/>
                  <w:shd w:val="clear" w:color="auto" w:fill="auto"/>
                  <w:tcMar>
                    <w:top w:w="0" w:type="dxa"/>
                    <w:left w:w="0" w:type="dxa"/>
                    <w:bottom w:w="0" w:type="dxa"/>
                    <w:right w:w="0" w:type="dxa"/>
                  </w:tcMar>
                  <w:vAlign w:val="center"/>
                </w:tcPr>
                <w:p w14:paraId="535419E4">
                  <w:pPr>
                    <w:pStyle w:val="12"/>
                    <w:rPr>
                      <w:rFonts w:cs="Times New Roman"/>
                    </w:rPr>
                  </w:pPr>
                  <w:r>
                    <w:rPr>
                      <w:rFonts w:cs="Times New Roman"/>
                    </w:rPr>
                    <w:t>34.6</w:t>
                  </w:r>
                </w:p>
              </w:tc>
              <w:tc>
                <w:tcPr>
                  <w:tcW w:w="554" w:type="dxa"/>
                  <w:shd w:val="clear" w:color="auto" w:fill="auto"/>
                  <w:tcMar>
                    <w:top w:w="0" w:type="dxa"/>
                    <w:left w:w="0" w:type="dxa"/>
                    <w:bottom w:w="0" w:type="dxa"/>
                    <w:right w:w="0" w:type="dxa"/>
                  </w:tcMar>
                  <w:vAlign w:val="center"/>
                </w:tcPr>
                <w:p w14:paraId="4EDD45DB">
                  <w:pPr>
                    <w:pStyle w:val="12"/>
                    <w:rPr>
                      <w:rFonts w:cs="Times New Roman"/>
                    </w:rPr>
                  </w:pPr>
                  <w:r>
                    <w:rPr>
                      <w:rFonts w:cs="Times New Roman"/>
                    </w:rPr>
                    <w:t>-22</w:t>
                  </w:r>
                </w:p>
              </w:tc>
              <w:tc>
                <w:tcPr>
                  <w:tcW w:w="583" w:type="dxa"/>
                  <w:shd w:val="clear" w:color="auto" w:fill="auto"/>
                  <w:tcMar>
                    <w:top w:w="0" w:type="dxa"/>
                    <w:left w:w="0" w:type="dxa"/>
                    <w:bottom w:w="0" w:type="dxa"/>
                    <w:right w:w="0" w:type="dxa"/>
                  </w:tcMar>
                  <w:vAlign w:val="center"/>
                </w:tcPr>
                <w:p w14:paraId="625F4822">
                  <w:pPr>
                    <w:pStyle w:val="12"/>
                    <w:rPr>
                      <w:rFonts w:hint="default" w:eastAsia="宋体" w:cs="Times New Roman"/>
                      <w:lang w:val="en-US" w:eastAsia="zh-CN"/>
                    </w:rPr>
                  </w:pPr>
                  <w:r>
                    <w:rPr>
                      <w:rFonts w:hint="eastAsia" w:cs="Times New Roman"/>
                      <w:lang w:val="en-US" w:eastAsia="zh-CN"/>
                    </w:rPr>
                    <w:t>0.3</w:t>
                  </w:r>
                </w:p>
              </w:tc>
              <w:tc>
                <w:tcPr>
                  <w:tcW w:w="522" w:type="dxa"/>
                  <w:shd w:val="clear" w:color="auto" w:fill="auto"/>
                  <w:tcMar>
                    <w:top w:w="0" w:type="dxa"/>
                    <w:left w:w="0" w:type="dxa"/>
                    <w:bottom w:w="0" w:type="dxa"/>
                    <w:right w:w="0" w:type="dxa"/>
                  </w:tcMar>
                  <w:vAlign w:val="center"/>
                </w:tcPr>
                <w:p w14:paraId="2813DFC0">
                  <w:pPr>
                    <w:pStyle w:val="12"/>
                    <w:rPr>
                      <w:rFonts w:cs="Times New Roman"/>
                    </w:rPr>
                  </w:pPr>
                  <w:r>
                    <w:rPr>
                      <w:rFonts w:cs="Times New Roman"/>
                    </w:rPr>
                    <w:t>32.0</w:t>
                  </w:r>
                </w:p>
              </w:tc>
              <w:tc>
                <w:tcPr>
                  <w:tcW w:w="522" w:type="dxa"/>
                  <w:shd w:val="clear" w:color="auto" w:fill="auto"/>
                  <w:tcMar>
                    <w:top w:w="0" w:type="dxa"/>
                    <w:left w:w="0" w:type="dxa"/>
                    <w:bottom w:w="0" w:type="dxa"/>
                    <w:right w:w="0" w:type="dxa"/>
                  </w:tcMar>
                  <w:vAlign w:val="center"/>
                </w:tcPr>
                <w:p w14:paraId="0C4188B4">
                  <w:pPr>
                    <w:pStyle w:val="12"/>
                    <w:rPr>
                      <w:rFonts w:cs="Times New Roman"/>
                    </w:rPr>
                  </w:pPr>
                  <w:r>
                    <w:rPr>
                      <w:rFonts w:cs="Times New Roman"/>
                    </w:rPr>
                    <w:t>11.7</w:t>
                  </w:r>
                </w:p>
              </w:tc>
              <w:tc>
                <w:tcPr>
                  <w:tcW w:w="522" w:type="dxa"/>
                  <w:shd w:val="clear" w:color="auto" w:fill="auto"/>
                  <w:tcMar>
                    <w:top w:w="0" w:type="dxa"/>
                    <w:left w:w="0" w:type="dxa"/>
                    <w:bottom w:w="0" w:type="dxa"/>
                    <w:right w:w="0" w:type="dxa"/>
                  </w:tcMar>
                  <w:vAlign w:val="center"/>
                </w:tcPr>
                <w:p w14:paraId="3EF47BD1">
                  <w:pPr>
                    <w:pStyle w:val="12"/>
                    <w:rPr>
                      <w:rFonts w:cs="Times New Roman"/>
                    </w:rPr>
                  </w:pPr>
                  <w:r>
                    <w:rPr>
                      <w:rFonts w:cs="Times New Roman"/>
                    </w:rPr>
                    <w:t>10.0</w:t>
                  </w:r>
                </w:p>
              </w:tc>
              <w:tc>
                <w:tcPr>
                  <w:tcW w:w="638" w:type="dxa"/>
                  <w:shd w:val="clear" w:color="auto" w:fill="auto"/>
                  <w:tcMar>
                    <w:top w:w="0" w:type="dxa"/>
                    <w:left w:w="0" w:type="dxa"/>
                    <w:bottom w:w="0" w:type="dxa"/>
                    <w:right w:w="0" w:type="dxa"/>
                  </w:tcMar>
                  <w:vAlign w:val="center"/>
                </w:tcPr>
                <w:p w14:paraId="51E27A8E">
                  <w:pPr>
                    <w:pStyle w:val="12"/>
                    <w:rPr>
                      <w:rFonts w:cs="Times New Roman"/>
                    </w:rPr>
                  </w:pPr>
                  <w:r>
                    <w:rPr>
                      <w:rFonts w:cs="Times New Roman"/>
                    </w:rPr>
                    <w:t>79.5</w:t>
                  </w:r>
                </w:p>
              </w:tc>
              <w:tc>
                <w:tcPr>
                  <w:tcW w:w="463" w:type="dxa"/>
                  <w:shd w:val="clear" w:color="auto" w:fill="auto"/>
                  <w:tcMar>
                    <w:top w:w="0" w:type="dxa"/>
                    <w:left w:w="0" w:type="dxa"/>
                    <w:bottom w:w="0" w:type="dxa"/>
                    <w:right w:w="0" w:type="dxa"/>
                  </w:tcMar>
                  <w:vAlign w:val="center"/>
                </w:tcPr>
                <w:p w14:paraId="6944B36A">
                  <w:pPr>
                    <w:pStyle w:val="12"/>
                    <w:rPr>
                      <w:rFonts w:cs="Times New Roman"/>
                    </w:rPr>
                  </w:pPr>
                  <w:r>
                    <w:rPr>
                      <w:rFonts w:cs="Times New Roman"/>
                    </w:rPr>
                    <w:t>62.9</w:t>
                  </w:r>
                </w:p>
              </w:tc>
              <w:tc>
                <w:tcPr>
                  <w:tcW w:w="463" w:type="dxa"/>
                  <w:shd w:val="clear" w:color="auto" w:fill="auto"/>
                  <w:tcMar>
                    <w:top w:w="0" w:type="dxa"/>
                    <w:left w:w="0" w:type="dxa"/>
                    <w:bottom w:w="0" w:type="dxa"/>
                    <w:right w:w="0" w:type="dxa"/>
                  </w:tcMar>
                  <w:vAlign w:val="center"/>
                </w:tcPr>
                <w:p w14:paraId="29E17583">
                  <w:pPr>
                    <w:pStyle w:val="12"/>
                    <w:rPr>
                      <w:rFonts w:cs="Times New Roman"/>
                    </w:rPr>
                  </w:pPr>
                  <w:r>
                    <w:rPr>
                      <w:rFonts w:cs="Times New Roman"/>
                    </w:rPr>
                    <w:t>63.0</w:t>
                  </w:r>
                </w:p>
              </w:tc>
              <w:tc>
                <w:tcPr>
                  <w:tcW w:w="463" w:type="dxa"/>
                  <w:shd w:val="clear" w:color="auto" w:fill="auto"/>
                  <w:tcMar>
                    <w:top w:w="0" w:type="dxa"/>
                    <w:left w:w="0" w:type="dxa"/>
                    <w:bottom w:w="0" w:type="dxa"/>
                    <w:right w:w="0" w:type="dxa"/>
                  </w:tcMar>
                  <w:vAlign w:val="center"/>
                </w:tcPr>
                <w:p w14:paraId="0269D30F">
                  <w:pPr>
                    <w:pStyle w:val="12"/>
                    <w:rPr>
                      <w:rFonts w:cs="Times New Roman"/>
                    </w:rPr>
                  </w:pPr>
                  <w:r>
                    <w:rPr>
                      <w:rFonts w:cs="Times New Roman"/>
                    </w:rPr>
                    <w:t>63.1</w:t>
                  </w:r>
                </w:p>
              </w:tc>
              <w:tc>
                <w:tcPr>
                  <w:tcW w:w="492" w:type="dxa"/>
                  <w:shd w:val="clear" w:color="auto" w:fill="auto"/>
                  <w:tcMar>
                    <w:top w:w="0" w:type="dxa"/>
                    <w:left w:w="0" w:type="dxa"/>
                    <w:bottom w:w="0" w:type="dxa"/>
                    <w:right w:w="0" w:type="dxa"/>
                  </w:tcMar>
                  <w:vAlign w:val="center"/>
                </w:tcPr>
                <w:p w14:paraId="7B7AA94A">
                  <w:pPr>
                    <w:pStyle w:val="12"/>
                    <w:rPr>
                      <w:rFonts w:cs="Times New Roman"/>
                    </w:rPr>
                  </w:pPr>
                  <w:r>
                    <w:rPr>
                      <w:rFonts w:cs="Times New Roman"/>
                    </w:rPr>
                    <w:t>62.9</w:t>
                  </w:r>
                </w:p>
              </w:tc>
              <w:tc>
                <w:tcPr>
                  <w:tcW w:w="456" w:type="dxa"/>
                  <w:vMerge w:val="continue"/>
                  <w:shd w:val="clear" w:color="auto" w:fill="auto"/>
                  <w:tcMar>
                    <w:top w:w="0" w:type="dxa"/>
                    <w:left w:w="0" w:type="dxa"/>
                    <w:bottom w:w="0" w:type="dxa"/>
                    <w:right w:w="0" w:type="dxa"/>
                  </w:tcMar>
                  <w:vAlign w:val="center"/>
                </w:tcPr>
                <w:p w14:paraId="4A3446A6">
                  <w:pPr>
                    <w:pStyle w:val="12"/>
                    <w:rPr>
                      <w:rFonts w:cs="Times New Roman"/>
                    </w:rPr>
                  </w:pPr>
                </w:p>
              </w:tc>
              <w:tc>
                <w:tcPr>
                  <w:tcW w:w="449" w:type="dxa"/>
                  <w:shd w:val="clear" w:color="auto" w:fill="auto"/>
                  <w:tcMar>
                    <w:top w:w="0" w:type="dxa"/>
                    <w:left w:w="0" w:type="dxa"/>
                    <w:bottom w:w="0" w:type="dxa"/>
                    <w:right w:w="0" w:type="dxa"/>
                  </w:tcMar>
                  <w:vAlign w:val="center"/>
                </w:tcPr>
                <w:p w14:paraId="7C842040">
                  <w:pPr>
                    <w:pStyle w:val="12"/>
                    <w:rPr>
                      <w:rFonts w:cs="Times New Roman"/>
                    </w:rPr>
                  </w:pPr>
                  <w:r>
                    <w:rPr>
                      <w:rFonts w:cs="Times New Roman"/>
                    </w:rPr>
                    <w:t>26.0</w:t>
                  </w:r>
                </w:p>
              </w:tc>
              <w:tc>
                <w:tcPr>
                  <w:tcW w:w="449" w:type="dxa"/>
                  <w:shd w:val="clear" w:color="auto" w:fill="auto"/>
                  <w:tcMar>
                    <w:top w:w="0" w:type="dxa"/>
                    <w:left w:w="0" w:type="dxa"/>
                    <w:bottom w:w="0" w:type="dxa"/>
                    <w:right w:w="0" w:type="dxa"/>
                  </w:tcMar>
                  <w:vAlign w:val="center"/>
                </w:tcPr>
                <w:p w14:paraId="7379ABEC">
                  <w:pPr>
                    <w:pStyle w:val="12"/>
                    <w:rPr>
                      <w:rFonts w:cs="Times New Roman"/>
                    </w:rPr>
                  </w:pPr>
                  <w:r>
                    <w:rPr>
                      <w:rFonts w:cs="Times New Roman"/>
                    </w:rPr>
                    <w:t>26.0</w:t>
                  </w:r>
                </w:p>
              </w:tc>
              <w:tc>
                <w:tcPr>
                  <w:tcW w:w="449" w:type="dxa"/>
                  <w:shd w:val="clear" w:color="auto" w:fill="auto"/>
                  <w:tcMar>
                    <w:top w:w="0" w:type="dxa"/>
                    <w:left w:w="0" w:type="dxa"/>
                    <w:bottom w:w="0" w:type="dxa"/>
                    <w:right w:w="0" w:type="dxa"/>
                  </w:tcMar>
                  <w:vAlign w:val="center"/>
                </w:tcPr>
                <w:p w14:paraId="1C7718AA">
                  <w:pPr>
                    <w:pStyle w:val="12"/>
                    <w:rPr>
                      <w:rFonts w:cs="Times New Roman"/>
                    </w:rPr>
                  </w:pPr>
                  <w:r>
                    <w:rPr>
                      <w:rFonts w:cs="Times New Roman"/>
                    </w:rPr>
                    <w:t>26.0</w:t>
                  </w:r>
                </w:p>
              </w:tc>
              <w:tc>
                <w:tcPr>
                  <w:tcW w:w="466" w:type="dxa"/>
                  <w:shd w:val="clear" w:color="auto" w:fill="auto"/>
                  <w:tcMar>
                    <w:top w:w="0" w:type="dxa"/>
                    <w:left w:w="0" w:type="dxa"/>
                    <w:bottom w:w="0" w:type="dxa"/>
                    <w:right w:w="0" w:type="dxa"/>
                  </w:tcMar>
                  <w:vAlign w:val="center"/>
                </w:tcPr>
                <w:p w14:paraId="1379E1D2">
                  <w:pPr>
                    <w:pStyle w:val="12"/>
                    <w:rPr>
                      <w:rFonts w:cs="Times New Roman"/>
                    </w:rPr>
                  </w:pPr>
                  <w:r>
                    <w:rPr>
                      <w:rFonts w:cs="Times New Roman"/>
                    </w:rPr>
                    <w:t>26.0</w:t>
                  </w:r>
                </w:p>
              </w:tc>
              <w:tc>
                <w:tcPr>
                  <w:tcW w:w="475" w:type="dxa"/>
                  <w:shd w:val="clear" w:color="auto" w:fill="auto"/>
                  <w:tcMar>
                    <w:top w:w="0" w:type="dxa"/>
                    <w:left w:w="0" w:type="dxa"/>
                    <w:bottom w:w="0" w:type="dxa"/>
                    <w:right w:w="0" w:type="dxa"/>
                  </w:tcMar>
                  <w:vAlign w:val="center"/>
                </w:tcPr>
                <w:p w14:paraId="6C8DA16E">
                  <w:pPr>
                    <w:pStyle w:val="12"/>
                    <w:rPr>
                      <w:rFonts w:cs="Times New Roman"/>
                    </w:rPr>
                  </w:pPr>
                  <w:r>
                    <w:rPr>
                      <w:rFonts w:cs="Times New Roman"/>
                    </w:rPr>
                    <w:t>36.9</w:t>
                  </w:r>
                </w:p>
              </w:tc>
              <w:tc>
                <w:tcPr>
                  <w:tcW w:w="475" w:type="dxa"/>
                  <w:shd w:val="clear" w:color="auto" w:fill="auto"/>
                  <w:tcMar>
                    <w:top w:w="0" w:type="dxa"/>
                    <w:left w:w="0" w:type="dxa"/>
                    <w:bottom w:w="0" w:type="dxa"/>
                    <w:right w:w="0" w:type="dxa"/>
                  </w:tcMar>
                  <w:vAlign w:val="center"/>
                </w:tcPr>
                <w:p w14:paraId="3138431A">
                  <w:pPr>
                    <w:pStyle w:val="12"/>
                    <w:rPr>
                      <w:rFonts w:cs="Times New Roman"/>
                    </w:rPr>
                  </w:pPr>
                  <w:r>
                    <w:rPr>
                      <w:rFonts w:cs="Times New Roman"/>
                    </w:rPr>
                    <w:t>37.0</w:t>
                  </w:r>
                </w:p>
              </w:tc>
              <w:tc>
                <w:tcPr>
                  <w:tcW w:w="476" w:type="dxa"/>
                  <w:shd w:val="clear" w:color="auto" w:fill="auto"/>
                  <w:tcMar>
                    <w:top w:w="0" w:type="dxa"/>
                    <w:left w:w="0" w:type="dxa"/>
                    <w:bottom w:w="0" w:type="dxa"/>
                    <w:right w:w="0" w:type="dxa"/>
                  </w:tcMar>
                  <w:vAlign w:val="center"/>
                </w:tcPr>
                <w:p w14:paraId="774451D9">
                  <w:pPr>
                    <w:pStyle w:val="12"/>
                    <w:rPr>
                      <w:rFonts w:cs="Times New Roman"/>
                    </w:rPr>
                  </w:pPr>
                  <w:r>
                    <w:rPr>
                      <w:rFonts w:cs="Times New Roman"/>
                    </w:rPr>
                    <w:t>37.1</w:t>
                  </w:r>
                </w:p>
              </w:tc>
              <w:tc>
                <w:tcPr>
                  <w:tcW w:w="476" w:type="dxa"/>
                  <w:shd w:val="clear" w:color="auto" w:fill="auto"/>
                  <w:tcMar>
                    <w:top w:w="0" w:type="dxa"/>
                    <w:left w:w="0" w:type="dxa"/>
                    <w:bottom w:w="0" w:type="dxa"/>
                    <w:right w:w="0" w:type="dxa"/>
                  </w:tcMar>
                  <w:vAlign w:val="center"/>
                </w:tcPr>
                <w:p w14:paraId="65B6944D">
                  <w:pPr>
                    <w:pStyle w:val="12"/>
                    <w:rPr>
                      <w:rFonts w:cs="Times New Roman"/>
                    </w:rPr>
                  </w:pPr>
                  <w:r>
                    <w:rPr>
                      <w:rFonts w:cs="Times New Roman"/>
                    </w:rPr>
                    <w:t>36.9</w:t>
                  </w:r>
                </w:p>
              </w:tc>
              <w:tc>
                <w:tcPr>
                  <w:tcW w:w="545" w:type="dxa"/>
                  <w:shd w:val="clear" w:color="auto" w:fill="auto"/>
                  <w:tcMar>
                    <w:top w:w="0" w:type="dxa"/>
                    <w:left w:w="0" w:type="dxa"/>
                    <w:bottom w:w="0" w:type="dxa"/>
                    <w:right w:w="0" w:type="dxa"/>
                  </w:tcMar>
                  <w:vAlign w:val="center"/>
                </w:tcPr>
                <w:p w14:paraId="2CEE68FD">
                  <w:pPr>
                    <w:pStyle w:val="12"/>
                    <w:rPr>
                      <w:rFonts w:hint="eastAsia" w:eastAsia="宋体" w:cs="Times New Roman"/>
                      <w:lang w:val="en-US" w:eastAsia="zh-CN"/>
                    </w:rPr>
                  </w:pPr>
                  <w:r>
                    <w:rPr>
                      <w:rFonts w:hint="eastAsia" w:cs="Times New Roman"/>
                      <w:lang w:val="en-US" w:eastAsia="zh-CN"/>
                    </w:rPr>
                    <w:t>1</w:t>
                  </w:r>
                </w:p>
              </w:tc>
            </w:tr>
            <w:tr w14:paraId="34900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5" w:type="dxa"/>
                  <w:shd w:val="clear" w:color="auto" w:fill="auto"/>
                  <w:tcMar>
                    <w:top w:w="0" w:type="dxa"/>
                    <w:left w:w="0" w:type="dxa"/>
                    <w:bottom w:w="0" w:type="dxa"/>
                    <w:right w:w="0" w:type="dxa"/>
                  </w:tcMar>
                  <w:vAlign w:val="center"/>
                </w:tcPr>
                <w:p w14:paraId="295A8FDE">
                  <w:pPr>
                    <w:pStyle w:val="12"/>
                    <w:rPr>
                      <w:rFonts w:hint="default" w:eastAsia="宋体" w:cs="Times New Roman"/>
                      <w:lang w:val="en-US" w:eastAsia="zh-CN"/>
                    </w:rPr>
                  </w:pPr>
                  <w:r>
                    <w:rPr>
                      <w:rFonts w:hint="eastAsia" w:cs="Times New Roman"/>
                      <w:lang w:val="en-US" w:eastAsia="zh-CN"/>
                    </w:rPr>
                    <w:t>10</w:t>
                  </w:r>
                </w:p>
              </w:tc>
              <w:tc>
                <w:tcPr>
                  <w:tcW w:w="1076" w:type="dxa"/>
                  <w:shd w:val="clear" w:color="auto" w:fill="auto"/>
                  <w:tcMar>
                    <w:top w:w="0" w:type="dxa"/>
                    <w:left w:w="0" w:type="dxa"/>
                    <w:bottom w:w="0" w:type="dxa"/>
                    <w:right w:w="0" w:type="dxa"/>
                  </w:tcMar>
                  <w:vAlign w:val="center"/>
                </w:tcPr>
                <w:p w14:paraId="547BE9BC">
                  <w:pPr>
                    <w:pStyle w:val="12"/>
                    <w:rPr>
                      <w:rFonts w:hint="default" w:cs="Times New Roman"/>
                      <w:lang w:val="en-US" w:eastAsia="zh-CN"/>
                    </w:rPr>
                  </w:pPr>
                  <w:r>
                    <w:rPr>
                      <w:rFonts w:hint="eastAsia" w:cs="Times New Roman"/>
                      <w:lang w:val="en-US" w:eastAsia="zh-CN"/>
                    </w:rPr>
                    <w:t>空压机</w:t>
                  </w:r>
                </w:p>
              </w:tc>
              <w:tc>
                <w:tcPr>
                  <w:tcW w:w="592" w:type="dxa"/>
                  <w:shd w:val="clear" w:color="auto" w:fill="auto"/>
                  <w:tcMar>
                    <w:top w:w="0" w:type="dxa"/>
                    <w:left w:w="0" w:type="dxa"/>
                    <w:bottom w:w="0" w:type="dxa"/>
                    <w:right w:w="0" w:type="dxa"/>
                  </w:tcMar>
                  <w:vAlign w:val="center"/>
                </w:tcPr>
                <w:p w14:paraId="77801269">
                  <w:pPr>
                    <w:pStyle w:val="12"/>
                    <w:rPr>
                      <w:rFonts w:hint="default" w:eastAsia="宋体" w:cs="Times New Roman"/>
                      <w:lang w:val="en-US" w:eastAsia="zh-CN"/>
                    </w:rPr>
                  </w:pPr>
                  <w:r>
                    <w:rPr>
                      <w:rFonts w:hint="eastAsia" w:cs="Times New Roman"/>
                      <w:lang w:val="en-US" w:eastAsia="zh-CN"/>
                    </w:rPr>
                    <w:t>90</w:t>
                  </w:r>
                </w:p>
              </w:tc>
              <w:tc>
                <w:tcPr>
                  <w:tcW w:w="516" w:type="dxa"/>
                  <w:vMerge w:val="continue"/>
                  <w:shd w:val="clear" w:color="auto" w:fill="auto"/>
                  <w:tcMar>
                    <w:top w:w="0" w:type="dxa"/>
                    <w:left w:w="0" w:type="dxa"/>
                    <w:bottom w:w="0" w:type="dxa"/>
                    <w:right w:w="0" w:type="dxa"/>
                  </w:tcMar>
                  <w:vAlign w:val="center"/>
                </w:tcPr>
                <w:p w14:paraId="206A6673">
                  <w:pPr>
                    <w:pStyle w:val="12"/>
                    <w:rPr>
                      <w:rFonts w:cs="Times New Roman"/>
                    </w:rPr>
                  </w:pPr>
                </w:p>
              </w:tc>
              <w:tc>
                <w:tcPr>
                  <w:tcW w:w="554" w:type="dxa"/>
                  <w:shd w:val="clear" w:color="auto" w:fill="auto"/>
                  <w:tcMar>
                    <w:top w:w="0" w:type="dxa"/>
                    <w:left w:w="0" w:type="dxa"/>
                    <w:bottom w:w="0" w:type="dxa"/>
                    <w:right w:w="0" w:type="dxa"/>
                  </w:tcMar>
                  <w:vAlign w:val="center"/>
                </w:tcPr>
                <w:p w14:paraId="1FA55BA2">
                  <w:pPr>
                    <w:pStyle w:val="12"/>
                    <w:rPr>
                      <w:rFonts w:cs="Times New Roman"/>
                    </w:rPr>
                  </w:pPr>
                  <w:r>
                    <w:rPr>
                      <w:rFonts w:cs="Times New Roman"/>
                    </w:rPr>
                    <w:t>-19.9</w:t>
                  </w:r>
                </w:p>
              </w:tc>
              <w:tc>
                <w:tcPr>
                  <w:tcW w:w="554" w:type="dxa"/>
                  <w:shd w:val="clear" w:color="auto" w:fill="auto"/>
                  <w:tcMar>
                    <w:top w:w="0" w:type="dxa"/>
                    <w:left w:w="0" w:type="dxa"/>
                    <w:bottom w:w="0" w:type="dxa"/>
                    <w:right w:w="0" w:type="dxa"/>
                  </w:tcMar>
                  <w:vAlign w:val="center"/>
                </w:tcPr>
                <w:p w14:paraId="6E7E0F1B">
                  <w:pPr>
                    <w:pStyle w:val="12"/>
                    <w:rPr>
                      <w:rFonts w:cs="Times New Roman"/>
                    </w:rPr>
                  </w:pPr>
                  <w:r>
                    <w:rPr>
                      <w:rFonts w:cs="Times New Roman"/>
                    </w:rPr>
                    <w:t>-36.2</w:t>
                  </w:r>
                </w:p>
              </w:tc>
              <w:tc>
                <w:tcPr>
                  <w:tcW w:w="583" w:type="dxa"/>
                  <w:shd w:val="clear" w:color="auto" w:fill="auto"/>
                  <w:tcMar>
                    <w:top w:w="0" w:type="dxa"/>
                    <w:left w:w="0" w:type="dxa"/>
                    <w:bottom w:w="0" w:type="dxa"/>
                    <w:right w:w="0" w:type="dxa"/>
                  </w:tcMar>
                  <w:vAlign w:val="center"/>
                </w:tcPr>
                <w:p w14:paraId="65EE1E99">
                  <w:pPr>
                    <w:pStyle w:val="12"/>
                    <w:rPr>
                      <w:rFonts w:hint="eastAsia" w:eastAsia="宋体" w:cs="Times New Roman"/>
                      <w:lang w:val="en-US" w:eastAsia="zh-CN"/>
                    </w:rPr>
                  </w:pPr>
                  <w:r>
                    <w:rPr>
                      <w:rFonts w:hint="eastAsia" w:cs="Times New Roman"/>
                      <w:lang w:val="en-US" w:eastAsia="zh-CN"/>
                    </w:rPr>
                    <w:t>1</w:t>
                  </w:r>
                </w:p>
              </w:tc>
              <w:tc>
                <w:tcPr>
                  <w:tcW w:w="522" w:type="dxa"/>
                  <w:shd w:val="clear" w:color="auto" w:fill="auto"/>
                  <w:tcMar>
                    <w:top w:w="0" w:type="dxa"/>
                    <w:left w:w="0" w:type="dxa"/>
                    <w:bottom w:w="0" w:type="dxa"/>
                    <w:right w:w="0" w:type="dxa"/>
                  </w:tcMar>
                  <w:vAlign w:val="center"/>
                </w:tcPr>
                <w:p w14:paraId="3986754D">
                  <w:pPr>
                    <w:pStyle w:val="12"/>
                    <w:rPr>
                      <w:rFonts w:cs="Times New Roman"/>
                    </w:rPr>
                  </w:pPr>
                  <w:r>
                    <w:rPr>
                      <w:rFonts w:cs="Times New Roman"/>
                    </w:rPr>
                    <w:t>36.8</w:t>
                  </w:r>
                </w:p>
              </w:tc>
              <w:tc>
                <w:tcPr>
                  <w:tcW w:w="522" w:type="dxa"/>
                  <w:shd w:val="clear" w:color="auto" w:fill="auto"/>
                  <w:tcMar>
                    <w:top w:w="0" w:type="dxa"/>
                    <w:left w:w="0" w:type="dxa"/>
                    <w:bottom w:w="0" w:type="dxa"/>
                    <w:right w:w="0" w:type="dxa"/>
                  </w:tcMar>
                  <w:vAlign w:val="center"/>
                </w:tcPr>
                <w:p w14:paraId="161FE61E">
                  <w:pPr>
                    <w:pStyle w:val="12"/>
                    <w:rPr>
                      <w:rFonts w:cs="Times New Roman"/>
                    </w:rPr>
                  </w:pPr>
                  <w:r>
                    <w:rPr>
                      <w:rFonts w:cs="Times New Roman"/>
                    </w:rPr>
                    <w:t>24.3</w:t>
                  </w:r>
                </w:p>
              </w:tc>
              <w:tc>
                <w:tcPr>
                  <w:tcW w:w="522" w:type="dxa"/>
                  <w:shd w:val="clear" w:color="auto" w:fill="auto"/>
                  <w:tcMar>
                    <w:top w:w="0" w:type="dxa"/>
                    <w:left w:w="0" w:type="dxa"/>
                    <w:bottom w:w="0" w:type="dxa"/>
                    <w:right w:w="0" w:type="dxa"/>
                  </w:tcMar>
                  <w:vAlign w:val="center"/>
                </w:tcPr>
                <w:p w14:paraId="6115B530">
                  <w:pPr>
                    <w:pStyle w:val="12"/>
                    <w:rPr>
                      <w:rFonts w:cs="Times New Roman"/>
                    </w:rPr>
                  </w:pPr>
                  <w:r>
                    <w:rPr>
                      <w:rFonts w:cs="Times New Roman"/>
                    </w:rPr>
                    <w:t>15.7</w:t>
                  </w:r>
                </w:p>
              </w:tc>
              <w:tc>
                <w:tcPr>
                  <w:tcW w:w="638" w:type="dxa"/>
                  <w:shd w:val="clear" w:color="auto" w:fill="auto"/>
                  <w:tcMar>
                    <w:top w:w="0" w:type="dxa"/>
                    <w:left w:w="0" w:type="dxa"/>
                    <w:bottom w:w="0" w:type="dxa"/>
                    <w:right w:w="0" w:type="dxa"/>
                  </w:tcMar>
                  <w:vAlign w:val="center"/>
                </w:tcPr>
                <w:p w14:paraId="1C6CE60B">
                  <w:pPr>
                    <w:pStyle w:val="12"/>
                    <w:rPr>
                      <w:rFonts w:cs="Times New Roman"/>
                    </w:rPr>
                  </w:pPr>
                  <w:r>
                    <w:rPr>
                      <w:rFonts w:cs="Times New Roman"/>
                    </w:rPr>
                    <w:t>88.8</w:t>
                  </w:r>
                </w:p>
              </w:tc>
              <w:tc>
                <w:tcPr>
                  <w:tcW w:w="463" w:type="dxa"/>
                  <w:shd w:val="clear" w:color="auto" w:fill="auto"/>
                  <w:tcMar>
                    <w:top w:w="0" w:type="dxa"/>
                    <w:left w:w="0" w:type="dxa"/>
                    <w:bottom w:w="0" w:type="dxa"/>
                    <w:right w:w="0" w:type="dxa"/>
                  </w:tcMar>
                  <w:vAlign w:val="center"/>
                </w:tcPr>
                <w:p w14:paraId="3E7B57CB">
                  <w:pPr>
                    <w:pStyle w:val="12"/>
                    <w:rPr>
                      <w:rFonts w:cs="Times New Roman"/>
                    </w:rPr>
                  </w:pPr>
                  <w:r>
                    <w:rPr>
                      <w:rFonts w:cs="Times New Roman"/>
                    </w:rPr>
                    <w:t>72.0</w:t>
                  </w:r>
                </w:p>
              </w:tc>
              <w:tc>
                <w:tcPr>
                  <w:tcW w:w="463" w:type="dxa"/>
                  <w:shd w:val="clear" w:color="auto" w:fill="auto"/>
                  <w:tcMar>
                    <w:top w:w="0" w:type="dxa"/>
                    <w:left w:w="0" w:type="dxa"/>
                    <w:bottom w:w="0" w:type="dxa"/>
                    <w:right w:w="0" w:type="dxa"/>
                  </w:tcMar>
                  <w:vAlign w:val="center"/>
                </w:tcPr>
                <w:p w14:paraId="48931DD9">
                  <w:pPr>
                    <w:pStyle w:val="12"/>
                    <w:rPr>
                      <w:rFonts w:cs="Times New Roman"/>
                    </w:rPr>
                  </w:pPr>
                  <w:r>
                    <w:rPr>
                      <w:rFonts w:cs="Times New Roman"/>
                    </w:rPr>
                    <w:t>72.0</w:t>
                  </w:r>
                </w:p>
              </w:tc>
              <w:tc>
                <w:tcPr>
                  <w:tcW w:w="463" w:type="dxa"/>
                  <w:shd w:val="clear" w:color="auto" w:fill="auto"/>
                  <w:tcMar>
                    <w:top w:w="0" w:type="dxa"/>
                    <w:left w:w="0" w:type="dxa"/>
                    <w:bottom w:w="0" w:type="dxa"/>
                    <w:right w:w="0" w:type="dxa"/>
                  </w:tcMar>
                  <w:vAlign w:val="center"/>
                </w:tcPr>
                <w:p w14:paraId="3E15CFEE">
                  <w:pPr>
                    <w:pStyle w:val="12"/>
                    <w:rPr>
                      <w:rFonts w:cs="Times New Roman"/>
                    </w:rPr>
                  </w:pPr>
                  <w:r>
                    <w:rPr>
                      <w:rFonts w:cs="Times New Roman"/>
                    </w:rPr>
                    <w:t>72.1</w:t>
                  </w:r>
                </w:p>
              </w:tc>
              <w:tc>
                <w:tcPr>
                  <w:tcW w:w="492" w:type="dxa"/>
                  <w:shd w:val="clear" w:color="auto" w:fill="auto"/>
                  <w:tcMar>
                    <w:top w:w="0" w:type="dxa"/>
                    <w:left w:w="0" w:type="dxa"/>
                    <w:bottom w:w="0" w:type="dxa"/>
                    <w:right w:w="0" w:type="dxa"/>
                  </w:tcMar>
                  <w:vAlign w:val="center"/>
                </w:tcPr>
                <w:p w14:paraId="69565844">
                  <w:pPr>
                    <w:pStyle w:val="12"/>
                    <w:rPr>
                      <w:rFonts w:cs="Times New Roman"/>
                    </w:rPr>
                  </w:pPr>
                  <w:r>
                    <w:rPr>
                      <w:rFonts w:cs="Times New Roman"/>
                    </w:rPr>
                    <w:t>72.0</w:t>
                  </w:r>
                </w:p>
              </w:tc>
              <w:tc>
                <w:tcPr>
                  <w:tcW w:w="456" w:type="dxa"/>
                  <w:vMerge w:val="continue"/>
                  <w:shd w:val="clear" w:color="auto" w:fill="auto"/>
                  <w:tcMar>
                    <w:top w:w="0" w:type="dxa"/>
                    <w:left w:w="0" w:type="dxa"/>
                    <w:bottom w:w="0" w:type="dxa"/>
                    <w:right w:w="0" w:type="dxa"/>
                  </w:tcMar>
                  <w:vAlign w:val="center"/>
                </w:tcPr>
                <w:p w14:paraId="49C4F0FA">
                  <w:pPr>
                    <w:pStyle w:val="12"/>
                    <w:rPr>
                      <w:rFonts w:cs="Times New Roman"/>
                    </w:rPr>
                  </w:pPr>
                </w:p>
              </w:tc>
              <w:tc>
                <w:tcPr>
                  <w:tcW w:w="449" w:type="dxa"/>
                  <w:shd w:val="clear" w:color="auto" w:fill="auto"/>
                  <w:tcMar>
                    <w:top w:w="0" w:type="dxa"/>
                    <w:left w:w="0" w:type="dxa"/>
                    <w:bottom w:w="0" w:type="dxa"/>
                    <w:right w:w="0" w:type="dxa"/>
                  </w:tcMar>
                  <w:vAlign w:val="center"/>
                </w:tcPr>
                <w:p w14:paraId="515EA226">
                  <w:pPr>
                    <w:pStyle w:val="12"/>
                    <w:rPr>
                      <w:rFonts w:cs="Times New Roman"/>
                    </w:rPr>
                  </w:pPr>
                  <w:r>
                    <w:rPr>
                      <w:rFonts w:cs="Times New Roman"/>
                    </w:rPr>
                    <w:t>26.0</w:t>
                  </w:r>
                </w:p>
              </w:tc>
              <w:tc>
                <w:tcPr>
                  <w:tcW w:w="449" w:type="dxa"/>
                  <w:shd w:val="clear" w:color="auto" w:fill="auto"/>
                  <w:tcMar>
                    <w:top w:w="0" w:type="dxa"/>
                    <w:left w:w="0" w:type="dxa"/>
                    <w:bottom w:w="0" w:type="dxa"/>
                    <w:right w:w="0" w:type="dxa"/>
                  </w:tcMar>
                  <w:vAlign w:val="center"/>
                </w:tcPr>
                <w:p w14:paraId="2BBC8B29">
                  <w:pPr>
                    <w:pStyle w:val="12"/>
                    <w:rPr>
                      <w:rFonts w:cs="Times New Roman"/>
                    </w:rPr>
                  </w:pPr>
                  <w:r>
                    <w:rPr>
                      <w:rFonts w:cs="Times New Roman"/>
                    </w:rPr>
                    <w:t>26.0</w:t>
                  </w:r>
                </w:p>
              </w:tc>
              <w:tc>
                <w:tcPr>
                  <w:tcW w:w="449" w:type="dxa"/>
                  <w:shd w:val="clear" w:color="auto" w:fill="auto"/>
                  <w:tcMar>
                    <w:top w:w="0" w:type="dxa"/>
                    <w:left w:w="0" w:type="dxa"/>
                    <w:bottom w:w="0" w:type="dxa"/>
                    <w:right w:w="0" w:type="dxa"/>
                  </w:tcMar>
                  <w:vAlign w:val="center"/>
                </w:tcPr>
                <w:p w14:paraId="46C3C4FC">
                  <w:pPr>
                    <w:pStyle w:val="12"/>
                    <w:rPr>
                      <w:rFonts w:cs="Times New Roman"/>
                    </w:rPr>
                  </w:pPr>
                  <w:r>
                    <w:rPr>
                      <w:rFonts w:cs="Times New Roman"/>
                    </w:rPr>
                    <w:t>26.0</w:t>
                  </w:r>
                </w:p>
              </w:tc>
              <w:tc>
                <w:tcPr>
                  <w:tcW w:w="466" w:type="dxa"/>
                  <w:shd w:val="clear" w:color="auto" w:fill="auto"/>
                  <w:tcMar>
                    <w:top w:w="0" w:type="dxa"/>
                    <w:left w:w="0" w:type="dxa"/>
                    <w:bottom w:w="0" w:type="dxa"/>
                    <w:right w:w="0" w:type="dxa"/>
                  </w:tcMar>
                  <w:vAlign w:val="center"/>
                </w:tcPr>
                <w:p w14:paraId="4EA8FDDC">
                  <w:pPr>
                    <w:pStyle w:val="12"/>
                    <w:rPr>
                      <w:rFonts w:cs="Times New Roman"/>
                    </w:rPr>
                  </w:pPr>
                  <w:r>
                    <w:rPr>
                      <w:rFonts w:cs="Times New Roman"/>
                    </w:rPr>
                    <w:t>26.0</w:t>
                  </w:r>
                </w:p>
              </w:tc>
              <w:tc>
                <w:tcPr>
                  <w:tcW w:w="475" w:type="dxa"/>
                  <w:shd w:val="clear" w:color="auto" w:fill="auto"/>
                  <w:tcMar>
                    <w:top w:w="0" w:type="dxa"/>
                    <w:left w:w="0" w:type="dxa"/>
                    <w:bottom w:w="0" w:type="dxa"/>
                    <w:right w:w="0" w:type="dxa"/>
                  </w:tcMar>
                  <w:vAlign w:val="center"/>
                </w:tcPr>
                <w:p w14:paraId="32A20305">
                  <w:pPr>
                    <w:pStyle w:val="12"/>
                    <w:rPr>
                      <w:rFonts w:cs="Times New Roman"/>
                    </w:rPr>
                  </w:pPr>
                  <w:r>
                    <w:rPr>
                      <w:rFonts w:cs="Times New Roman"/>
                    </w:rPr>
                    <w:t>46.0</w:t>
                  </w:r>
                </w:p>
              </w:tc>
              <w:tc>
                <w:tcPr>
                  <w:tcW w:w="475" w:type="dxa"/>
                  <w:shd w:val="clear" w:color="auto" w:fill="auto"/>
                  <w:tcMar>
                    <w:top w:w="0" w:type="dxa"/>
                    <w:left w:w="0" w:type="dxa"/>
                    <w:bottom w:w="0" w:type="dxa"/>
                    <w:right w:w="0" w:type="dxa"/>
                  </w:tcMar>
                  <w:vAlign w:val="center"/>
                </w:tcPr>
                <w:p w14:paraId="361BFC46">
                  <w:pPr>
                    <w:pStyle w:val="12"/>
                    <w:rPr>
                      <w:rFonts w:cs="Times New Roman"/>
                    </w:rPr>
                  </w:pPr>
                  <w:r>
                    <w:rPr>
                      <w:rFonts w:cs="Times New Roman"/>
                    </w:rPr>
                    <w:t>46.0</w:t>
                  </w:r>
                </w:p>
              </w:tc>
              <w:tc>
                <w:tcPr>
                  <w:tcW w:w="476" w:type="dxa"/>
                  <w:shd w:val="clear" w:color="auto" w:fill="auto"/>
                  <w:tcMar>
                    <w:top w:w="0" w:type="dxa"/>
                    <w:left w:w="0" w:type="dxa"/>
                    <w:bottom w:w="0" w:type="dxa"/>
                    <w:right w:w="0" w:type="dxa"/>
                  </w:tcMar>
                  <w:vAlign w:val="center"/>
                </w:tcPr>
                <w:p w14:paraId="10B1D80B">
                  <w:pPr>
                    <w:pStyle w:val="12"/>
                    <w:rPr>
                      <w:rFonts w:cs="Times New Roman"/>
                    </w:rPr>
                  </w:pPr>
                  <w:r>
                    <w:rPr>
                      <w:rFonts w:cs="Times New Roman"/>
                    </w:rPr>
                    <w:t>46.1</w:t>
                  </w:r>
                </w:p>
              </w:tc>
              <w:tc>
                <w:tcPr>
                  <w:tcW w:w="476" w:type="dxa"/>
                  <w:shd w:val="clear" w:color="auto" w:fill="auto"/>
                  <w:tcMar>
                    <w:top w:w="0" w:type="dxa"/>
                    <w:left w:w="0" w:type="dxa"/>
                    <w:bottom w:w="0" w:type="dxa"/>
                    <w:right w:w="0" w:type="dxa"/>
                  </w:tcMar>
                  <w:vAlign w:val="center"/>
                </w:tcPr>
                <w:p w14:paraId="4AF98C4B">
                  <w:pPr>
                    <w:pStyle w:val="12"/>
                    <w:rPr>
                      <w:rFonts w:cs="Times New Roman"/>
                    </w:rPr>
                  </w:pPr>
                  <w:r>
                    <w:rPr>
                      <w:rFonts w:cs="Times New Roman"/>
                    </w:rPr>
                    <w:t>46.0</w:t>
                  </w:r>
                </w:p>
              </w:tc>
              <w:tc>
                <w:tcPr>
                  <w:tcW w:w="545" w:type="dxa"/>
                  <w:shd w:val="clear" w:color="auto" w:fill="auto"/>
                  <w:tcMar>
                    <w:top w:w="0" w:type="dxa"/>
                    <w:left w:w="0" w:type="dxa"/>
                    <w:bottom w:w="0" w:type="dxa"/>
                    <w:right w:w="0" w:type="dxa"/>
                  </w:tcMar>
                  <w:vAlign w:val="center"/>
                </w:tcPr>
                <w:p w14:paraId="01414F57">
                  <w:pPr>
                    <w:pStyle w:val="12"/>
                    <w:rPr>
                      <w:rFonts w:hint="eastAsia" w:eastAsia="宋体" w:cs="Times New Roman"/>
                      <w:lang w:val="en-US" w:eastAsia="zh-CN"/>
                    </w:rPr>
                  </w:pPr>
                  <w:r>
                    <w:rPr>
                      <w:rFonts w:hint="eastAsia" w:cs="Times New Roman"/>
                      <w:lang w:val="en-US" w:eastAsia="zh-CN"/>
                    </w:rPr>
                    <w:t>1</w:t>
                  </w:r>
                </w:p>
              </w:tc>
            </w:tr>
            <w:tr w14:paraId="3F8F9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5" w:type="dxa"/>
                  <w:shd w:val="clear" w:color="auto" w:fill="auto"/>
                  <w:tcMar>
                    <w:top w:w="0" w:type="dxa"/>
                    <w:left w:w="0" w:type="dxa"/>
                    <w:bottom w:w="0" w:type="dxa"/>
                    <w:right w:w="0" w:type="dxa"/>
                  </w:tcMar>
                  <w:vAlign w:val="center"/>
                </w:tcPr>
                <w:p w14:paraId="68CD920B">
                  <w:pPr>
                    <w:pStyle w:val="12"/>
                    <w:rPr>
                      <w:rFonts w:hint="default" w:eastAsia="宋体" w:cs="Times New Roman"/>
                      <w:lang w:val="en-US" w:eastAsia="zh-CN"/>
                    </w:rPr>
                  </w:pPr>
                  <w:r>
                    <w:rPr>
                      <w:rFonts w:hint="eastAsia" w:cs="Times New Roman"/>
                      <w:lang w:val="en-US" w:eastAsia="zh-CN"/>
                    </w:rPr>
                    <w:t>11</w:t>
                  </w:r>
                </w:p>
              </w:tc>
              <w:tc>
                <w:tcPr>
                  <w:tcW w:w="1076" w:type="dxa"/>
                  <w:shd w:val="clear" w:color="auto" w:fill="auto"/>
                  <w:tcMar>
                    <w:top w:w="0" w:type="dxa"/>
                    <w:left w:w="0" w:type="dxa"/>
                    <w:bottom w:w="0" w:type="dxa"/>
                    <w:right w:w="0" w:type="dxa"/>
                  </w:tcMar>
                  <w:vAlign w:val="center"/>
                </w:tcPr>
                <w:p w14:paraId="5AFA828B">
                  <w:pPr>
                    <w:pStyle w:val="12"/>
                    <w:rPr>
                      <w:rFonts w:hint="eastAsia" w:eastAsia="宋体" w:cs="Times New Roman"/>
                      <w:lang w:val="en-US" w:eastAsia="zh-CN"/>
                    </w:rPr>
                  </w:pPr>
                  <w:r>
                    <w:rPr>
                      <w:rFonts w:hint="eastAsia" w:cs="Times New Roman"/>
                      <w:lang w:val="en-US" w:eastAsia="zh-CN"/>
                    </w:rPr>
                    <w:t>轮辊机</w:t>
                  </w:r>
                </w:p>
              </w:tc>
              <w:tc>
                <w:tcPr>
                  <w:tcW w:w="592" w:type="dxa"/>
                  <w:shd w:val="clear" w:color="auto" w:fill="auto"/>
                  <w:tcMar>
                    <w:top w:w="0" w:type="dxa"/>
                    <w:left w:w="0" w:type="dxa"/>
                    <w:bottom w:w="0" w:type="dxa"/>
                    <w:right w:w="0" w:type="dxa"/>
                  </w:tcMar>
                  <w:vAlign w:val="center"/>
                </w:tcPr>
                <w:p w14:paraId="360DFB02">
                  <w:pPr>
                    <w:pStyle w:val="12"/>
                    <w:rPr>
                      <w:rFonts w:hint="default" w:eastAsia="宋体" w:cs="Times New Roman"/>
                      <w:lang w:val="en-US" w:eastAsia="zh-CN"/>
                    </w:rPr>
                  </w:pPr>
                  <w:r>
                    <w:rPr>
                      <w:rFonts w:hint="eastAsia" w:cs="Times New Roman"/>
                      <w:lang w:val="en-US" w:eastAsia="zh-CN"/>
                    </w:rPr>
                    <w:t>80</w:t>
                  </w:r>
                </w:p>
              </w:tc>
              <w:tc>
                <w:tcPr>
                  <w:tcW w:w="516" w:type="dxa"/>
                  <w:vMerge w:val="continue"/>
                  <w:shd w:val="clear" w:color="auto" w:fill="auto"/>
                  <w:tcMar>
                    <w:top w:w="0" w:type="dxa"/>
                    <w:left w:w="0" w:type="dxa"/>
                    <w:bottom w:w="0" w:type="dxa"/>
                    <w:right w:w="0" w:type="dxa"/>
                  </w:tcMar>
                  <w:vAlign w:val="center"/>
                </w:tcPr>
                <w:p w14:paraId="6DACFE85">
                  <w:pPr>
                    <w:pStyle w:val="12"/>
                    <w:rPr>
                      <w:rFonts w:cs="Times New Roman"/>
                    </w:rPr>
                  </w:pPr>
                </w:p>
              </w:tc>
              <w:tc>
                <w:tcPr>
                  <w:tcW w:w="554" w:type="dxa"/>
                  <w:shd w:val="clear" w:color="auto" w:fill="auto"/>
                  <w:tcMar>
                    <w:top w:w="0" w:type="dxa"/>
                    <w:left w:w="0" w:type="dxa"/>
                    <w:bottom w:w="0" w:type="dxa"/>
                    <w:right w:w="0" w:type="dxa"/>
                  </w:tcMar>
                  <w:vAlign w:val="center"/>
                </w:tcPr>
                <w:p w14:paraId="2B07A794">
                  <w:pPr>
                    <w:pStyle w:val="12"/>
                    <w:rPr>
                      <w:rFonts w:cs="Times New Roman"/>
                    </w:rPr>
                  </w:pPr>
                  <w:r>
                    <w:rPr>
                      <w:rFonts w:cs="Times New Roman"/>
                    </w:rPr>
                    <w:t>-17.3</w:t>
                  </w:r>
                </w:p>
              </w:tc>
              <w:tc>
                <w:tcPr>
                  <w:tcW w:w="554" w:type="dxa"/>
                  <w:shd w:val="clear" w:color="auto" w:fill="auto"/>
                  <w:tcMar>
                    <w:top w:w="0" w:type="dxa"/>
                    <w:left w:w="0" w:type="dxa"/>
                    <w:bottom w:w="0" w:type="dxa"/>
                    <w:right w:w="0" w:type="dxa"/>
                  </w:tcMar>
                  <w:vAlign w:val="center"/>
                </w:tcPr>
                <w:p w14:paraId="47B8824F">
                  <w:pPr>
                    <w:pStyle w:val="12"/>
                    <w:rPr>
                      <w:rFonts w:cs="Times New Roman"/>
                    </w:rPr>
                  </w:pPr>
                  <w:r>
                    <w:rPr>
                      <w:rFonts w:cs="Times New Roman"/>
                    </w:rPr>
                    <w:t>-28.1</w:t>
                  </w:r>
                </w:p>
              </w:tc>
              <w:tc>
                <w:tcPr>
                  <w:tcW w:w="583" w:type="dxa"/>
                  <w:shd w:val="clear" w:color="auto" w:fill="auto"/>
                  <w:tcMar>
                    <w:top w:w="0" w:type="dxa"/>
                    <w:left w:w="0" w:type="dxa"/>
                    <w:bottom w:w="0" w:type="dxa"/>
                    <w:right w:w="0" w:type="dxa"/>
                  </w:tcMar>
                  <w:vAlign w:val="center"/>
                </w:tcPr>
                <w:p w14:paraId="501360B5">
                  <w:pPr>
                    <w:pStyle w:val="12"/>
                    <w:rPr>
                      <w:rFonts w:hint="default" w:eastAsia="宋体" w:cs="Times New Roman"/>
                      <w:lang w:val="en-US" w:eastAsia="zh-CN"/>
                    </w:rPr>
                  </w:pPr>
                  <w:r>
                    <w:rPr>
                      <w:rFonts w:hint="eastAsia" w:cs="Times New Roman"/>
                      <w:lang w:val="en-US" w:eastAsia="zh-CN"/>
                    </w:rPr>
                    <w:t>1.5</w:t>
                  </w:r>
                </w:p>
              </w:tc>
              <w:tc>
                <w:tcPr>
                  <w:tcW w:w="522" w:type="dxa"/>
                  <w:shd w:val="clear" w:color="auto" w:fill="auto"/>
                  <w:tcMar>
                    <w:top w:w="0" w:type="dxa"/>
                    <w:left w:w="0" w:type="dxa"/>
                    <w:bottom w:w="0" w:type="dxa"/>
                    <w:right w:w="0" w:type="dxa"/>
                  </w:tcMar>
                  <w:vAlign w:val="center"/>
                </w:tcPr>
                <w:p w14:paraId="3B57BE68">
                  <w:pPr>
                    <w:pStyle w:val="12"/>
                    <w:rPr>
                      <w:rFonts w:cs="Times New Roman"/>
                    </w:rPr>
                  </w:pPr>
                  <w:r>
                    <w:rPr>
                      <w:rFonts w:cs="Times New Roman"/>
                    </w:rPr>
                    <w:t>30.7</w:t>
                  </w:r>
                </w:p>
              </w:tc>
              <w:tc>
                <w:tcPr>
                  <w:tcW w:w="522" w:type="dxa"/>
                  <w:shd w:val="clear" w:color="auto" w:fill="auto"/>
                  <w:tcMar>
                    <w:top w:w="0" w:type="dxa"/>
                    <w:left w:w="0" w:type="dxa"/>
                    <w:bottom w:w="0" w:type="dxa"/>
                    <w:right w:w="0" w:type="dxa"/>
                  </w:tcMar>
                  <w:vAlign w:val="center"/>
                </w:tcPr>
                <w:p w14:paraId="65CA5B44">
                  <w:pPr>
                    <w:pStyle w:val="12"/>
                    <w:rPr>
                      <w:rFonts w:cs="Times New Roman"/>
                    </w:rPr>
                  </w:pPr>
                  <w:r>
                    <w:rPr>
                      <w:rFonts w:cs="Times New Roman"/>
                    </w:rPr>
                    <w:t>30.2</w:t>
                  </w:r>
                </w:p>
              </w:tc>
              <w:tc>
                <w:tcPr>
                  <w:tcW w:w="522" w:type="dxa"/>
                  <w:shd w:val="clear" w:color="auto" w:fill="auto"/>
                  <w:tcMar>
                    <w:top w:w="0" w:type="dxa"/>
                    <w:left w:w="0" w:type="dxa"/>
                    <w:bottom w:w="0" w:type="dxa"/>
                    <w:right w:w="0" w:type="dxa"/>
                  </w:tcMar>
                  <w:vAlign w:val="center"/>
                </w:tcPr>
                <w:p w14:paraId="4639AEB8">
                  <w:pPr>
                    <w:pStyle w:val="12"/>
                    <w:rPr>
                      <w:rFonts w:cs="Times New Roman"/>
                    </w:rPr>
                  </w:pPr>
                  <w:r>
                    <w:rPr>
                      <w:rFonts w:cs="Times New Roman"/>
                    </w:rPr>
                    <w:t>21.7</w:t>
                  </w:r>
                </w:p>
              </w:tc>
              <w:tc>
                <w:tcPr>
                  <w:tcW w:w="638" w:type="dxa"/>
                  <w:shd w:val="clear" w:color="auto" w:fill="auto"/>
                  <w:tcMar>
                    <w:top w:w="0" w:type="dxa"/>
                    <w:left w:w="0" w:type="dxa"/>
                    <w:bottom w:w="0" w:type="dxa"/>
                    <w:right w:w="0" w:type="dxa"/>
                  </w:tcMar>
                  <w:vAlign w:val="center"/>
                </w:tcPr>
                <w:p w14:paraId="1958A3F7">
                  <w:pPr>
                    <w:pStyle w:val="12"/>
                    <w:rPr>
                      <w:rFonts w:cs="Times New Roman"/>
                    </w:rPr>
                  </w:pPr>
                  <w:r>
                    <w:rPr>
                      <w:rFonts w:cs="Times New Roman"/>
                    </w:rPr>
                    <w:t>82.9</w:t>
                  </w:r>
                </w:p>
              </w:tc>
              <w:tc>
                <w:tcPr>
                  <w:tcW w:w="463" w:type="dxa"/>
                  <w:shd w:val="clear" w:color="auto" w:fill="auto"/>
                  <w:tcMar>
                    <w:top w:w="0" w:type="dxa"/>
                    <w:left w:w="0" w:type="dxa"/>
                    <w:bottom w:w="0" w:type="dxa"/>
                    <w:right w:w="0" w:type="dxa"/>
                  </w:tcMar>
                  <w:vAlign w:val="center"/>
                </w:tcPr>
                <w:p w14:paraId="3149BBB3">
                  <w:pPr>
                    <w:pStyle w:val="12"/>
                    <w:rPr>
                      <w:rFonts w:cs="Times New Roman"/>
                    </w:rPr>
                  </w:pPr>
                  <w:r>
                    <w:rPr>
                      <w:rFonts w:cs="Times New Roman"/>
                    </w:rPr>
                    <w:t>62.0</w:t>
                  </w:r>
                </w:p>
              </w:tc>
              <w:tc>
                <w:tcPr>
                  <w:tcW w:w="463" w:type="dxa"/>
                  <w:shd w:val="clear" w:color="auto" w:fill="auto"/>
                  <w:tcMar>
                    <w:top w:w="0" w:type="dxa"/>
                    <w:left w:w="0" w:type="dxa"/>
                    <w:bottom w:w="0" w:type="dxa"/>
                    <w:right w:w="0" w:type="dxa"/>
                  </w:tcMar>
                  <w:vAlign w:val="center"/>
                </w:tcPr>
                <w:p w14:paraId="739510EF">
                  <w:pPr>
                    <w:pStyle w:val="12"/>
                    <w:rPr>
                      <w:rFonts w:cs="Times New Roman"/>
                    </w:rPr>
                  </w:pPr>
                  <w:r>
                    <w:rPr>
                      <w:rFonts w:cs="Times New Roman"/>
                    </w:rPr>
                    <w:t>62.0</w:t>
                  </w:r>
                </w:p>
              </w:tc>
              <w:tc>
                <w:tcPr>
                  <w:tcW w:w="463" w:type="dxa"/>
                  <w:shd w:val="clear" w:color="auto" w:fill="auto"/>
                  <w:tcMar>
                    <w:top w:w="0" w:type="dxa"/>
                    <w:left w:w="0" w:type="dxa"/>
                    <w:bottom w:w="0" w:type="dxa"/>
                    <w:right w:w="0" w:type="dxa"/>
                  </w:tcMar>
                  <w:vAlign w:val="center"/>
                </w:tcPr>
                <w:p w14:paraId="13375D5F">
                  <w:pPr>
                    <w:pStyle w:val="12"/>
                    <w:rPr>
                      <w:rFonts w:cs="Times New Roman"/>
                    </w:rPr>
                  </w:pPr>
                  <w:r>
                    <w:rPr>
                      <w:rFonts w:cs="Times New Roman"/>
                    </w:rPr>
                    <w:t>62.0</w:t>
                  </w:r>
                </w:p>
              </w:tc>
              <w:tc>
                <w:tcPr>
                  <w:tcW w:w="492" w:type="dxa"/>
                  <w:shd w:val="clear" w:color="auto" w:fill="auto"/>
                  <w:tcMar>
                    <w:top w:w="0" w:type="dxa"/>
                    <w:left w:w="0" w:type="dxa"/>
                    <w:bottom w:w="0" w:type="dxa"/>
                    <w:right w:w="0" w:type="dxa"/>
                  </w:tcMar>
                  <w:vAlign w:val="center"/>
                </w:tcPr>
                <w:p w14:paraId="1433D985">
                  <w:pPr>
                    <w:pStyle w:val="12"/>
                    <w:rPr>
                      <w:rFonts w:cs="Times New Roman"/>
                    </w:rPr>
                  </w:pPr>
                  <w:r>
                    <w:rPr>
                      <w:rFonts w:cs="Times New Roman"/>
                    </w:rPr>
                    <w:t>62.0</w:t>
                  </w:r>
                </w:p>
              </w:tc>
              <w:tc>
                <w:tcPr>
                  <w:tcW w:w="456" w:type="dxa"/>
                  <w:vMerge w:val="continue"/>
                  <w:shd w:val="clear" w:color="auto" w:fill="auto"/>
                  <w:tcMar>
                    <w:top w:w="0" w:type="dxa"/>
                    <w:left w:w="0" w:type="dxa"/>
                    <w:bottom w:w="0" w:type="dxa"/>
                    <w:right w:w="0" w:type="dxa"/>
                  </w:tcMar>
                  <w:vAlign w:val="center"/>
                </w:tcPr>
                <w:p w14:paraId="3740CF6B">
                  <w:pPr>
                    <w:pStyle w:val="12"/>
                    <w:rPr>
                      <w:rFonts w:cs="Times New Roman"/>
                    </w:rPr>
                  </w:pPr>
                </w:p>
              </w:tc>
              <w:tc>
                <w:tcPr>
                  <w:tcW w:w="449" w:type="dxa"/>
                  <w:shd w:val="clear" w:color="auto" w:fill="auto"/>
                  <w:tcMar>
                    <w:top w:w="0" w:type="dxa"/>
                    <w:left w:w="0" w:type="dxa"/>
                    <w:bottom w:w="0" w:type="dxa"/>
                    <w:right w:w="0" w:type="dxa"/>
                  </w:tcMar>
                  <w:vAlign w:val="center"/>
                </w:tcPr>
                <w:p w14:paraId="4998CFBE">
                  <w:pPr>
                    <w:pStyle w:val="12"/>
                    <w:rPr>
                      <w:rFonts w:cs="Times New Roman"/>
                    </w:rPr>
                  </w:pPr>
                  <w:r>
                    <w:rPr>
                      <w:rFonts w:cs="Times New Roman"/>
                    </w:rPr>
                    <w:t>26.0</w:t>
                  </w:r>
                </w:p>
              </w:tc>
              <w:tc>
                <w:tcPr>
                  <w:tcW w:w="449" w:type="dxa"/>
                  <w:shd w:val="clear" w:color="auto" w:fill="auto"/>
                  <w:tcMar>
                    <w:top w:w="0" w:type="dxa"/>
                    <w:left w:w="0" w:type="dxa"/>
                    <w:bottom w:w="0" w:type="dxa"/>
                    <w:right w:w="0" w:type="dxa"/>
                  </w:tcMar>
                  <w:vAlign w:val="center"/>
                </w:tcPr>
                <w:p w14:paraId="25A7131B">
                  <w:pPr>
                    <w:pStyle w:val="12"/>
                    <w:rPr>
                      <w:rFonts w:cs="Times New Roman"/>
                    </w:rPr>
                  </w:pPr>
                  <w:r>
                    <w:rPr>
                      <w:rFonts w:cs="Times New Roman"/>
                    </w:rPr>
                    <w:t>26.0</w:t>
                  </w:r>
                </w:p>
              </w:tc>
              <w:tc>
                <w:tcPr>
                  <w:tcW w:w="449" w:type="dxa"/>
                  <w:shd w:val="clear" w:color="auto" w:fill="auto"/>
                  <w:tcMar>
                    <w:top w:w="0" w:type="dxa"/>
                    <w:left w:w="0" w:type="dxa"/>
                    <w:bottom w:w="0" w:type="dxa"/>
                    <w:right w:w="0" w:type="dxa"/>
                  </w:tcMar>
                  <w:vAlign w:val="center"/>
                </w:tcPr>
                <w:p w14:paraId="72D08D7C">
                  <w:pPr>
                    <w:pStyle w:val="12"/>
                    <w:rPr>
                      <w:rFonts w:cs="Times New Roman"/>
                    </w:rPr>
                  </w:pPr>
                  <w:r>
                    <w:rPr>
                      <w:rFonts w:cs="Times New Roman"/>
                    </w:rPr>
                    <w:t>26.0</w:t>
                  </w:r>
                </w:p>
              </w:tc>
              <w:tc>
                <w:tcPr>
                  <w:tcW w:w="466" w:type="dxa"/>
                  <w:shd w:val="clear" w:color="auto" w:fill="auto"/>
                  <w:tcMar>
                    <w:top w:w="0" w:type="dxa"/>
                    <w:left w:w="0" w:type="dxa"/>
                    <w:bottom w:w="0" w:type="dxa"/>
                    <w:right w:w="0" w:type="dxa"/>
                  </w:tcMar>
                  <w:vAlign w:val="center"/>
                </w:tcPr>
                <w:p w14:paraId="54356AD6">
                  <w:pPr>
                    <w:pStyle w:val="12"/>
                    <w:rPr>
                      <w:rFonts w:cs="Times New Roman"/>
                    </w:rPr>
                  </w:pPr>
                  <w:r>
                    <w:rPr>
                      <w:rFonts w:cs="Times New Roman"/>
                    </w:rPr>
                    <w:t>26.0</w:t>
                  </w:r>
                </w:p>
              </w:tc>
              <w:tc>
                <w:tcPr>
                  <w:tcW w:w="475" w:type="dxa"/>
                  <w:shd w:val="clear" w:color="auto" w:fill="auto"/>
                  <w:tcMar>
                    <w:top w:w="0" w:type="dxa"/>
                    <w:left w:w="0" w:type="dxa"/>
                    <w:bottom w:w="0" w:type="dxa"/>
                    <w:right w:w="0" w:type="dxa"/>
                  </w:tcMar>
                  <w:vAlign w:val="center"/>
                </w:tcPr>
                <w:p w14:paraId="7E084969">
                  <w:pPr>
                    <w:pStyle w:val="12"/>
                    <w:rPr>
                      <w:rFonts w:cs="Times New Roman"/>
                    </w:rPr>
                  </w:pPr>
                  <w:r>
                    <w:rPr>
                      <w:rFonts w:cs="Times New Roman"/>
                    </w:rPr>
                    <w:t>36.0</w:t>
                  </w:r>
                </w:p>
              </w:tc>
              <w:tc>
                <w:tcPr>
                  <w:tcW w:w="475" w:type="dxa"/>
                  <w:shd w:val="clear" w:color="auto" w:fill="auto"/>
                  <w:tcMar>
                    <w:top w:w="0" w:type="dxa"/>
                    <w:left w:w="0" w:type="dxa"/>
                    <w:bottom w:w="0" w:type="dxa"/>
                    <w:right w:w="0" w:type="dxa"/>
                  </w:tcMar>
                  <w:vAlign w:val="center"/>
                </w:tcPr>
                <w:p w14:paraId="0FB51C38">
                  <w:pPr>
                    <w:pStyle w:val="12"/>
                    <w:rPr>
                      <w:rFonts w:cs="Times New Roman"/>
                    </w:rPr>
                  </w:pPr>
                  <w:r>
                    <w:rPr>
                      <w:rFonts w:cs="Times New Roman"/>
                    </w:rPr>
                    <w:t>36.0</w:t>
                  </w:r>
                </w:p>
              </w:tc>
              <w:tc>
                <w:tcPr>
                  <w:tcW w:w="476" w:type="dxa"/>
                  <w:shd w:val="clear" w:color="auto" w:fill="auto"/>
                  <w:tcMar>
                    <w:top w:w="0" w:type="dxa"/>
                    <w:left w:w="0" w:type="dxa"/>
                    <w:bottom w:w="0" w:type="dxa"/>
                    <w:right w:w="0" w:type="dxa"/>
                  </w:tcMar>
                  <w:vAlign w:val="center"/>
                </w:tcPr>
                <w:p w14:paraId="5471CEA3">
                  <w:pPr>
                    <w:pStyle w:val="12"/>
                    <w:rPr>
                      <w:rFonts w:cs="Times New Roman"/>
                    </w:rPr>
                  </w:pPr>
                  <w:r>
                    <w:rPr>
                      <w:rFonts w:cs="Times New Roman"/>
                    </w:rPr>
                    <w:t>36.0</w:t>
                  </w:r>
                </w:p>
              </w:tc>
              <w:tc>
                <w:tcPr>
                  <w:tcW w:w="476" w:type="dxa"/>
                  <w:shd w:val="clear" w:color="auto" w:fill="auto"/>
                  <w:tcMar>
                    <w:top w:w="0" w:type="dxa"/>
                    <w:left w:w="0" w:type="dxa"/>
                    <w:bottom w:w="0" w:type="dxa"/>
                    <w:right w:w="0" w:type="dxa"/>
                  </w:tcMar>
                  <w:vAlign w:val="center"/>
                </w:tcPr>
                <w:p w14:paraId="5A5F3572">
                  <w:pPr>
                    <w:pStyle w:val="12"/>
                    <w:rPr>
                      <w:rFonts w:cs="Times New Roman"/>
                    </w:rPr>
                  </w:pPr>
                  <w:r>
                    <w:rPr>
                      <w:rFonts w:cs="Times New Roman"/>
                    </w:rPr>
                    <w:t>36.0</w:t>
                  </w:r>
                </w:p>
              </w:tc>
              <w:tc>
                <w:tcPr>
                  <w:tcW w:w="545" w:type="dxa"/>
                  <w:shd w:val="clear" w:color="auto" w:fill="auto"/>
                  <w:tcMar>
                    <w:top w:w="0" w:type="dxa"/>
                    <w:left w:w="0" w:type="dxa"/>
                    <w:bottom w:w="0" w:type="dxa"/>
                    <w:right w:w="0" w:type="dxa"/>
                  </w:tcMar>
                  <w:vAlign w:val="center"/>
                </w:tcPr>
                <w:p w14:paraId="1CD2B855">
                  <w:pPr>
                    <w:pStyle w:val="12"/>
                    <w:rPr>
                      <w:rFonts w:cs="Times New Roman"/>
                    </w:rPr>
                  </w:pPr>
                  <w:r>
                    <w:rPr>
                      <w:rFonts w:cs="Times New Roman"/>
                    </w:rPr>
                    <w:t>1</w:t>
                  </w:r>
                </w:p>
              </w:tc>
            </w:tr>
            <w:tr w14:paraId="61E34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5" w:type="dxa"/>
                  <w:shd w:val="clear" w:color="auto" w:fill="auto"/>
                  <w:tcMar>
                    <w:top w:w="0" w:type="dxa"/>
                    <w:left w:w="0" w:type="dxa"/>
                    <w:bottom w:w="0" w:type="dxa"/>
                    <w:right w:w="0" w:type="dxa"/>
                  </w:tcMar>
                  <w:vAlign w:val="center"/>
                </w:tcPr>
                <w:p w14:paraId="67FAC744">
                  <w:pPr>
                    <w:pStyle w:val="12"/>
                    <w:rPr>
                      <w:rFonts w:hint="eastAsia" w:eastAsia="宋体" w:cs="Times New Roman"/>
                      <w:lang w:val="en-US" w:eastAsia="zh-CN"/>
                    </w:rPr>
                  </w:pPr>
                  <w:r>
                    <w:rPr>
                      <w:rFonts w:cs="Times New Roman"/>
                    </w:rPr>
                    <w:t>1</w:t>
                  </w:r>
                  <w:r>
                    <w:rPr>
                      <w:rFonts w:hint="eastAsia" w:cs="Times New Roman"/>
                      <w:lang w:val="en-US" w:eastAsia="zh-CN"/>
                    </w:rPr>
                    <w:t>2</w:t>
                  </w:r>
                </w:p>
              </w:tc>
              <w:tc>
                <w:tcPr>
                  <w:tcW w:w="1076" w:type="dxa"/>
                  <w:shd w:val="clear" w:color="auto" w:fill="auto"/>
                  <w:tcMar>
                    <w:top w:w="0" w:type="dxa"/>
                    <w:left w:w="0" w:type="dxa"/>
                    <w:bottom w:w="0" w:type="dxa"/>
                    <w:right w:w="0" w:type="dxa"/>
                  </w:tcMar>
                  <w:vAlign w:val="center"/>
                </w:tcPr>
                <w:p w14:paraId="32F4F116">
                  <w:pPr>
                    <w:pStyle w:val="12"/>
                    <w:rPr>
                      <w:rFonts w:hint="default" w:eastAsia="宋体" w:cs="Times New Roman"/>
                      <w:lang w:val="en-US" w:eastAsia="zh-CN"/>
                    </w:rPr>
                  </w:pPr>
                  <w:r>
                    <w:rPr>
                      <w:rFonts w:hint="eastAsia" w:cs="Times New Roman"/>
                      <w:lang w:val="en-US" w:eastAsia="zh-CN"/>
                    </w:rPr>
                    <w:t>搅拌机</w:t>
                  </w:r>
                </w:p>
              </w:tc>
              <w:tc>
                <w:tcPr>
                  <w:tcW w:w="592" w:type="dxa"/>
                  <w:shd w:val="clear" w:color="auto" w:fill="auto"/>
                  <w:tcMar>
                    <w:top w:w="0" w:type="dxa"/>
                    <w:left w:w="0" w:type="dxa"/>
                    <w:bottom w:w="0" w:type="dxa"/>
                    <w:right w:w="0" w:type="dxa"/>
                  </w:tcMar>
                  <w:vAlign w:val="center"/>
                </w:tcPr>
                <w:p w14:paraId="25041859">
                  <w:pPr>
                    <w:pStyle w:val="12"/>
                    <w:rPr>
                      <w:rFonts w:hint="default" w:eastAsia="宋体" w:cs="Times New Roman"/>
                      <w:lang w:val="en-US" w:eastAsia="zh-CN"/>
                    </w:rPr>
                  </w:pPr>
                  <w:r>
                    <w:rPr>
                      <w:rFonts w:hint="eastAsia" w:cs="Times New Roman"/>
                      <w:lang w:val="en-US" w:eastAsia="zh-CN"/>
                    </w:rPr>
                    <w:t>80</w:t>
                  </w:r>
                </w:p>
              </w:tc>
              <w:tc>
                <w:tcPr>
                  <w:tcW w:w="516" w:type="dxa"/>
                  <w:vMerge w:val="continue"/>
                  <w:shd w:val="clear" w:color="auto" w:fill="auto"/>
                  <w:tcMar>
                    <w:top w:w="0" w:type="dxa"/>
                    <w:left w:w="0" w:type="dxa"/>
                    <w:bottom w:w="0" w:type="dxa"/>
                    <w:right w:w="0" w:type="dxa"/>
                  </w:tcMar>
                  <w:vAlign w:val="center"/>
                </w:tcPr>
                <w:p w14:paraId="3AB4B93E">
                  <w:pPr>
                    <w:pStyle w:val="12"/>
                    <w:rPr>
                      <w:rFonts w:cs="Times New Roman"/>
                    </w:rPr>
                  </w:pPr>
                </w:p>
              </w:tc>
              <w:tc>
                <w:tcPr>
                  <w:tcW w:w="554" w:type="dxa"/>
                  <w:shd w:val="clear" w:color="auto" w:fill="auto"/>
                  <w:tcMar>
                    <w:top w:w="0" w:type="dxa"/>
                    <w:left w:w="0" w:type="dxa"/>
                    <w:bottom w:w="0" w:type="dxa"/>
                    <w:right w:w="0" w:type="dxa"/>
                  </w:tcMar>
                  <w:vAlign w:val="center"/>
                </w:tcPr>
                <w:p w14:paraId="7A482511">
                  <w:pPr>
                    <w:pStyle w:val="12"/>
                    <w:rPr>
                      <w:rFonts w:cs="Times New Roman"/>
                    </w:rPr>
                  </w:pPr>
                  <w:r>
                    <w:rPr>
                      <w:rFonts w:cs="Times New Roman"/>
                    </w:rPr>
                    <w:t>-20.9</w:t>
                  </w:r>
                </w:p>
              </w:tc>
              <w:tc>
                <w:tcPr>
                  <w:tcW w:w="554" w:type="dxa"/>
                  <w:shd w:val="clear" w:color="auto" w:fill="auto"/>
                  <w:tcMar>
                    <w:top w:w="0" w:type="dxa"/>
                    <w:left w:w="0" w:type="dxa"/>
                    <w:bottom w:w="0" w:type="dxa"/>
                    <w:right w:w="0" w:type="dxa"/>
                  </w:tcMar>
                  <w:vAlign w:val="center"/>
                </w:tcPr>
                <w:p w14:paraId="34082AA9">
                  <w:pPr>
                    <w:pStyle w:val="12"/>
                    <w:rPr>
                      <w:rFonts w:cs="Times New Roman"/>
                    </w:rPr>
                  </w:pPr>
                  <w:r>
                    <w:rPr>
                      <w:rFonts w:cs="Times New Roman"/>
                    </w:rPr>
                    <w:t>-20.9</w:t>
                  </w:r>
                </w:p>
              </w:tc>
              <w:tc>
                <w:tcPr>
                  <w:tcW w:w="583" w:type="dxa"/>
                  <w:shd w:val="clear" w:color="auto" w:fill="auto"/>
                  <w:tcMar>
                    <w:top w:w="0" w:type="dxa"/>
                    <w:left w:w="0" w:type="dxa"/>
                    <w:bottom w:w="0" w:type="dxa"/>
                    <w:right w:w="0" w:type="dxa"/>
                  </w:tcMar>
                  <w:vAlign w:val="center"/>
                </w:tcPr>
                <w:p w14:paraId="79C9D98A">
                  <w:pPr>
                    <w:pStyle w:val="12"/>
                    <w:rPr>
                      <w:rFonts w:hint="default" w:eastAsia="宋体" w:cs="Times New Roman"/>
                      <w:lang w:val="en-US" w:eastAsia="zh-CN"/>
                    </w:rPr>
                  </w:pPr>
                  <w:r>
                    <w:rPr>
                      <w:rFonts w:hint="eastAsia" w:cs="Times New Roman"/>
                      <w:lang w:val="en-US" w:eastAsia="zh-CN"/>
                    </w:rPr>
                    <w:t>1.5</w:t>
                  </w:r>
                </w:p>
              </w:tc>
              <w:tc>
                <w:tcPr>
                  <w:tcW w:w="522" w:type="dxa"/>
                  <w:shd w:val="clear" w:color="auto" w:fill="auto"/>
                  <w:tcMar>
                    <w:top w:w="0" w:type="dxa"/>
                    <w:left w:w="0" w:type="dxa"/>
                    <w:bottom w:w="0" w:type="dxa"/>
                    <w:right w:w="0" w:type="dxa"/>
                  </w:tcMar>
                  <w:vAlign w:val="center"/>
                </w:tcPr>
                <w:p w14:paraId="143F4C87">
                  <w:pPr>
                    <w:pStyle w:val="12"/>
                    <w:rPr>
                      <w:rFonts w:cs="Times New Roman"/>
                    </w:rPr>
                  </w:pPr>
                  <w:r>
                    <w:rPr>
                      <w:rFonts w:cs="Times New Roman"/>
                    </w:rPr>
                    <w:t>30.6</w:t>
                  </w:r>
                </w:p>
              </w:tc>
              <w:tc>
                <w:tcPr>
                  <w:tcW w:w="522" w:type="dxa"/>
                  <w:shd w:val="clear" w:color="auto" w:fill="auto"/>
                  <w:tcMar>
                    <w:top w:w="0" w:type="dxa"/>
                    <w:left w:w="0" w:type="dxa"/>
                    <w:bottom w:w="0" w:type="dxa"/>
                    <w:right w:w="0" w:type="dxa"/>
                  </w:tcMar>
                  <w:vAlign w:val="center"/>
                </w:tcPr>
                <w:p w14:paraId="33C772B5">
                  <w:pPr>
                    <w:pStyle w:val="12"/>
                    <w:rPr>
                      <w:rFonts w:cs="Times New Roman"/>
                    </w:rPr>
                  </w:pPr>
                  <w:r>
                    <w:rPr>
                      <w:rFonts w:cs="Times New Roman"/>
                    </w:rPr>
                    <w:t>38.3</w:t>
                  </w:r>
                </w:p>
              </w:tc>
              <w:tc>
                <w:tcPr>
                  <w:tcW w:w="522" w:type="dxa"/>
                  <w:shd w:val="clear" w:color="auto" w:fill="auto"/>
                  <w:tcMar>
                    <w:top w:w="0" w:type="dxa"/>
                    <w:left w:w="0" w:type="dxa"/>
                    <w:bottom w:w="0" w:type="dxa"/>
                    <w:right w:w="0" w:type="dxa"/>
                  </w:tcMar>
                  <w:vAlign w:val="center"/>
                </w:tcPr>
                <w:p w14:paraId="748F0981">
                  <w:pPr>
                    <w:pStyle w:val="12"/>
                    <w:rPr>
                      <w:rFonts w:cs="Times New Roman"/>
                    </w:rPr>
                  </w:pPr>
                  <w:r>
                    <w:rPr>
                      <w:rFonts w:cs="Times New Roman"/>
                    </w:rPr>
                    <w:t>21.9</w:t>
                  </w:r>
                </w:p>
              </w:tc>
              <w:tc>
                <w:tcPr>
                  <w:tcW w:w="638" w:type="dxa"/>
                  <w:shd w:val="clear" w:color="auto" w:fill="auto"/>
                  <w:tcMar>
                    <w:top w:w="0" w:type="dxa"/>
                    <w:left w:w="0" w:type="dxa"/>
                    <w:bottom w:w="0" w:type="dxa"/>
                    <w:right w:w="0" w:type="dxa"/>
                  </w:tcMar>
                  <w:vAlign w:val="center"/>
                </w:tcPr>
                <w:p w14:paraId="17FF7591">
                  <w:pPr>
                    <w:pStyle w:val="12"/>
                    <w:rPr>
                      <w:rFonts w:cs="Times New Roman"/>
                    </w:rPr>
                  </w:pPr>
                  <w:r>
                    <w:rPr>
                      <w:rFonts w:cs="Times New Roman"/>
                    </w:rPr>
                    <w:t>74.9</w:t>
                  </w:r>
                </w:p>
              </w:tc>
              <w:tc>
                <w:tcPr>
                  <w:tcW w:w="463" w:type="dxa"/>
                  <w:shd w:val="clear" w:color="auto" w:fill="auto"/>
                  <w:tcMar>
                    <w:top w:w="0" w:type="dxa"/>
                    <w:left w:w="0" w:type="dxa"/>
                    <w:bottom w:w="0" w:type="dxa"/>
                    <w:right w:w="0" w:type="dxa"/>
                  </w:tcMar>
                  <w:vAlign w:val="center"/>
                </w:tcPr>
                <w:p w14:paraId="2C240507">
                  <w:pPr>
                    <w:pStyle w:val="12"/>
                    <w:rPr>
                      <w:rFonts w:cs="Times New Roman"/>
                    </w:rPr>
                  </w:pPr>
                  <w:r>
                    <w:rPr>
                      <w:rFonts w:cs="Times New Roman"/>
                    </w:rPr>
                    <w:t>62.0</w:t>
                  </w:r>
                </w:p>
              </w:tc>
              <w:tc>
                <w:tcPr>
                  <w:tcW w:w="463" w:type="dxa"/>
                  <w:shd w:val="clear" w:color="auto" w:fill="auto"/>
                  <w:tcMar>
                    <w:top w:w="0" w:type="dxa"/>
                    <w:left w:w="0" w:type="dxa"/>
                    <w:bottom w:w="0" w:type="dxa"/>
                    <w:right w:w="0" w:type="dxa"/>
                  </w:tcMar>
                  <w:vAlign w:val="center"/>
                </w:tcPr>
                <w:p w14:paraId="409DAF32">
                  <w:pPr>
                    <w:pStyle w:val="12"/>
                    <w:rPr>
                      <w:rFonts w:cs="Times New Roman"/>
                    </w:rPr>
                  </w:pPr>
                  <w:r>
                    <w:rPr>
                      <w:rFonts w:cs="Times New Roman"/>
                    </w:rPr>
                    <w:t>62.0</w:t>
                  </w:r>
                </w:p>
              </w:tc>
              <w:tc>
                <w:tcPr>
                  <w:tcW w:w="463" w:type="dxa"/>
                  <w:shd w:val="clear" w:color="auto" w:fill="auto"/>
                  <w:tcMar>
                    <w:top w:w="0" w:type="dxa"/>
                    <w:left w:w="0" w:type="dxa"/>
                    <w:bottom w:w="0" w:type="dxa"/>
                    <w:right w:w="0" w:type="dxa"/>
                  </w:tcMar>
                  <w:vAlign w:val="center"/>
                </w:tcPr>
                <w:p w14:paraId="147CFFBB">
                  <w:pPr>
                    <w:pStyle w:val="12"/>
                    <w:rPr>
                      <w:rFonts w:cs="Times New Roman"/>
                    </w:rPr>
                  </w:pPr>
                  <w:r>
                    <w:rPr>
                      <w:rFonts w:cs="Times New Roman"/>
                    </w:rPr>
                    <w:t>62.0</w:t>
                  </w:r>
                </w:p>
              </w:tc>
              <w:tc>
                <w:tcPr>
                  <w:tcW w:w="492" w:type="dxa"/>
                  <w:shd w:val="clear" w:color="auto" w:fill="auto"/>
                  <w:tcMar>
                    <w:top w:w="0" w:type="dxa"/>
                    <w:left w:w="0" w:type="dxa"/>
                    <w:bottom w:w="0" w:type="dxa"/>
                    <w:right w:w="0" w:type="dxa"/>
                  </w:tcMar>
                  <w:vAlign w:val="center"/>
                </w:tcPr>
                <w:p w14:paraId="149FDB51">
                  <w:pPr>
                    <w:pStyle w:val="12"/>
                    <w:rPr>
                      <w:rFonts w:cs="Times New Roman"/>
                    </w:rPr>
                  </w:pPr>
                  <w:r>
                    <w:rPr>
                      <w:rFonts w:cs="Times New Roman"/>
                    </w:rPr>
                    <w:t>62.0</w:t>
                  </w:r>
                </w:p>
              </w:tc>
              <w:tc>
                <w:tcPr>
                  <w:tcW w:w="456" w:type="dxa"/>
                  <w:vMerge w:val="continue"/>
                  <w:shd w:val="clear" w:color="auto" w:fill="auto"/>
                  <w:tcMar>
                    <w:top w:w="0" w:type="dxa"/>
                    <w:left w:w="0" w:type="dxa"/>
                    <w:bottom w:w="0" w:type="dxa"/>
                    <w:right w:w="0" w:type="dxa"/>
                  </w:tcMar>
                  <w:vAlign w:val="center"/>
                </w:tcPr>
                <w:p w14:paraId="52D88DB9">
                  <w:pPr>
                    <w:pStyle w:val="12"/>
                    <w:rPr>
                      <w:rFonts w:cs="Times New Roman"/>
                    </w:rPr>
                  </w:pPr>
                </w:p>
              </w:tc>
              <w:tc>
                <w:tcPr>
                  <w:tcW w:w="449" w:type="dxa"/>
                  <w:shd w:val="clear" w:color="auto" w:fill="auto"/>
                  <w:tcMar>
                    <w:top w:w="0" w:type="dxa"/>
                    <w:left w:w="0" w:type="dxa"/>
                    <w:bottom w:w="0" w:type="dxa"/>
                    <w:right w:w="0" w:type="dxa"/>
                  </w:tcMar>
                  <w:vAlign w:val="center"/>
                </w:tcPr>
                <w:p w14:paraId="3DA71ACE">
                  <w:pPr>
                    <w:pStyle w:val="12"/>
                    <w:rPr>
                      <w:rFonts w:cs="Times New Roman"/>
                    </w:rPr>
                  </w:pPr>
                  <w:r>
                    <w:rPr>
                      <w:rFonts w:cs="Times New Roman"/>
                    </w:rPr>
                    <w:t>26.0</w:t>
                  </w:r>
                </w:p>
              </w:tc>
              <w:tc>
                <w:tcPr>
                  <w:tcW w:w="449" w:type="dxa"/>
                  <w:shd w:val="clear" w:color="auto" w:fill="auto"/>
                  <w:tcMar>
                    <w:top w:w="0" w:type="dxa"/>
                    <w:left w:w="0" w:type="dxa"/>
                    <w:bottom w:w="0" w:type="dxa"/>
                    <w:right w:w="0" w:type="dxa"/>
                  </w:tcMar>
                  <w:vAlign w:val="center"/>
                </w:tcPr>
                <w:p w14:paraId="68B1407C">
                  <w:pPr>
                    <w:pStyle w:val="12"/>
                    <w:rPr>
                      <w:rFonts w:cs="Times New Roman"/>
                    </w:rPr>
                  </w:pPr>
                  <w:r>
                    <w:rPr>
                      <w:rFonts w:cs="Times New Roman"/>
                    </w:rPr>
                    <w:t>26.0</w:t>
                  </w:r>
                </w:p>
              </w:tc>
              <w:tc>
                <w:tcPr>
                  <w:tcW w:w="449" w:type="dxa"/>
                  <w:shd w:val="clear" w:color="auto" w:fill="auto"/>
                  <w:tcMar>
                    <w:top w:w="0" w:type="dxa"/>
                    <w:left w:w="0" w:type="dxa"/>
                    <w:bottom w:w="0" w:type="dxa"/>
                    <w:right w:w="0" w:type="dxa"/>
                  </w:tcMar>
                  <w:vAlign w:val="center"/>
                </w:tcPr>
                <w:p w14:paraId="34B6CDE8">
                  <w:pPr>
                    <w:pStyle w:val="12"/>
                    <w:rPr>
                      <w:rFonts w:cs="Times New Roman"/>
                    </w:rPr>
                  </w:pPr>
                  <w:r>
                    <w:rPr>
                      <w:rFonts w:cs="Times New Roman"/>
                    </w:rPr>
                    <w:t>26.0</w:t>
                  </w:r>
                </w:p>
              </w:tc>
              <w:tc>
                <w:tcPr>
                  <w:tcW w:w="466" w:type="dxa"/>
                  <w:shd w:val="clear" w:color="auto" w:fill="auto"/>
                  <w:tcMar>
                    <w:top w:w="0" w:type="dxa"/>
                    <w:left w:w="0" w:type="dxa"/>
                    <w:bottom w:w="0" w:type="dxa"/>
                    <w:right w:w="0" w:type="dxa"/>
                  </w:tcMar>
                  <w:vAlign w:val="center"/>
                </w:tcPr>
                <w:p w14:paraId="3E0830E8">
                  <w:pPr>
                    <w:pStyle w:val="12"/>
                    <w:rPr>
                      <w:rFonts w:cs="Times New Roman"/>
                    </w:rPr>
                  </w:pPr>
                  <w:r>
                    <w:rPr>
                      <w:rFonts w:cs="Times New Roman"/>
                    </w:rPr>
                    <w:t>26.0</w:t>
                  </w:r>
                </w:p>
              </w:tc>
              <w:tc>
                <w:tcPr>
                  <w:tcW w:w="475" w:type="dxa"/>
                  <w:shd w:val="clear" w:color="auto" w:fill="auto"/>
                  <w:tcMar>
                    <w:top w:w="0" w:type="dxa"/>
                    <w:left w:w="0" w:type="dxa"/>
                    <w:bottom w:w="0" w:type="dxa"/>
                    <w:right w:w="0" w:type="dxa"/>
                  </w:tcMar>
                  <w:vAlign w:val="center"/>
                </w:tcPr>
                <w:p w14:paraId="0419E708">
                  <w:pPr>
                    <w:pStyle w:val="12"/>
                    <w:rPr>
                      <w:rFonts w:cs="Times New Roman"/>
                    </w:rPr>
                  </w:pPr>
                  <w:r>
                    <w:rPr>
                      <w:rFonts w:cs="Times New Roman"/>
                    </w:rPr>
                    <w:t>36.0</w:t>
                  </w:r>
                </w:p>
              </w:tc>
              <w:tc>
                <w:tcPr>
                  <w:tcW w:w="475" w:type="dxa"/>
                  <w:shd w:val="clear" w:color="auto" w:fill="auto"/>
                  <w:tcMar>
                    <w:top w:w="0" w:type="dxa"/>
                    <w:left w:w="0" w:type="dxa"/>
                    <w:bottom w:w="0" w:type="dxa"/>
                    <w:right w:w="0" w:type="dxa"/>
                  </w:tcMar>
                  <w:vAlign w:val="center"/>
                </w:tcPr>
                <w:p w14:paraId="3016024C">
                  <w:pPr>
                    <w:pStyle w:val="12"/>
                    <w:rPr>
                      <w:rFonts w:cs="Times New Roman"/>
                    </w:rPr>
                  </w:pPr>
                  <w:r>
                    <w:rPr>
                      <w:rFonts w:cs="Times New Roman"/>
                    </w:rPr>
                    <w:t>36.0</w:t>
                  </w:r>
                </w:p>
              </w:tc>
              <w:tc>
                <w:tcPr>
                  <w:tcW w:w="476" w:type="dxa"/>
                  <w:shd w:val="clear" w:color="auto" w:fill="auto"/>
                  <w:tcMar>
                    <w:top w:w="0" w:type="dxa"/>
                    <w:left w:w="0" w:type="dxa"/>
                    <w:bottom w:w="0" w:type="dxa"/>
                    <w:right w:w="0" w:type="dxa"/>
                  </w:tcMar>
                  <w:vAlign w:val="center"/>
                </w:tcPr>
                <w:p w14:paraId="32DD4D71">
                  <w:pPr>
                    <w:pStyle w:val="12"/>
                    <w:rPr>
                      <w:rFonts w:cs="Times New Roman"/>
                    </w:rPr>
                  </w:pPr>
                  <w:r>
                    <w:rPr>
                      <w:rFonts w:cs="Times New Roman"/>
                    </w:rPr>
                    <w:t>36.0</w:t>
                  </w:r>
                </w:p>
              </w:tc>
              <w:tc>
                <w:tcPr>
                  <w:tcW w:w="476" w:type="dxa"/>
                  <w:shd w:val="clear" w:color="auto" w:fill="auto"/>
                  <w:tcMar>
                    <w:top w:w="0" w:type="dxa"/>
                    <w:left w:w="0" w:type="dxa"/>
                    <w:bottom w:w="0" w:type="dxa"/>
                    <w:right w:w="0" w:type="dxa"/>
                  </w:tcMar>
                  <w:vAlign w:val="center"/>
                </w:tcPr>
                <w:p w14:paraId="352972B7">
                  <w:pPr>
                    <w:pStyle w:val="12"/>
                    <w:rPr>
                      <w:rFonts w:cs="Times New Roman"/>
                    </w:rPr>
                  </w:pPr>
                  <w:r>
                    <w:rPr>
                      <w:rFonts w:cs="Times New Roman"/>
                    </w:rPr>
                    <w:t>36.0</w:t>
                  </w:r>
                </w:p>
              </w:tc>
              <w:tc>
                <w:tcPr>
                  <w:tcW w:w="545" w:type="dxa"/>
                  <w:shd w:val="clear" w:color="auto" w:fill="auto"/>
                  <w:tcMar>
                    <w:top w:w="0" w:type="dxa"/>
                    <w:left w:w="0" w:type="dxa"/>
                    <w:bottom w:w="0" w:type="dxa"/>
                    <w:right w:w="0" w:type="dxa"/>
                  </w:tcMar>
                  <w:vAlign w:val="center"/>
                </w:tcPr>
                <w:p w14:paraId="06FD38BD">
                  <w:pPr>
                    <w:pStyle w:val="12"/>
                    <w:rPr>
                      <w:rFonts w:cs="Times New Roman"/>
                    </w:rPr>
                  </w:pPr>
                  <w:r>
                    <w:rPr>
                      <w:rFonts w:cs="Times New Roman"/>
                    </w:rPr>
                    <w:t>1</w:t>
                  </w:r>
                </w:p>
              </w:tc>
            </w:tr>
            <w:tr w14:paraId="653BA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55" w:type="dxa"/>
                  <w:shd w:val="clear" w:color="auto" w:fill="auto"/>
                  <w:tcMar>
                    <w:top w:w="0" w:type="dxa"/>
                    <w:left w:w="0" w:type="dxa"/>
                    <w:bottom w:w="0" w:type="dxa"/>
                    <w:right w:w="0" w:type="dxa"/>
                  </w:tcMar>
                  <w:vAlign w:val="center"/>
                </w:tcPr>
                <w:p w14:paraId="642FEC25">
                  <w:pPr>
                    <w:pStyle w:val="12"/>
                    <w:rPr>
                      <w:rFonts w:hint="eastAsia" w:eastAsia="宋体" w:cs="Times New Roman"/>
                      <w:lang w:val="en-US" w:eastAsia="zh-CN"/>
                    </w:rPr>
                  </w:pPr>
                  <w:r>
                    <w:rPr>
                      <w:rFonts w:cs="Times New Roman"/>
                    </w:rPr>
                    <w:t>1</w:t>
                  </w:r>
                  <w:r>
                    <w:rPr>
                      <w:rFonts w:hint="eastAsia" w:cs="Times New Roman"/>
                      <w:lang w:val="en-US" w:eastAsia="zh-CN"/>
                    </w:rPr>
                    <w:t>3</w:t>
                  </w:r>
                </w:p>
              </w:tc>
              <w:tc>
                <w:tcPr>
                  <w:tcW w:w="1076" w:type="dxa"/>
                  <w:shd w:val="clear" w:color="auto" w:fill="auto"/>
                  <w:tcMar>
                    <w:top w:w="0" w:type="dxa"/>
                    <w:left w:w="0" w:type="dxa"/>
                    <w:bottom w:w="0" w:type="dxa"/>
                    <w:right w:w="0" w:type="dxa"/>
                  </w:tcMar>
                  <w:vAlign w:val="center"/>
                </w:tcPr>
                <w:p w14:paraId="16314BE8">
                  <w:pPr>
                    <w:pStyle w:val="12"/>
                    <w:rPr>
                      <w:rFonts w:hint="eastAsia" w:eastAsia="宋体" w:cs="Times New Roman"/>
                      <w:lang w:val="en-US" w:eastAsia="zh-CN"/>
                    </w:rPr>
                  </w:pPr>
                  <w:r>
                    <w:rPr>
                      <w:rFonts w:hint="eastAsia" w:cs="Times New Roman"/>
                      <w:lang w:val="en-US" w:eastAsia="zh-CN"/>
                    </w:rPr>
                    <w:t>静压机</w:t>
                  </w:r>
                </w:p>
              </w:tc>
              <w:tc>
                <w:tcPr>
                  <w:tcW w:w="592" w:type="dxa"/>
                  <w:shd w:val="clear" w:color="auto" w:fill="auto"/>
                  <w:tcMar>
                    <w:top w:w="0" w:type="dxa"/>
                    <w:left w:w="0" w:type="dxa"/>
                    <w:bottom w:w="0" w:type="dxa"/>
                    <w:right w:w="0" w:type="dxa"/>
                  </w:tcMar>
                  <w:vAlign w:val="center"/>
                </w:tcPr>
                <w:p w14:paraId="6C3D4F61">
                  <w:pPr>
                    <w:pStyle w:val="12"/>
                    <w:rPr>
                      <w:rFonts w:hint="default" w:eastAsia="宋体" w:cs="Times New Roman"/>
                      <w:lang w:val="en-US" w:eastAsia="zh-CN"/>
                    </w:rPr>
                  </w:pPr>
                  <w:r>
                    <w:rPr>
                      <w:rFonts w:hint="eastAsia" w:cs="Times New Roman"/>
                      <w:lang w:val="en-US" w:eastAsia="zh-CN"/>
                    </w:rPr>
                    <w:t>70</w:t>
                  </w:r>
                </w:p>
              </w:tc>
              <w:tc>
                <w:tcPr>
                  <w:tcW w:w="516" w:type="dxa"/>
                  <w:vMerge w:val="continue"/>
                  <w:shd w:val="clear" w:color="auto" w:fill="auto"/>
                  <w:tcMar>
                    <w:top w:w="0" w:type="dxa"/>
                    <w:left w:w="0" w:type="dxa"/>
                    <w:bottom w:w="0" w:type="dxa"/>
                    <w:right w:w="0" w:type="dxa"/>
                  </w:tcMar>
                  <w:vAlign w:val="center"/>
                </w:tcPr>
                <w:p w14:paraId="2683F48C">
                  <w:pPr>
                    <w:pStyle w:val="12"/>
                    <w:rPr>
                      <w:rFonts w:cs="Times New Roman"/>
                    </w:rPr>
                  </w:pPr>
                </w:p>
              </w:tc>
              <w:tc>
                <w:tcPr>
                  <w:tcW w:w="554" w:type="dxa"/>
                  <w:shd w:val="clear" w:color="auto" w:fill="auto"/>
                  <w:tcMar>
                    <w:top w:w="0" w:type="dxa"/>
                    <w:left w:w="0" w:type="dxa"/>
                    <w:bottom w:w="0" w:type="dxa"/>
                    <w:right w:w="0" w:type="dxa"/>
                  </w:tcMar>
                  <w:vAlign w:val="center"/>
                </w:tcPr>
                <w:p w14:paraId="398A504E">
                  <w:pPr>
                    <w:pStyle w:val="12"/>
                    <w:rPr>
                      <w:rFonts w:cs="Times New Roman"/>
                    </w:rPr>
                  </w:pPr>
                  <w:r>
                    <w:rPr>
                      <w:rFonts w:cs="Times New Roman"/>
                    </w:rPr>
                    <w:t>-27</w:t>
                  </w:r>
                </w:p>
              </w:tc>
              <w:tc>
                <w:tcPr>
                  <w:tcW w:w="554" w:type="dxa"/>
                  <w:shd w:val="clear" w:color="auto" w:fill="auto"/>
                  <w:tcMar>
                    <w:top w:w="0" w:type="dxa"/>
                    <w:left w:w="0" w:type="dxa"/>
                    <w:bottom w:w="0" w:type="dxa"/>
                    <w:right w:w="0" w:type="dxa"/>
                  </w:tcMar>
                  <w:vAlign w:val="center"/>
                </w:tcPr>
                <w:p w14:paraId="34937B04">
                  <w:pPr>
                    <w:pStyle w:val="12"/>
                    <w:rPr>
                      <w:rFonts w:cs="Times New Roman"/>
                    </w:rPr>
                  </w:pPr>
                  <w:r>
                    <w:rPr>
                      <w:rFonts w:cs="Times New Roman"/>
                    </w:rPr>
                    <w:t>-9.2</w:t>
                  </w:r>
                </w:p>
              </w:tc>
              <w:tc>
                <w:tcPr>
                  <w:tcW w:w="583" w:type="dxa"/>
                  <w:shd w:val="clear" w:color="auto" w:fill="auto"/>
                  <w:tcMar>
                    <w:top w:w="0" w:type="dxa"/>
                    <w:left w:w="0" w:type="dxa"/>
                    <w:bottom w:w="0" w:type="dxa"/>
                    <w:right w:w="0" w:type="dxa"/>
                  </w:tcMar>
                  <w:vAlign w:val="center"/>
                </w:tcPr>
                <w:p w14:paraId="18DB6890">
                  <w:pPr>
                    <w:pStyle w:val="12"/>
                    <w:rPr>
                      <w:rFonts w:hint="default" w:eastAsia="宋体" w:cs="Times New Roman"/>
                      <w:lang w:val="en-US" w:eastAsia="zh-CN"/>
                    </w:rPr>
                  </w:pPr>
                  <w:r>
                    <w:rPr>
                      <w:rFonts w:hint="eastAsia" w:cs="Times New Roman"/>
                      <w:lang w:val="en-US" w:eastAsia="zh-CN"/>
                    </w:rPr>
                    <w:t>1.5</w:t>
                  </w:r>
                </w:p>
              </w:tc>
              <w:tc>
                <w:tcPr>
                  <w:tcW w:w="522" w:type="dxa"/>
                  <w:shd w:val="clear" w:color="auto" w:fill="auto"/>
                  <w:tcMar>
                    <w:top w:w="0" w:type="dxa"/>
                    <w:left w:w="0" w:type="dxa"/>
                    <w:bottom w:w="0" w:type="dxa"/>
                    <w:right w:w="0" w:type="dxa"/>
                  </w:tcMar>
                  <w:vAlign w:val="center"/>
                </w:tcPr>
                <w:p w14:paraId="35E6FBA1">
                  <w:pPr>
                    <w:pStyle w:val="12"/>
                    <w:rPr>
                      <w:rFonts w:cs="Times New Roman"/>
                    </w:rPr>
                  </w:pPr>
                  <w:r>
                    <w:rPr>
                      <w:rFonts w:cs="Times New Roman"/>
                    </w:rPr>
                    <w:t>30.5</w:t>
                  </w:r>
                </w:p>
              </w:tc>
              <w:tc>
                <w:tcPr>
                  <w:tcW w:w="522" w:type="dxa"/>
                  <w:shd w:val="clear" w:color="auto" w:fill="auto"/>
                  <w:tcMar>
                    <w:top w:w="0" w:type="dxa"/>
                    <w:left w:w="0" w:type="dxa"/>
                    <w:bottom w:w="0" w:type="dxa"/>
                    <w:right w:w="0" w:type="dxa"/>
                  </w:tcMar>
                  <w:vAlign w:val="center"/>
                </w:tcPr>
                <w:p w14:paraId="6868A872">
                  <w:pPr>
                    <w:pStyle w:val="12"/>
                    <w:rPr>
                      <w:rFonts w:cs="Times New Roman"/>
                    </w:rPr>
                  </w:pPr>
                  <w:r>
                    <w:rPr>
                      <w:rFonts w:cs="Times New Roman"/>
                    </w:rPr>
                    <w:t>51.5</w:t>
                  </w:r>
                </w:p>
              </w:tc>
              <w:tc>
                <w:tcPr>
                  <w:tcW w:w="522" w:type="dxa"/>
                  <w:shd w:val="clear" w:color="auto" w:fill="auto"/>
                  <w:tcMar>
                    <w:top w:w="0" w:type="dxa"/>
                    <w:left w:w="0" w:type="dxa"/>
                    <w:bottom w:w="0" w:type="dxa"/>
                    <w:right w:w="0" w:type="dxa"/>
                  </w:tcMar>
                  <w:vAlign w:val="center"/>
                </w:tcPr>
                <w:p w14:paraId="79B0BBDB">
                  <w:pPr>
                    <w:pStyle w:val="12"/>
                    <w:rPr>
                      <w:rFonts w:cs="Times New Roman"/>
                    </w:rPr>
                  </w:pPr>
                  <w:r>
                    <w:rPr>
                      <w:rFonts w:cs="Times New Roman"/>
                    </w:rPr>
                    <w:t>21.9</w:t>
                  </w:r>
                </w:p>
              </w:tc>
              <w:tc>
                <w:tcPr>
                  <w:tcW w:w="638" w:type="dxa"/>
                  <w:shd w:val="clear" w:color="auto" w:fill="auto"/>
                  <w:tcMar>
                    <w:top w:w="0" w:type="dxa"/>
                    <w:left w:w="0" w:type="dxa"/>
                    <w:bottom w:w="0" w:type="dxa"/>
                    <w:right w:w="0" w:type="dxa"/>
                  </w:tcMar>
                  <w:vAlign w:val="center"/>
                </w:tcPr>
                <w:p w14:paraId="3530831B">
                  <w:pPr>
                    <w:pStyle w:val="12"/>
                    <w:rPr>
                      <w:rFonts w:cs="Times New Roman"/>
                    </w:rPr>
                  </w:pPr>
                  <w:r>
                    <w:rPr>
                      <w:rFonts w:cs="Times New Roman"/>
                    </w:rPr>
                    <w:t>61.7</w:t>
                  </w:r>
                </w:p>
              </w:tc>
              <w:tc>
                <w:tcPr>
                  <w:tcW w:w="463" w:type="dxa"/>
                  <w:shd w:val="clear" w:color="auto" w:fill="auto"/>
                  <w:tcMar>
                    <w:top w:w="0" w:type="dxa"/>
                    <w:left w:w="0" w:type="dxa"/>
                    <w:bottom w:w="0" w:type="dxa"/>
                    <w:right w:w="0" w:type="dxa"/>
                  </w:tcMar>
                  <w:vAlign w:val="center"/>
                </w:tcPr>
                <w:p w14:paraId="2B6F4440">
                  <w:pPr>
                    <w:pStyle w:val="12"/>
                    <w:rPr>
                      <w:rFonts w:cs="Times New Roman"/>
                    </w:rPr>
                  </w:pPr>
                  <w:r>
                    <w:rPr>
                      <w:rFonts w:cs="Times New Roman"/>
                    </w:rPr>
                    <w:t>52.0</w:t>
                  </w:r>
                </w:p>
              </w:tc>
              <w:tc>
                <w:tcPr>
                  <w:tcW w:w="463" w:type="dxa"/>
                  <w:shd w:val="clear" w:color="auto" w:fill="auto"/>
                  <w:tcMar>
                    <w:top w:w="0" w:type="dxa"/>
                    <w:left w:w="0" w:type="dxa"/>
                    <w:bottom w:w="0" w:type="dxa"/>
                    <w:right w:w="0" w:type="dxa"/>
                  </w:tcMar>
                  <w:vAlign w:val="center"/>
                </w:tcPr>
                <w:p w14:paraId="6121495D">
                  <w:pPr>
                    <w:pStyle w:val="12"/>
                    <w:rPr>
                      <w:rFonts w:cs="Times New Roman"/>
                    </w:rPr>
                  </w:pPr>
                  <w:r>
                    <w:rPr>
                      <w:rFonts w:cs="Times New Roman"/>
                    </w:rPr>
                    <w:t>52.0</w:t>
                  </w:r>
                </w:p>
              </w:tc>
              <w:tc>
                <w:tcPr>
                  <w:tcW w:w="463" w:type="dxa"/>
                  <w:shd w:val="clear" w:color="auto" w:fill="auto"/>
                  <w:tcMar>
                    <w:top w:w="0" w:type="dxa"/>
                    <w:left w:w="0" w:type="dxa"/>
                    <w:bottom w:w="0" w:type="dxa"/>
                    <w:right w:w="0" w:type="dxa"/>
                  </w:tcMar>
                  <w:vAlign w:val="center"/>
                </w:tcPr>
                <w:p w14:paraId="2624D856">
                  <w:pPr>
                    <w:pStyle w:val="12"/>
                    <w:rPr>
                      <w:rFonts w:cs="Times New Roman"/>
                    </w:rPr>
                  </w:pPr>
                  <w:r>
                    <w:rPr>
                      <w:rFonts w:cs="Times New Roman"/>
                    </w:rPr>
                    <w:t>52.0</w:t>
                  </w:r>
                </w:p>
              </w:tc>
              <w:tc>
                <w:tcPr>
                  <w:tcW w:w="492" w:type="dxa"/>
                  <w:shd w:val="clear" w:color="auto" w:fill="auto"/>
                  <w:tcMar>
                    <w:top w:w="0" w:type="dxa"/>
                    <w:left w:w="0" w:type="dxa"/>
                    <w:bottom w:w="0" w:type="dxa"/>
                    <w:right w:w="0" w:type="dxa"/>
                  </w:tcMar>
                  <w:vAlign w:val="center"/>
                </w:tcPr>
                <w:p w14:paraId="3D2CDDA1">
                  <w:pPr>
                    <w:pStyle w:val="12"/>
                    <w:rPr>
                      <w:rFonts w:cs="Times New Roman"/>
                    </w:rPr>
                  </w:pPr>
                  <w:r>
                    <w:rPr>
                      <w:rFonts w:cs="Times New Roman"/>
                    </w:rPr>
                    <w:t>52.0</w:t>
                  </w:r>
                </w:p>
              </w:tc>
              <w:tc>
                <w:tcPr>
                  <w:tcW w:w="456" w:type="dxa"/>
                  <w:vMerge w:val="continue"/>
                  <w:shd w:val="clear" w:color="auto" w:fill="auto"/>
                  <w:tcMar>
                    <w:top w:w="0" w:type="dxa"/>
                    <w:left w:w="0" w:type="dxa"/>
                    <w:bottom w:w="0" w:type="dxa"/>
                    <w:right w:w="0" w:type="dxa"/>
                  </w:tcMar>
                  <w:vAlign w:val="center"/>
                </w:tcPr>
                <w:p w14:paraId="2DB3902B">
                  <w:pPr>
                    <w:pStyle w:val="12"/>
                    <w:rPr>
                      <w:rFonts w:cs="Times New Roman"/>
                    </w:rPr>
                  </w:pPr>
                </w:p>
              </w:tc>
              <w:tc>
                <w:tcPr>
                  <w:tcW w:w="449" w:type="dxa"/>
                  <w:shd w:val="clear" w:color="auto" w:fill="auto"/>
                  <w:tcMar>
                    <w:top w:w="0" w:type="dxa"/>
                    <w:left w:w="0" w:type="dxa"/>
                    <w:bottom w:w="0" w:type="dxa"/>
                    <w:right w:w="0" w:type="dxa"/>
                  </w:tcMar>
                  <w:vAlign w:val="center"/>
                </w:tcPr>
                <w:p w14:paraId="384F04D0">
                  <w:pPr>
                    <w:pStyle w:val="12"/>
                    <w:rPr>
                      <w:rFonts w:cs="Times New Roman"/>
                    </w:rPr>
                  </w:pPr>
                  <w:r>
                    <w:rPr>
                      <w:rFonts w:cs="Times New Roman"/>
                    </w:rPr>
                    <w:t>26.0</w:t>
                  </w:r>
                </w:p>
              </w:tc>
              <w:tc>
                <w:tcPr>
                  <w:tcW w:w="449" w:type="dxa"/>
                  <w:shd w:val="clear" w:color="auto" w:fill="auto"/>
                  <w:tcMar>
                    <w:top w:w="0" w:type="dxa"/>
                    <w:left w:w="0" w:type="dxa"/>
                    <w:bottom w:w="0" w:type="dxa"/>
                    <w:right w:w="0" w:type="dxa"/>
                  </w:tcMar>
                  <w:vAlign w:val="center"/>
                </w:tcPr>
                <w:p w14:paraId="4D9F08AD">
                  <w:pPr>
                    <w:pStyle w:val="12"/>
                    <w:rPr>
                      <w:rFonts w:cs="Times New Roman"/>
                    </w:rPr>
                  </w:pPr>
                  <w:r>
                    <w:rPr>
                      <w:rFonts w:cs="Times New Roman"/>
                    </w:rPr>
                    <w:t>26.0</w:t>
                  </w:r>
                </w:p>
              </w:tc>
              <w:tc>
                <w:tcPr>
                  <w:tcW w:w="449" w:type="dxa"/>
                  <w:shd w:val="clear" w:color="auto" w:fill="auto"/>
                  <w:tcMar>
                    <w:top w:w="0" w:type="dxa"/>
                    <w:left w:w="0" w:type="dxa"/>
                    <w:bottom w:w="0" w:type="dxa"/>
                    <w:right w:w="0" w:type="dxa"/>
                  </w:tcMar>
                  <w:vAlign w:val="center"/>
                </w:tcPr>
                <w:p w14:paraId="320D8CC2">
                  <w:pPr>
                    <w:pStyle w:val="12"/>
                    <w:rPr>
                      <w:rFonts w:cs="Times New Roman"/>
                    </w:rPr>
                  </w:pPr>
                  <w:r>
                    <w:rPr>
                      <w:rFonts w:cs="Times New Roman"/>
                    </w:rPr>
                    <w:t>26.0</w:t>
                  </w:r>
                </w:p>
              </w:tc>
              <w:tc>
                <w:tcPr>
                  <w:tcW w:w="466" w:type="dxa"/>
                  <w:shd w:val="clear" w:color="auto" w:fill="auto"/>
                  <w:tcMar>
                    <w:top w:w="0" w:type="dxa"/>
                    <w:left w:w="0" w:type="dxa"/>
                    <w:bottom w:w="0" w:type="dxa"/>
                    <w:right w:w="0" w:type="dxa"/>
                  </w:tcMar>
                  <w:vAlign w:val="center"/>
                </w:tcPr>
                <w:p w14:paraId="39FD58D1">
                  <w:pPr>
                    <w:pStyle w:val="12"/>
                    <w:rPr>
                      <w:rFonts w:cs="Times New Roman"/>
                    </w:rPr>
                  </w:pPr>
                  <w:r>
                    <w:rPr>
                      <w:rFonts w:cs="Times New Roman"/>
                    </w:rPr>
                    <w:t>26.0</w:t>
                  </w:r>
                </w:p>
              </w:tc>
              <w:tc>
                <w:tcPr>
                  <w:tcW w:w="475" w:type="dxa"/>
                  <w:shd w:val="clear" w:color="auto" w:fill="auto"/>
                  <w:tcMar>
                    <w:top w:w="0" w:type="dxa"/>
                    <w:left w:w="0" w:type="dxa"/>
                    <w:bottom w:w="0" w:type="dxa"/>
                    <w:right w:w="0" w:type="dxa"/>
                  </w:tcMar>
                  <w:vAlign w:val="center"/>
                </w:tcPr>
                <w:p w14:paraId="322D633F">
                  <w:pPr>
                    <w:pStyle w:val="12"/>
                    <w:rPr>
                      <w:rFonts w:cs="Times New Roman"/>
                    </w:rPr>
                  </w:pPr>
                  <w:r>
                    <w:rPr>
                      <w:rFonts w:cs="Times New Roman"/>
                    </w:rPr>
                    <w:t>26.0</w:t>
                  </w:r>
                </w:p>
              </w:tc>
              <w:tc>
                <w:tcPr>
                  <w:tcW w:w="475" w:type="dxa"/>
                  <w:shd w:val="clear" w:color="auto" w:fill="auto"/>
                  <w:tcMar>
                    <w:top w:w="0" w:type="dxa"/>
                    <w:left w:w="0" w:type="dxa"/>
                    <w:bottom w:w="0" w:type="dxa"/>
                    <w:right w:w="0" w:type="dxa"/>
                  </w:tcMar>
                  <w:vAlign w:val="center"/>
                </w:tcPr>
                <w:p w14:paraId="61A16B84">
                  <w:pPr>
                    <w:pStyle w:val="12"/>
                    <w:rPr>
                      <w:rFonts w:cs="Times New Roman"/>
                    </w:rPr>
                  </w:pPr>
                  <w:r>
                    <w:rPr>
                      <w:rFonts w:cs="Times New Roman"/>
                    </w:rPr>
                    <w:t>26.0</w:t>
                  </w:r>
                </w:p>
              </w:tc>
              <w:tc>
                <w:tcPr>
                  <w:tcW w:w="476" w:type="dxa"/>
                  <w:shd w:val="clear" w:color="auto" w:fill="auto"/>
                  <w:tcMar>
                    <w:top w:w="0" w:type="dxa"/>
                    <w:left w:w="0" w:type="dxa"/>
                    <w:bottom w:w="0" w:type="dxa"/>
                    <w:right w:w="0" w:type="dxa"/>
                  </w:tcMar>
                  <w:vAlign w:val="center"/>
                </w:tcPr>
                <w:p w14:paraId="70FD50A8">
                  <w:pPr>
                    <w:pStyle w:val="12"/>
                    <w:rPr>
                      <w:rFonts w:cs="Times New Roman"/>
                    </w:rPr>
                  </w:pPr>
                  <w:r>
                    <w:rPr>
                      <w:rFonts w:cs="Times New Roman"/>
                    </w:rPr>
                    <w:t>26.0</w:t>
                  </w:r>
                </w:p>
              </w:tc>
              <w:tc>
                <w:tcPr>
                  <w:tcW w:w="476" w:type="dxa"/>
                  <w:shd w:val="clear" w:color="auto" w:fill="auto"/>
                  <w:tcMar>
                    <w:top w:w="0" w:type="dxa"/>
                    <w:left w:w="0" w:type="dxa"/>
                    <w:bottom w:w="0" w:type="dxa"/>
                    <w:right w:w="0" w:type="dxa"/>
                  </w:tcMar>
                  <w:vAlign w:val="center"/>
                </w:tcPr>
                <w:p w14:paraId="56692532">
                  <w:pPr>
                    <w:pStyle w:val="12"/>
                    <w:rPr>
                      <w:rFonts w:cs="Times New Roman"/>
                    </w:rPr>
                  </w:pPr>
                  <w:r>
                    <w:rPr>
                      <w:rFonts w:cs="Times New Roman"/>
                    </w:rPr>
                    <w:t>26.0</w:t>
                  </w:r>
                </w:p>
              </w:tc>
              <w:tc>
                <w:tcPr>
                  <w:tcW w:w="545" w:type="dxa"/>
                  <w:shd w:val="clear" w:color="auto" w:fill="auto"/>
                  <w:tcMar>
                    <w:top w:w="0" w:type="dxa"/>
                    <w:left w:w="0" w:type="dxa"/>
                    <w:bottom w:w="0" w:type="dxa"/>
                    <w:right w:w="0" w:type="dxa"/>
                  </w:tcMar>
                  <w:vAlign w:val="center"/>
                </w:tcPr>
                <w:p w14:paraId="3986ADD5">
                  <w:pPr>
                    <w:pStyle w:val="12"/>
                    <w:rPr>
                      <w:rFonts w:cs="Times New Roman"/>
                    </w:rPr>
                  </w:pPr>
                  <w:r>
                    <w:rPr>
                      <w:rFonts w:cs="Times New Roman"/>
                    </w:rPr>
                    <w:t>1</w:t>
                  </w:r>
                </w:p>
              </w:tc>
            </w:tr>
            <w:tr w14:paraId="0B0C4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5" w:type="dxa"/>
                  <w:shd w:val="clear" w:color="auto" w:fill="auto"/>
                  <w:tcMar>
                    <w:top w:w="0" w:type="dxa"/>
                    <w:left w:w="0" w:type="dxa"/>
                    <w:bottom w:w="0" w:type="dxa"/>
                    <w:right w:w="0" w:type="dxa"/>
                  </w:tcMar>
                  <w:vAlign w:val="center"/>
                </w:tcPr>
                <w:p w14:paraId="6C0792E2">
                  <w:pPr>
                    <w:pStyle w:val="12"/>
                    <w:rPr>
                      <w:rFonts w:hint="eastAsia" w:eastAsia="宋体" w:cs="Times New Roman"/>
                      <w:lang w:val="en-US" w:eastAsia="zh-CN"/>
                    </w:rPr>
                  </w:pPr>
                  <w:r>
                    <w:rPr>
                      <w:rFonts w:cs="Times New Roman"/>
                    </w:rPr>
                    <w:t>1</w:t>
                  </w:r>
                  <w:r>
                    <w:rPr>
                      <w:rFonts w:hint="eastAsia" w:cs="Times New Roman"/>
                      <w:lang w:val="en-US" w:eastAsia="zh-CN"/>
                    </w:rPr>
                    <w:t>4</w:t>
                  </w:r>
                </w:p>
              </w:tc>
              <w:tc>
                <w:tcPr>
                  <w:tcW w:w="1076" w:type="dxa"/>
                  <w:shd w:val="clear" w:color="auto" w:fill="auto"/>
                  <w:tcMar>
                    <w:top w:w="0" w:type="dxa"/>
                    <w:left w:w="0" w:type="dxa"/>
                    <w:bottom w:w="0" w:type="dxa"/>
                    <w:right w:w="0" w:type="dxa"/>
                  </w:tcMar>
                  <w:vAlign w:val="center"/>
                </w:tcPr>
                <w:p w14:paraId="6FCD9114">
                  <w:pPr>
                    <w:pStyle w:val="12"/>
                    <w:rPr>
                      <w:rFonts w:hint="default" w:eastAsia="宋体" w:cs="Times New Roman"/>
                      <w:lang w:val="en-US" w:eastAsia="zh-CN"/>
                    </w:rPr>
                  </w:pPr>
                  <w:r>
                    <w:rPr>
                      <w:rFonts w:hint="eastAsia" w:cs="Times New Roman"/>
                      <w:lang w:val="en-US" w:eastAsia="zh-CN"/>
                    </w:rPr>
                    <w:t>叠码机</w:t>
                  </w:r>
                </w:p>
              </w:tc>
              <w:tc>
                <w:tcPr>
                  <w:tcW w:w="592" w:type="dxa"/>
                  <w:shd w:val="clear" w:color="auto" w:fill="auto"/>
                  <w:tcMar>
                    <w:top w:w="0" w:type="dxa"/>
                    <w:left w:w="0" w:type="dxa"/>
                    <w:bottom w:w="0" w:type="dxa"/>
                    <w:right w:w="0" w:type="dxa"/>
                  </w:tcMar>
                  <w:vAlign w:val="center"/>
                </w:tcPr>
                <w:p w14:paraId="10D07FF4">
                  <w:pPr>
                    <w:pStyle w:val="12"/>
                    <w:rPr>
                      <w:rFonts w:hint="default" w:eastAsia="宋体" w:cs="Times New Roman"/>
                      <w:lang w:val="en-US" w:eastAsia="zh-CN"/>
                    </w:rPr>
                  </w:pPr>
                  <w:r>
                    <w:rPr>
                      <w:rFonts w:hint="eastAsia" w:cs="Times New Roman"/>
                      <w:lang w:val="en-US" w:eastAsia="zh-CN"/>
                    </w:rPr>
                    <w:t>75</w:t>
                  </w:r>
                </w:p>
              </w:tc>
              <w:tc>
                <w:tcPr>
                  <w:tcW w:w="516" w:type="dxa"/>
                  <w:vMerge w:val="continue"/>
                  <w:shd w:val="clear" w:color="auto" w:fill="auto"/>
                  <w:tcMar>
                    <w:top w:w="0" w:type="dxa"/>
                    <w:left w:w="0" w:type="dxa"/>
                    <w:bottom w:w="0" w:type="dxa"/>
                    <w:right w:w="0" w:type="dxa"/>
                  </w:tcMar>
                  <w:vAlign w:val="center"/>
                </w:tcPr>
                <w:p w14:paraId="336A44D2">
                  <w:pPr>
                    <w:pStyle w:val="12"/>
                    <w:rPr>
                      <w:rFonts w:cs="Times New Roman"/>
                    </w:rPr>
                  </w:pPr>
                </w:p>
              </w:tc>
              <w:tc>
                <w:tcPr>
                  <w:tcW w:w="554" w:type="dxa"/>
                  <w:shd w:val="clear" w:color="auto" w:fill="auto"/>
                  <w:tcMar>
                    <w:top w:w="0" w:type="dxa"/>
                    <w:left w:w="0" w:type="dxa"/>
                    <w:bottom w:w="0" w:type="dxa"/>
                    <w:right w:w="0" w:type="dxa"/>
                  </w:tcMar>
                  <w:vAlign w:val="center"/>
                </w:tcPr>
                <w:p w14:paraId="65B767BD">
                  <w:pPr>
                    <w:pStyle w:val="12"/>
                    <w:rPr>
                      <w:rFonts w:cs="Times New Roman"/>
                    </w:rPr>
                  </w:pPr>
                  <w:r>
                    <w:rPr>
                      <w:rFonts w:cs="Times New Roman"/>
                    </w:rPr>
                    <w:t>-16.3</w:t>
                  </w:r>
                </w:p>
              </w:tc>
              <w:tc>
                <w:tcPr>
                  <w:tcW w:w="554" w:type="dxa"/>
                  <w:shd w:val="clear" w:color="auto" w:fill="auto"/>
                  <w:tcMar>
                    <w:top w:w="0" w:type="dxa"/>
                    <w:left w:w="0" w:type="dxa"/>
                    <w:bottom w:w="0" w:type="dxa"/>
                    <w:right w:w="0" w:type="dxa"/>
                  </w:tcMar>
                  <w:vAlign w:val="center"/>
                </w:tcPr>
                <w:p w14:paraId="3AA3213C">
                  <w:pPr>
                    <w:pStyle w:val="12"/>
                    <w:rPr>
                      <w:rFonts w:cs="Times New Roman"/>
                    </w:rPr>
                  </w:pPr>
                  <w:r>
                    <w:rPr>
                      <w:rFonts w:cs="Times New Roman"/>
                    </w:rPr>
                    <w:t>-3.6</w:t>
                  </w:r>
                </w:p>
              </w:tc>
              <w:tc>
                <w:tcPr>
                  <w:tcW w:w="583" w:type="dxa"/>
                  <w:shd w:val="clear" w:color="auto" w:fill="auto"/>
                  <w:tcMar>
                    <w:top w:w="0" w:type="dxa"/>
                    <w:left w:w="0" w:type="dxa"/>
                    <w:bottom w:w="0" w:type="dxa"/>
                    <w:right w:w="0" w:type="dxa"/>
                  </w:tcMar>
                  <w:vAlign w:val="center"/>
                </w:tcPr>
                <w:p w14:paraId="77BF6BBD">
                  <w:pPr>
                    <w:pStyle w:val="12"/>
                    <w:rPr>
                      <w:rFonts w:hint="default" w:eastAsia="宋体" w:cs="Times New Roman"/>
                      <w:lang w:val="en-US" w:eastAsia="zh-CN"/>
                    </w:rPr>
                  </w:pPr>
                  <w:r>
                    <w:rPr>
                      <w:rFonts w:hint="eastAsia" w:cs="Times New Roman"/>
                      <w:lang w:val="en-US" w:eastAsia="zh-CN"/>
                    </w:rPr>
                    <w:t>1.5</w:t>
                  </w:r>
                </w:p>
              </w:tc>
              <w:tc>
                <w:tcPr>
                  <w:tcW w:w="522" w:type="dxa"/>
                  <w:shd w:val="clear" w:color="auto" w:fill="auto"/>
                  <w:tcMar>
                    <w:top w:w="0" w:type="dxa"/>
                    <w:left w:w="0" w:type="dxa"/>
                    <w:bottom w:w="0" w:type="dxa"/>
                    <w:right w:w="0" w:type="dxa"/>
                  </w:tcMar>
                  <w:vAlign w:val="center"/>
                </w:tcPr>
                <w:p w14:paraId="78A8645D">
                  <w:pPr>
                    <w:pStyle w:val="12"/>
                    <w:rPr>
                      <w:rFonts w:cs="Times New Roman"/>
                    </w:rPr>
                  </w:pPr>
                  <w:r>
                    <w:rPr>
                      <w:rFonts w:cs="Times New Roman"/>
                    </w:rPr>
                    <w:t>18.4</w:t>
                  </w:r>
                </w:p>
              </w:tc>
              <w:tc>
                <w:tcPr>
                  <w:tcW w:w="522" w:type="dxa"/>
                  <w:shd w:val="clear" w:color="auto" w:fill="auto"/>
                  <w:tcMar>
                    <w:top w:w="0" w:type="dxa"/>
                    <w:left w:w="0" w:type="dxa"/>
                    <w:bottom w:w="0" w:type="dxa"/>
                    <w:right w:w="0" w:type="dxa"/>
                  </w:tcMar>
                  <w:vAlign w:val="center"/>
                </w:tcPr>
                <w:p w14:paraId="3D62BCB5">
                  <w:pPr>
                    <w:pStyle w:val="12"/>
                    <w:rPr>
                      <w:rFonts w:cs="Times New Roman"/>
                    </w:rPr>
                  </w:pPr>
                  <w:r>
                    <w:rPr>
                      <w:rFonts w:cs="Times New Roman"/>
                    </w:rPr>
                    <w:t>51.3</w:t>
                  </w:r>
                </w:p>
              </w:tc>
              <w:tc>
                <w:tcPr>
                  <w:tcW w:w="522" w:type="dxa"/>
                  <w:shd w:val="clear" w:color="auto" w:fill="auto"/>
                  <w:tcMar>
                    <w:top w:w="0" w:type="dxa"/>
                    <w:left w:w="0" w:type="dxa"/>
                    <w:bottom w:w="0" w:type="dxa"/>
                    <w:right w:w="0" w:type="dxa"/>
                  </w:tcMar>
                  <w:vAlign w:val="center"/>
                </w:tcPr>
                <w:p w14:paraId="7E6C2F6F">
                  <w:pPr>
                    <w:pStyle w:val="12"/>
                    <w:rPr>
                      <w:rFonts w:cs="Times New Roman"/>
                    </w:rPr>
                  </w:pPr>
                  <w:r>
                    <w:rPr>
                      <w:rFonts w:cs="Times New Roman"/>
                    </w:rPr>
                    <w:t>33.9</w:t>
                  </w:r>
                </w:p>
              </w:tc>
              <w:tc>
                <w:tcPr>
                  <w:tcW w:w="638" w:type="dxa"/>
                  <w:shd w:val="clear" w:color="auto" w:fill="auto"/>
                  <w:tcMar>
                    <w:top w:w="0" w:type="dxa"/>
                    <w:left w:w="0" w:type="dxa"/>
                    <w:bottom w:w="0" w:type="dxa"/>
                    <w:right w:w="0" w:type="dxa"/>
                  </w:tcMar>
                  <w:vAlign w:val="center"/>
                </w:tcPr>
                <w:p w14:paraId="5BE5B121">
                  <w:pPr>
                    <w:pStyle w:val="12"/>
                    <w:rPr>
                      <w:rFonts w:cs="Times New Roman"/>
                    </w:rPr>
                  </w:pPr>
                  <w:r>
                    <w:rPr>
                      <w:rFonts w:cs="Times New Roman"/>
                    </w:rPr>
                    <w:t>61.9</w:t>
                  </w:r>
                </w:p>
              </w:tc>
              <w:tc>
                <w:tcPr>
                  <w:tcW w:w="463" w:type="dxa"/>
                  <w:shd w:val="clear" w:color="auto" w:fill="auto"/>
                  <w:tcMar>
                    <w:top w:w="0" w:type="dxa"/>
                    <w:left w:w="0" w:type="dxa"/>
                    <w:bottom w:w="0" w:type="dxa"/>
                    <w:right w:w="0" w:type="dxa"/>
                  </w:tcMar>
                  <w:vAlign w:val="center"/>
                </w:tcPr>
                <w:p w14:paraId="3862CD3A">
                  <w:pPr>
                    <w:pStyle w:val="12"/>
                    <w:rPr>
                      <w:rFonts w:cs="Times New Roman"/>
                    </w:rPr>
                  </w:pPr>
                  <w:r>
                    <w:rPr>
                      <w:rFonts w:cs="Times New Roman"/>
                    </w:rPr>
                    <w:t>57.0</w:t>
                  </w:r>
                </w:p>
              </w:tc>
              <w:tc>
                <w:tcPr>
                  <w:tcW w:w="463" w:type="dxa"/>
                  <w:shd w:val="clear" w:color="auto" w:fill="auto"/>
                  <w:tcMar>
                    <w:top w:w="0" w:type="dxa"/>
                    <w:left w:w="0" w:type="dxa"/>
                    <w:bottom w:w="0" w:type="dxa"/>
                    <w:right w:w="0" w:type="dxa"/>
                  </w:tcMar>
                  <w:vAlign w:val="center"/>
                </w:tcPr>
                <w:p w14:paraId="25D8F4E2">
                  <w:pPr>
                    <w:pStyle w:val="12"/>
                    <w:rPr>
                      <w:rFonts w:cs="Times New Roman"/>
                    </w:rPr>
                  </w:pPr>
                  <w:r>
                    <w:rPr>
                      <w:rFonts w:cs="Times New Roman"/>
                    </w:rPr>
                    <w:t>57.0</w:t>
                  </w:r>
                </w:p>
              </w:tc>
              <w:tc>
                <w:tcPr>
                  <w:tcW w:w="463" w:type="dxa"/>
                  <w:shd w:val="clear" w:color="auto" w:fill="auto"/>
                  <w:tcMar>
                    <w:top w:w="0" w:type="dxa"/>
                    <w:left w:w="0" w:type="dxa"/>
                    <w:bottom w:w="0" w:type="dxa"/>
                    <w:right w:w="0" w:type="dxa"/>
                  </w:tcMar>
                  <w:vAlign w:val="center"/>
                </w:tcPr>
                <w:p w14:paraId="3820EC3D">
                  <w:pPr>
                    <w:pStyle w:val="12"/>
                    <w:rPr>
                      <w:rFonts w:cs="Times New Roman"/>
                    </w:rPr>
                  </w:pPr>
                  <w:r>
                    <w:rPr>
                      <w:rFonts w:cs="Times New Roman"/>
                    </w:rPr>
                    <w:t>57.0</w:t>
                  </w:r>
                </w:p>
              </w:tc>
              <w:tc>
                <w:tcPr>
                  <w:tcW w:w="492" w:type="dxa"/>
                  <w:shd w:val="clear" w:color="auto" w:fill="auto"/>
                  <w:tcMar>
                    <w:top w:w="0" w:type="dxa"/>
                    <w:left w:w="0" w:type="dxa"/>
                    <w:bottom w:w="0" w:type="dxa"/>
                    <w:right w:w="0" w:type="dxa"/>
                  </w:tcMar>
                  <w:vAlign w:val="center"/>
                </w:tcPr>
                <w:p w14:paraId="53BEF880">
                  <w:pPr>
                    <w:pStyle w:val="12"/>
                    <w:rPr>
                      <w:rFonts w:cs="Times New Roman"/>
                    </w:rPr>
                  </w:pPr>
                  <w:r>
                    <w:rPr>
                      <w:rFonts w:cs="Times New Roman"/>
                    </w:rPr>
                    <w:t>57.0</w:t>
                  </w:r>
                </w:p>
              </w:tc>
              <w:tc>
                <w:tcPr>
                  <w:tcW w:w="456" w:type="dxa"/>
                  <w:vMerge w:val="continue"/>
                  <w:shd w:val="clear" w:color="auto" w:fill="auto"/>
                  <w:tcMar>
                    <w:top w:w="0" w:type="dxa"/>
                    <w:left w:w="0" w:type="dxa"/>
                    <w:bottom w:w="0" w:type="dxa"/>
                    <w:right w:w="0" w:type="dxa"/>
                  </w:tcMar>
                  <w:vAlign w:val="center"/>
                </w:tcPr>
                <w:p w14:paraId="2F24D08D">
                  <w:pPr>
                    <w:pStyle w:val="12"/>
                    <w:rPr>
                      <w:rFonts w:cs="Times New Roman"/>
                    </w:rPr>
                  </w:pPr>
                </w:p>
              </w:tc>
              <w:tc>
                <w:tcPr>
                  <w:tcW w:w="449" w:type="dxa"/>
                  <w:shd w:val="clear" w:color="auto" w:fill="auto"/>
                  <w:tcMar>
                    <w:top w:w="0" w:type="dxa"/>
                    <w:left w:w="0" w:type="dxa"/>
                    <w:bottom w:w="0" w:type="dxa"/>
                    <w:right w:w="0" w:type="dxa"/>
                  </w:tcMar>
                  <w:vAlign w:val="center"/>
                </w:tcPr>
                <w:p w14:paraId="70559471">
                  <w:pPr>
                    <w:pStyle w:val="12"/>
                    <w:rPr>
                      <w:rFonts w:cs="Times New Roman"/>
                    </w:rPr>
                  </w:pPr>
                  <w:r>
                    <w:rPr>
                      <w:rFonts w:cs="Times New Roman"/>
                    </w:rPr>
                    <w:t>26.0</w:t>
                  </w:r>
                </w:p>
              </w:tc>
              <w:tc>
                <w:tcPr>
                  <w:tcW w:w="449" w:type="dxa"/>
                  <w:shd w:val="clear" w:color="auto" w:fill="auto"/>
                  <w:tcMar>
                    <w:top w:w="0" w:type="dxa"/>
                    <w:left w:w="0" w:type="dxa"/>
                    <w:bottom w:w="0" w:type="dxa"/>
                    <w:right w:w="0" w:type="dxa"/>
                  </w:tcMar>
                  <w:vAlign w:val="center"/>
                </w:tcPr>
                <w:p w14:paraId="6B3C4A23">
                  <w:pPr>
                    <w:pStyle w:val="12"/>
                    <w:rPr>
                      <w:rFonts w:cs="Times New Roman"/>
                    </w:rPr>
                  </w:pPr>
                  <w:r>
                    <w:rPr>
                      <w:rFonts w:cs="Times New Roman"/>
                    </w:rPr>
                    <w:t>26.0</w:t>
                  </w:r>
                </w:p>
              </w:tc>
              <w:tc>
                <w:tcPr>
                  <w:tcW w:w="449" w:type="dxa"/>
                  <w:shd w:val="clear" w:color="auto" w:fill="auto"/>
                  <w:tcMar>
                    <w:top w:w="0" w:type="dxa"/>
                    <w:left w:w="0" w:type="dxa"/>
                    <w:bottom w:w="0" w:type="dxa"/>
                    <w:right w:w="0" w:type="dxa"/>
                  </w:tcMar>
                  <w:vAlign w:val="center"/>
                </w:tcPr>
                <w:p w14:paraId="518533D2">
                  <w:pPr>
                    <w:pStyle w:val="12"/>
                    <w:rPr>
                      <w:rFonts w:cs="Times New Roman"/>
                    </w:rPr>
                  </w:pPr>
                  <w:r>
                    <w:rPr>
                      <w:rFonts w:cs="Times New Roman"/>
                    </w:rPr>
                    <w:t>26.0</w:t>
                  </w:r>
                </w:p>
              </w:tc>
              <w:tc>
                <w:tcPr>
                  <w:tcW w:w="466" w:type="dxa"/>
                  <w:shd w:val="clear" w:color="auto" w:fill="auto"/>
                  <w:tcMar>
                    <w:top w:w="0" w:type="dxa"/>
                    <w:left w:w="0" w:type="dxa"/>
                    <w:bottom w:w="0" w:type="dxa"/>
                    <w:right w:w="0" w:type="dxa"/>
                  </w:tcMar>
                  <w:vAlign w:val="center"/>
                </w:tcPr>
                <w:p w14:paraId="0BC5BEC7">
                  <w:pPr>
                    <w:pStyle w:val="12"/>
                    <w:rPr>
                      <w:rFonts w:cs="Times New Roman"/>
                    </w:rPr>
                  </w:pPr>
                  <w:r>
                    <w:rPr>
                      <w:rFonts w:cs="Times New Roman"/>
                    </w:rPr>
                    <w:t>26.0</w:t>
                  </w:r>
                </w:p>
              </w:tc>
              <w:tc>
                <w:tcPr>
                  <w:tcW w:w="475" w:type="dxa"/>
                  <w:shd w:val="clear" w:color="auto" w:fill="auto"/>
                  <w:tcMar>
                    <w:top w:w="0" w:type="dxa"/>
                    <w:left w:w="0" w:type="dxa"/>
                    <w:bottom w:w="0" w:type="dxa"/>
                    <w:right w:w="0" w:type="dxa"/>
                  </w:tcMar>
                  <w:vAlign w:val="center"/>
                </w:tcPr>
                <w:p w14:paraId="48BC82DB">
                  <w:pPr>
                    <w:pStyle w:val="12"/>
                    <w:rPr>
                      <w:rFonts w:cs="Times New Roman"/>
                    </w:rPr>
                  </w:pPr>
                  <w:r>
                    <w:rPr>
                      <w:rFonts w:cs="Times New Roman"/>
                    </w:rPr>
                    <w:t>31.0</w:t>
                  </w:r>
                </w:p>
              </w:tc>
              <w:tc>
                <w:tcPr>
                  <w:tcW w:w="475" w:type="dxa"/>
                  <w:shd w:val="clear" w:color="auto" w:fill="auto"/>
                  <w:tcMar>
                    <w:top w:w="0" w:type="dxa"/>
                    <w:left w:w="0" w:type="dxa"/>
                    <w:bottom w:w="0" w:type="dxa"/>
                    <w:right w:w="0" w:type="dxa"/>
                  </w:tcMar>
                  <w:vAlign w:val="center"/>
                </w:tcPr>
                <w:p w14:paraId="3DDBF496">
                  <w:pPr>
                    <w:pStyle w:val="12"/>
                    <w:rPr>
                      <w:rFonts w:cs="Times New Roman"/>
                    </w:rPr>
                  </w:pPr>
                  <w:r>
                    <w:rPr>
                      <w:rFonts w:cs="Times New Roman"/>
                    </w:rPr>
                    <w:t>31.0</w:t>
                  </w:r>
                </w:p>
              </w:tc>
              <w:tc>
                <w:tcPr>
                  <w:tcW w:w="476" w:type="dxa"/>
                  <w:shd w:val="clear" w:color="auto" w:fill="auto"/>
                  <w:tcMar>
                    <w:top w:w="0" w:type="dxa"/>
                    <w:left w:w="0" w:type="dxa"/>
                    <w:bottom w:w="0" w:type="dxa"/>
                    <w:right w:w="0" w:type="dxa"/>
                  </w:tcMar>
                  <w:vAlign w:val="center"/>
                </w:tcPr>
                <w:p w14:paraId="79CD71B7">
                  <w:pPr>
                    <w:pStyle w:val="12"/>
                    <w:rPr>
                      <w:rFonts w:cs="Times New Roman"/>
                    </w:rPr>
                  </w:pPr>
                  <w:r>
                    <w:rPr>
                      <w:rFonts w:cs="Times New Roman"/>
                    </w:rPr>
                    <w:t>31.0</w:t>
                  </w:r>
                </w:p>
              </w:tc>
              <w:tc>
                <w:tcPr>
                  <w:tcW w:w="476" w:type="dxa"/>
                  <w:shd w:val="clear" w:color="auto" w:fill="auto"/>
                  <w:tcMar>
                    <w:top w:w="0" w:type="dxa"/>
                    <w:left w:w="0" w:type="dxa"/>
                    <w:bottom w:w="0" w:type="dxa"/>
                    <w:right w:w="0" w:type="dxa"/>
                  </w:tcMar>
                  <w:vAlign w:val="center"/>
                </w:tcPr>
                <w:p w14:paraId="08FB569F">
                  <w:pPr>
                    <w:pStyle w:val="12"/>
                    <w:rPr>
                      <w:rFonts w:cs="Times New Roman"/>
                    </w:rPr>
                  </w:pPr>
                  <w:r>
                    <w:rPr>
                      <w:rFonts w:cs="Times New Roman"/>
                    </w:rPr>
                    <w:t>31.0</w:t>
                  </w:r>
                </w:p>
              </w:tc>
              <w:tc>
                <w:tcPr>
                  <w:tcW w:w="545" w:type="dxa"/>
                  <w:shd w:val="clear" w:color="auto" w:fill="auto"/>
                  <w:tcMar>
                    <w:top w:w="0" w:type="dxa"/>
                    <w:left w:w="0" w:type="dxa"/>
                    <w:bottom w:w="0" w:type="dxa"/>
                    <w:right w:w="0" w:type="dxa"/>
                  </w:tcMar>
                  <w:vAlign w:val="center"/>
                </w:tcPr>
                <w:p w14:paraId="4E301ED0">
                  <w:pPr>
                    <w:pStyle w:val="12"/>
                    <w:rPr>
                      <w:rFonts w:cs="Times New Roman"/>
                    </w:rPr>
                  </w:pPr>
                  <w:r>
                    <w:rPr>
                      <w:rFonts w:cs="Times New Roman"/>
                    </w:rPr>
                    <w:t>1</w:t>
                  </w:r>
                </w:p>
              </w:tc>
            </w:tr>
            <w:tr w14:paraId="522FC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5" w:type="dxa"/>
                  <w:shd w:val="clear" w:color="auto" w:fill="auto"/>
                  <w:tcMar>
                    <w:top w:w="0" w:type="dxa"/>
                    <w:left w:w="0" w:type="dxa"/>
                    <w:bottom w:w="0" w:type="dxa"/>
                    <w:right w:w="0" w:type="dxa"/>
                  </w:tcMar>
                  <w:vAlign w:val="center"/>
                </w:tcPr>
                <w:p w14:paraId="5787F7D3">
                  <w:pPr>
                    <w:pStyle w:val="12"/>
                    <w:rPr>
                      <w:rFonts w:hint="eastAsia" w:eastAsia="宋体" w:cs="Times New Roman"/>
                      <w:lang w:val="en-US" w:eastAsia="zh-CN"/>
                    </w:rPr>
                  </w:pPr>
                  <w:r>
                    <w:rPr>
                      <w:rFonts w:cs="Times New Roman"/>
                    </w:rPr>
                    <w:t>1</w:t>
                  </w:r>
                  <w:r>
                    <w:rPr>
                      <w:rFonts w:hint="eastAsia" w:cs="Times New Roman"/>
                      <w:lang w:val="en-US" w:eastAsia="zh-CN"/>
                    </w:rPr>
                    <w:t>5</w:t>
                  </w:r>
                </w:p>
              </w:tc>
              <w:tc>
                <w:tcPr>
                  <w:tcW w:w="1076" w:type="dxa"/>
                  <w:shd w:val="clear" w:color="auto" w:fill="auto"/>
                  <w:tcMar>
                    <w:top w:w="0" w:type="dxa"/>
                    <w:left w:w="0" w:type="dxa"/>
                    <w:bottom w:w="0" w:type="dxa"/>
                    <w:right w:w="0" w:type="dxa"/>
                  </w:tcMar>
                  <w:vAlign w:val="center"/>
                </w:tcPr>
                <w:p w14:paraId="469AA4CE">
                  <w:pPr>
                    <w:pStyle w:val="12"/>
                    <w:rPr>
                      <w:rFonts w:hint="default" w:eastAsia="宋体" w:cs="Times New Roman"/>
                      <w:lang w:val="en-US" w:eastAsia="zh-CN"/>
                    </w:rPr>
                  </w:pPr>
                  <w:r>
                    <w:rPr>
                      <w:rFonts w:hint="eastAsia" w:cs="Times New Roman"/>
                      <w:lang w:val="en-US" w:eastAsia="zh-CN"/>
                    </w:rPr>
                    <w:t>输送系统</w:t>
                  </w:r>
                </w:p>
              </w:tc>
              <w:tc>
                <w:tcPr>
                  <w:tcW w:w="592" w:type="dxa"/>
                  <w:shd w:val="clear" w:color="auto" w:fill="auto"/>
                  <w:tcMar>
                    <w:top w:w="0" w:type="dxa"/>
                    <w:left w:w="0" w:type="dxa"/>
                    <w:bottom w:w="0" w:type="dxa"/>
                    <w:right w:w="0" w:type="dxa"/>
                  </w:tcMar>
                  <w:vAlign w:val="center"/>
                </w:tcPr>
                <w:p w14:paraId="154CA776">
                  <w:pPr>
                    <w:pStyle w:val="12"/>
                    <w:rPr>
                      <w:rFonts w:hint="default" w:eastAsia="宋体" w:cs="Times New Roman"/>
                      <w:lang w:val="en-US" w:eastAsia="zh-CN"/>
                    </w:rPr>
                  </w:pPr>
                  <w:r>
                    <w:rPr>
                      <w:rFonts w:hint="eastAsia" w:cs="Times New Roman"/>
                      <w:lang w:val="en-US" w:eastAsia="zh-CN"/>
                    </w:rPr>
                    <w:t>80</w:t>
                  </w:r>
                </w:p>
              </w:tc>
              <w:tc>
                <w:tcPr>
                  <w:tcW w:w="516" w:type="dxa"/>
                  <w:vMerge w:val="continue"/>
                  <w:shd w:val="clear" w:color="auto" w:fill="auto"/>
                  <w:tcMar>
                    <w:top w:w="0" w:type="dxa"/>
                    <w:left w:w="0" w:type="dxa"/>
                    <w:bottom w:w="0" w:type="dxa"/>
                    <w:right w:w="0" w:type="dxa"/>
                  </w:tcMar>
                  <w:vAlign w:val="center"/>
                </w:tcPr>
                <w:p w14:paraId="30AF5BE3">
                  <w:pPr>
                    <w:pStyle w:val="12"/>
                    <w:rPr>
                      <w:rFonts w:cs="Times New Roman"/>
                    </w:rPr>
                  </w:pPr>
                </w:p>
              </w:tc>
              <w:tc>
                <w:tcPr>
                  <w:tcW w:w="554" w:type="dxa"/>
                  <w:shd w:val="clear" w:color="auto" w:fill="auto"/>
                  <w:tcMar>
                    <w:top w:w="0" w:type="dxa"/>
                    <w:left w:w="0" w:type="dxa"/>
                    <w:bottom w:w="0" w:type="dxa"/>
                    <w:right w:w="0" w:type="dxa"/>
                  </w:tcMar>
                  <w:vAlign w:val="center"/>
                </w:tcPr>
                <w:p w14:paraId="49CF54EE">
                  <w:pPr>
                    <w:pStyle w:val="12"/>
                    <w:rPr>
                      <w:rFonts w:cs="Times New Roman"/>
                    </w:rPr>
                  </w:pPr>
                  <w:r>
                    <w:rPr>
                      <w:rFonts w:cs="Times New Roman"/>
                    </w:rPr>
                    <w:t>-18.9</w:t>
                  </w:r>
                </w:p>
              </w:tc>
              <w:tc>
                <w:tcPr>
                  <w:tcW w:w="554" w:type="dxa"/>
                  <w:shd w:val="clear" w:color="auto" w:fill="auto"/>
                  <w:tcMar>
                    <w:top w:w="0" w:type="dxa"/>
                    <w:left w:w="0" w:type="dxa"/>
                    <w:bottom w:w="0" w:type="dxa"/>
                    <w:right w:w="0" w:type="dxa"/>
                  </w:tcMar>
                  <w:vAlign w:val="center"/>
                </w:tcPr>
                <w:p w14:paraId="463E6A45">
                  <w:pPr>
                    <w:pStyle w:val="12"/>
                    <w:rPr>
                      <w:rFonts w:cs="Times New Roman"/>
                    </w:rPr>
                  </w:pPr>
                  <w:r>
                    <w:rPr>
                      <w:rFonts w:cs="Times New Roman"/>
                    </w:rPr>
                    <w:t>-10.3</w:t>
                  </w:r>
                </w:p>
              </w:tc>
              <w:tc>
                <w:tcPr>
                  <w:tcW w:w="583" w:type="dxa"/>
                  <w:shd w:val="clear" w:color="auto" w:fill="auto"/>
                  <w:tcMar>
                    <w:top w:w="0" w:type="dxa"/>
                    <w:left w:w="0" w:type="dxa"/>
                    <w:bottom w:w="0" w:type="dxa"/>
                    <w:right w:w="0" w:type="dxa"/>
                  </w:tcMar>
                  <w:vAlign w:val="center"/>
                </w:tcPr>
                <w:p w14:paraId="76C4D0BD">
                  <w:pPr>
                    <w:pStyle w:val="12"/>
                    <w:rPr>
                      <w:rFonts w:hint="eastAsia" w:eastAsia="宋体" w:cs="Times New Roman"/>
                      <w:lang w:val="en-US" w:eastAsia="zh-CN"/>
                    </w:rPr>
                  </w:pPr>
                  <w:r>
                    <w:rPr>
                      <w:rFonts w:hint="eastAsia" w:cs="Times New Roman"/>
                      <w:lang w:val="en-US" w:eastAsia="zh-CN"/>
                    </w:rPr>
                    <w:t>1</w:t>
                  </w:r>
                </w:p>
              </w:tc>
              <w:tc>
                <w:tcPr>
                  <w:tcW w:w="522" w:type="dxa"/>
                  <w:shd w:val="clear" w:color="auto" w:fill="auto"/>
                  <w:tcMar>
                    <w:top w:w="0" w:type="dxa"/>
                    <w:left w:w="0" w:type="dxa"/>
                    <w:bottom w:w="0" w:type="dxa"/>
                    <w:right w:w="0" w:type="dxa"/>
                  </w:tcMar>
                  <w:vAlign w:val="center"/>
                </w:tcPr>
                <w:p w14:paraId="79E5BF53">
                  <w:pPr>
                    <w:pStyle w:val="12"/>
                    <w:rPr>
                      <w:rFonts w:cs="Times New Roman"/>
                    </w:rPr>
                  </w:pPr>
                  <w:r>
                    <w:rPr>
                      <w:rFonts w:cs="Times New Roman"/>
                    </w:rPr>
                    <w:t>23.9</w:t>
                  </w:r>
                </w:p>
              </w:tc>
              <w:tc>
                <w:tcPr>
                  <w:tcW w:w="522" w:type="dxa"/>
                  <w:shd w:val="clear" w:color="auto" w:fill="auto"/>
                  <w:tcMar>
                    <w:top w:w="0" w:type="dxa"/>
                    <w:left w:w="0" w:type="dxa"/>
                    <w:bottom w:w="0" w:type="dxa"/>
                    <w:right w:w="0" w:type="dxa"/>
                  </w:tcMar>
                  <w:vAlign w:val="center"/>
                </w:tcPr>
                <w:p w14:paraId="02A74405">
                  <w:pPr>
                    <w:pStyle w:val="12"/>
                    <w:rPr>
                      <w:rFonts w:cs="Times New Roman"/>
                    </w:rPr>
                  </w:pPr>
                  <w:r>
                    <w:rPr>
                      <w:rFonts w:cs="Times New Roman"/>
                    </w:rPr>
                    <w:t>46.7</w:t>
                  </w:r>
                </w:p>
              </w:tc>
              <w:tc>
                <w:tcPr>
                  <w:tcW w:w="522" w:type="dxa"/>
                  <w:shd w:val="clear" w:color="auto" w:fill="auto"/>
                  <w:tcMar>
                    <w:top w:w="0" w:type="dxa"/>
                    <w:left w:w="0" w:type="dxa"/>
                    <w:bottom w:w="0" w:type="dxa"/>
                    <w:right w:w="0" w:type="dxa"/>
                  </w:tcMar>
                  <w:vAlign w:val="center"/>
                </w:tcPr>
                <w:p w14:paraId="0DD56C82">
                  <w:pPr>
                    <w:pStyle w:val="12"/>
                    <w:rPr>
                      <w:rFonts w:cs="Times New Roman"/>
                    </w:rPr>
                  </w:pPr>
                  <w:r>
                    <w:rPr>
                      <w:rFonts w:cs="Times New Roman"/>
                    </w:rPr>
                    <w:t>28.5</w:t>
                  </w:r>
                </w:p>
              </w:tc>
              <w:tc>
                <w:tcPr>
                  <w:tcW w:w="638" w:type="dxa"/>
                  <w:shd w:val="clear" w:color="auto" w:fill="auto"/>
                  <w:tcMar>
                    <w:top w:w="0" w:type="dxa"/>
                    <w:left w:w="0" w:type="dxa"/>
                    <w:bottom w:w="0" w:type="dxa"/>
                    <w:right w:w="0" w:type="dxa"/>
                  </w:tcMar>
                  <w:vAlign w:val="center"/>
                </w:tcPr>
                <w:p w14:paraId="1163E63C">
                  <w:pPr>
                    <w:pStyle w:val="12"/>
                    <w:rPr>
                      <w:rFonts w:cs="Times New Roman"/>
                    </w:rPr>
                  </w:pPr>
                  <w:r>
                    <w:rPr>
                      <w:rFonts w:cs="Times New Roman"/>
                    </w:rPr>
                    <w:t>66.5</w:t>
                  </w:r>
                </w:p>
              </w:tc>
              <w:tc>
                <w:tcPr>
                  <w:tcW w:w="463" w:type="dxa"/>
                  <w:shd w:val="clear" w:color="auto" w:fill="auto"/>
                  <w:tcMar>
                    <w:top w:w="0" w:type="dxa"/>
                    <w:left w:w="0" w:type="dxa"/>
                    <w:bottom w:w="0" w:type="dxa"/>
                    <w:right w:w="0" w:type="dxa"/>
                  </w:tcMar>
                  <w:vAlign w:val="center"/>
                </w:tcPr>
                <w:p w14:paraId="56E46FE4">
                  <w:pPr>
                    <w:pStyle w:val="12"/>
                    <w:rPr>
                      <w:rFonts w:cs="Times New Roman"/>
                    </w:rPr>
                  </w:pPr>
                  <w:r>
                    <w:rPr>
                      <w:rFonts w:cs="Times New Roman"/>
                    </w:rPr>
                    <w:t>62.0</w:t>
                  </w:r>
                </w:p>
              </w:tc>
              <w:tc>
                <w:tcPr>
                  <w:tcW w:w="463" w:type="dxa"/>
                  <w:shd w:val="clear" w:color="auto" w:fill="auto"/>
                  <w:tcMar>
                    <w:top w:w="0" w:type="dxa"/>
                    <w:left w:w="0" w:type="dxa"/>
                    <w:bottom w:w="0" w:type="dxa"/>
                    <w:right w:w="0" w:type="dxa"/>
                  </w:tcMar>
                  <w:vAlign w:val="center"/>
                </w:tcPr>
                <w:p w14:paraId="56A8E16E">
                  <w:pPr>
                    <w:pStyle w:val="12"/>
                    <w:rPr>
                      <w:rFonts w:cs="Times New Roman"/>
                    </w:rPr>
                  </w:pPr>
                  <w:r>
                    <w:rPr>
                      <w:rFonts w:cs="Times New Roman"/>
                    </w:rPr>
                    <w:t>62.0</w:t>
                  </w:r>
                </w:p>
              </w:tc>
              <w:tc>
                <w:tcPr>
                  <w:tcW w:w="463" w:type="dxa"/>
                  <w:shd w:val="clear" w:color="auto" w:fill="auto"/>
                  <w:tcMar>
                    <w:top w:w="0" w:type="dxa"/>
                    <w:left w:w="0" w:type="dxa"/>
                    <w:bottom w:w="0" w:type="dxa"/>
                    <w:right w:w="0" w:type="dxa"/>
                  </w:tcMar>
                  <w:vAlign w:val="center"/>
                </w:tcPr>
                <w:p w14:paraId="2C915D09">
                  <w:pPr>
                    <w:pStyle w:val="12"/>
                    <w:rPr>
                      <w:rFonts w:cs="Times New Roman"/>
                    </w:rPr>
                  </w:pPr>
                  <w:r>
                    <w:rPr>
                      <w:rFonts w:cs="Times New Roman"/>
                    </w:rPr>
                    <w:t>62.0</w:t>
                  </w:r>
                </w:p>
              </w:tc>
              <w:tc>
                <w:tcPr>
                  <w:tcW w:w="492" w:type="dxa"/>
                  <w:shd w:val="clear" w:color="auto" w:fill="auto"/>
                  <w:tcMar>
                    <w:top w:w="0" w:type="dxa"/>
                    <w:left w:w="0" w:type="dxa"/>
                    <w:bottom w:w="0" w:type="dxa"/>
                    <w:right w:w="0" w:type="dxa"/>
                  </w:tcMar>
                  <w:vAlign w:val="center"/>
                </w:tcPr>
                <w:p w14:paraId="4C46FDF8">
                  <w:pPr>
                    <w:pStyle w:val="12"/>
                    <w:rPr>
                      <w:rFonts w:cs="Times New Roman"/>
                    </w:rPr>
                  </w:pPr>
                  <w:r>
                    <w:rPr>
                      <w:rFonts w:cs="Times New Roman"/>
                    </w:rPr>
                    <w:t>62.0</w:t>
                  </w:r>
                </w:p>
              </w:tc>
              <w:tc>
                <w:tcPr>
                  <w:tcW w:w="456" w:type="dxa"/>
                  <w:vMerge w:val="continue"/>
                  <w:shd w:val="clear" w:color="auto" w:fill="auto"/>
                  <w:tcMar>
                    <w:top w:w="0" w:type="dxa"/>
                    <w:left w:w="0" w:type="dxa"/>
                    <w:bottom w:w="0" w:type="dxa"/>
                    <w:right w:w="0" w:type="dxa"/>
                  </w:tcMar>
                  <w:vAlign w:val="center"/>
                </w:tcPr>
                <w:p w14:paraId="19FF1C18">
                  <w:pPr>
                    <w:pStyle w:val="12"/>
                    <w:rPr>
                      <w:rFonts w:cs="Times New Roman"/>
                    </w:rPr>
                  </w:pPr>
                </w:p>
              </w:tc>
              <w:tc>
                <w:tcPr>
                  <w:tcW w:w="449" w:type="dxa"/>
                  <w:shd w:val="clear" w:color="auto" w:fill="auto"/>
                  <w:tcMar>
                    <w:top w:w="0" w:type="dxa"/>
                    <w:left w:w="0" w:type="dxa"/>
                    <w:bottom w:w="0" w:type="dxa"/>
                    <w:right w:w="0" w:type="dxa"/>
                  </w:tcMar>
                  <w:vAlign w:val="center"/>
                </w:tcPr>
                <w:p w14:paraId="3386E8E2">
                  <w:pPr>
                    <w:pStyle w:val="12"/>
                    <w:rPr>
                      <w:rFonts w:cs="Times New Roman"/>
                    </w:rPr>
                  </w:pPr>
                  <w:r>
                    <w:rPr>
                      <w:rFonts w:cs="Times New Roman"/>
                    </w:rPr>
                    <w:t>26.0</w:t>
                  </w:r>
                </w:p>
              </w:tc>
              <w:tc>
                <w:tcPr>
                  <w:tcW w:w="449" w:type="dxa"/>
                  <w:shd w:val="clear" w:color="auto" w:fill="auto"/>
                  <w:tcMar>
                    <w:top w:w="0" w:type="dxa"/>
                    <w:left w:w="0" w:type="dxa"/>
                    <w:bottom w:w="0" w:type="dxa"/>
                    <w:right w:w="0" w:type="dxa"/>
                  </w:tcMar>
                  <w:vAlign w:val="center"/>
                </w:tcPr>
                <w:p w14:paraId="6F754CA7">
                  <w:pPr>
                    <w:pStyle w:val="12"/>
                    <w:rPr>
                      <w:rFonts w:cs="Times New Roman"/>
                    </w:rPr>
                  </w:pPr>
                  <w:r>
                    <w:rPr>
                      <w:rFonts w:cs="Times New Roman"/>
                    </w:rPr>
                    <w:t>26.0</w:t>
                  </w:r>
                </w:p>
              </w:tc>
              <w:tc>
                <w:tcPr>
                  <w:tcW w:w="449" w:type="dxa"/>
                  <w:shd w:val="clear" w:color="auto" w:fill="auto"/>
                  <w:tcMar>
                    <w:top w:w="0" w:type="dxa"/>
                    <w:left w:w="0" w:type="dxa"/>
                    <w:bottom w:w="0" w:type="dxa"/>
                    <w:right w:w="0" w:type="dxa"/>
                  </w:tcMar>
                  <w:vAlign w:val="center"/>
                </w:tcPr>
                <w:p w14:paraId="095D71BD">
                  <w:pPr>
                    <w:pStyle w:val="12"/>
                    <w:rPr>
                      <w:rFonts w:cs="Times New Roman"/>
                    </w:rPr>
                  </w:pPr>
                  <w:r>
                    <w:rPr>
                      <w:rFonts w:cs="Times New Roman"/>
                    </w:rPr>
                    <w:t>26.0</w:t>
                  </w:r>
                </w:p>
              </w:tc>
              <w:tc>
                <w:tcPr>
                  <w:tcW w:w="466" w:type="dxa"/>
                  <w:shd w:val="clear" w:color="auto" w:fill="auto"/>
                  <w:tcMar>
                    <w:top w:w="0" w:type="dxa"/>
                    <w:left w:w="0" w:type="dxa"/>
                    <w:bottom w:w="0" w:type="dxa"/>
                    <w:right w:w="0" w:type="dxa"/>
                  </w:tcMar>
                  <w:vAlign w:val="center"/>
                </w:tcPr>
                <w:p w14:paraId="536280E2">
                  <w:pPr>
                    <w:pStyle w:val="12"/>
                    <w:rPr>
                      <w:rFonts w:cs="Times New Roman"/>
                    </w:rPr>
                  </w:pPr>
                  <w:r>
                    <w:rPr>
                      <w:rFonts w:cs="Times New Roman"/>
                    </w:rPr>
                    <w:t>26.0</w:t>
                  </w:r>
                </w:p>
              </w:tc>
              <w:tc>
                <w:tcPr>
                  <w:tcW w:w="475" w:type="dxa"/>
                  <w:shd w:val="clear" w:color="auto" w:fill="auto"/>
                  <w:tcMar>
                    <w:top w:w="0" w:type="dxa"/>
                    <w:left w:w="0" w:type="dxa"/>
                    <w:bottom w:w="0" w:type="dxa"/>
                    <w:right w:w="0" w:type="dxa"/>
                  </w:tcMar>
                  <w:vAlign w:val="center"/>
                </w:tcPr>
                <w:p w14:paraId="239DC797">
                  <w:pPr>
                    <w:pStyle w:val="12"/>
                    <w:rPr>
                      <w:rFonts w:cs="Times New Roman"/>
                    </w:rPr>
                  </w:pPr>
                  <w:r>
                    <w:rPr>
                      <w:rFonts w:cs="Times New Roman"/>
                    </w:rPr>
                    <w:t>36.0</w:t>
                  </w:r>
                </w:p>
              </w:tc>
              <w:tc>
                <w:tcPr>
                  <w:tcW w:w="475" w:type="dxa"/>
                  <w:shd w:val="clear" w:color="auto" w:fill="auto"/>
                  <w:tcMar>
                    <w:top w:w="0" w:type="dxa"/>
                    <w:left w:w="0" w:type="dxa"/>
                    <w:bottom w:w="0" w:type="dxa"/>
                    <w:right w:w="0" w:type="dxa"/>
                  </w:tcMar>
                  <w:vAlign w:val="center"/>
                </w:tcPr>
                <w:p w14:paraId="7E4BE768">
                  <w:pPr>
                    <w:pStyle w:val="12"/>
                    <w:rPr>
                      <w:rFonts w:cs="Times New Roman"/>
                    </w:rPr>
                  </w:pPr>
                  <w:r>
                    <w:rPr>
                      <w:rFonts w:cs="Times New Roman"/>
                    </w:rPr>
                    <w:t>36.0</w:t>
                  </w:r>
                </w:p>
              </w:tc>
              <w:tc>
                <w:tcPr>
                  <w:tcW w:w="476" w:type="dxa"/>
                  <w:shd w:val="clear" w:color="auto" w:fill="auto"/>
                  <w:tcMar>
                    <w:top w:w="0" w:type="dxa"/>
                    <w:left w:w="0" w:type="dxa"/>
                    <w:bottom w:w="0" w:type="dxa"/>
                    <w:right w:w="0" w:type="dxa"/>
                  </w:tcMar>
                  <w:vAlign w:val="center"/>
                </w:tcPr>
                <w:p w14:paraId="13085970">
                  <w:pPr>
                    <w:pStyle w:val="12"/>
                    <w:rPr>
                      <w:rFonts w:cs="Times New Roman"/>
                    </w:rPr>
                  </w:pPr>
                  <w:r>
                    <w:rPr>
                      <w:rFonts w:cs="Times New Roman"/>
                    </w:rPr>
                    <w:t>36.0</w:t>
                  </w:r>
                </w:p>
              </w:tc>
              <w:tc>
                <w:tcPr>
                  <w:tcW w:w="476" w:type="dxa"/>
                  <w:shd w:val="clear" w:color="auto" w:fill="auto"/>
                  <w:tcMar>
                    <w:top w:w="0" w:type="dxa"/>
                    <w:left w:w="0" w:type="dxa"/>
                    <w:bottom w:w="0" w:type="dxa"/>
                    <w:right w:w="0" w:type="dxa"/>
                  </w:tcMar>
                  <w:vAlign w:val="center"/>
                </w:tcPr>
                <w:p w14:paraId="4BC35455">
                  <w:pPr>
                    <w:pStyle w:val="12"/>
                    <w:rPr>
                      <w:rFonts w:cs="Times New Roman"/>
                    </w:rPr>
                  </w:pPr>
                  <w:r>
                    <w:rPr>
                      <w:rFonts w:cs="Times New Roman"/>
                    </w:rPr>
                    <w:t>36.0</w:t>
                  </w:r>
                </w:p>
              </w:tc>
              <w:tc>
                <w:tcPr>
                  <w:tcW w:w="545" w:type="dxa"/>
                  <w:shd w:val="clear" w:color="auto" w:fill="auto"/>
                  <w:tcMar>
                    <w:top w:w="0" w:type="dxa"/>
                    <w:left w:w="0" w:type="dxa"/>
                    <w:bottom w:w="0" w:type="dxa"/>
                    <w:right w:w="0" w:type="dxa"/>
                  </w:tcMar>
                  <w:vAlign w:val="center"/>
                </w:tcPr>
                <w:p w14:paraId="5F009164">
                  <w:pPr>
                    <w:pStyle w:val="12"/>
                    <w:rPr>
                      <w:rFonts w:cs="Times New Roman"/>
                    </w:rPr>
                  </w:pPr>
                  <w:r>
                    <w:rPr>
                      <w:rFonts w:cs="Times New Roman"/>
                    </w:rPr>
                    <w:t>1</w:t>
                  </w:r>
                </w:p>
              </w:tc>
            </w:tr>
            <w:tr w14:paraId="757E9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5" w:type="dxa"/>
                  <w:shd w:val="clear" w:color="auto" w:fill="auto"/>
                  <w:tcMar>
                    <w:top w:w="0" w:type="dxa"/>
                    <w:left w:w="0" w:type="dxa"/>
                    <w:bottom w:w="0" w:type="dxa"/>
                    <w:right w:w="0" w:type="dxa"/>
                  </w:tcMar>
                  <w:vAlign w:val="center"/>
                </w:tcPr>
                <w:p w14:paraId="652700C1">
                  <w:pPr>
                    <w:pStyle w:val="12"/>
                    <w:rPr>
                      <w:rFonts w:hint="eastAsia" w:eastAsia="宋体" w:cs="Times New Roman"/>
                      <w:lang w:val="en-US" w:eastAsia="zh-CN"/>
                    </w:rPr>
                  </w:pPr>
                  <w:r>
                    <w:rPr>
                      <w:rFonts w:cs="Times New Roman"/>
                    </w:rPr>
                    <w:t>1</w:t>
                  </w:r>
                  <w:r>
                    <w:rPr>
                      <w:rFonts w:hint="eastAsia" w:cs="Times New Roman"/>
                      <w:lang w:val="en-US" w:eastAsia="zh-CN"/>
                    </w:rPr>
                    <w:t>6</w:t>
                  </w:r>
                </w:p>
              </w:tc>
              <w:tc>
                <w:tcPr>
                  <w:tcW w:w="1076" w:type="dxa"/>
                  <w:shd w:val="clear" w:color="auto" w:fill="auto"/>
                  <w:tcMar>
                    <w:top w:w="0" w:type="dxa"/>
                    <w:left w:w="0" w:type="dxa"/>
                    <w:bottom w:w="0" w:type="dxa"/>
                    <w:right w:w="0" w:type="dxa"/>
                  </w:tcMar>
                  <w:vAlign w:val="center"/>
                </w:tcPr>
                <w:p w14:paraId="7831FE15">
                  <w:pPr>
                    <w:pStyle w:val="12"/>
                    <w:rPr>
                      <w:rFonts w:hint="eastAsia" w:eastAsia="宋体" w:cs="Times New Roman"/>
                      <w:lang w:val="en-US" w:eastAsia="zh-CN"/>
                    </w:rPr>
                  </w:pPr>
                  <w:r>
                    <w:rPr>
                      <w:rFonts w:hint="eastAsia" w:cs="Times New Roman"/>
                      <w:lang w:val="en-US" w:eastAsia="zh-CN"/>
                    </w:rPr>
                    <w:t>蒸养箱</w:t>
                  </w:r>
                </w:p>
              </w:tc>
              <w:tc>
                <w:tcPr>
                  <w:tcW w:w="592" w:type="dxa"/>
                  <w:shd w:val="clear" w:color="auto" w:fill="auto"/>
                  <w:tcMar>
                    <w:top w:w="0" w:type="dxa"/>
                    <w:left w:w="0" w:type="dxa"/>
                    <w:bottom w:w="0" w:type="dxa"/>
                    <w:right w:w="0" w:type="dxa"/>
                  </w:tcMar>
                  <w:vAlign w:val="center"/>
                </w:tcPr>
                <w:p w14:paraId="61BBBC86">
                  <w:pPr>
                    <w:pStyle w:val="12"/>
                    <w:rPr>
                      <w:rFonts w:hint="default" w:eastAsia="宋体" w:cs="Times New Roman"/>
                      <w:lang w:val="en-US" w:eastAsia="zh-CN"/>
                    </w:rPr>
                  </w:pPr>
                  <w:r>
                    <w:rPr>
                      <w:rFonts w:hint="eastAsia" w:cs="Times New Roman"/>
                      <w:lang w:val="en-US" w:eastAsia="zh-CN"/>
                    </w:rPr>
                    <w:t>60</w:t>
                  </w:r>
                </w:p>
              </w:tc>
              <w:tc>
                <w:tcPr>
                  <w:tcW w:w="516" w:type="dxa"/>
                  <w:vMerge w:val="continue"/>
                  <w:shd w:val="clear" w:color="auto" w:fill="auto"/>
                  <w:tcMar>
                    <w:top w:w="0" w:type="dxa"/>
                    <w:left w:w="0" w:type="dxa"/>
                    <w:bottom w:w="0" w:type="dxa"/>
                    <w:right w:w="0" w:type="dxa"/>
                  </w:tcMar>
                  <w:vAlign w:val="center"/>
                </w:tcPr>
                <w:p w14:paraId="455BE8B4">
                  <w:pPr>
                    <w:pStyle w:val="12"/>
                    <w:rPr>
                      <w:rFonts w:cs="Times New Roman"/>
                    </w:rPr>
                  </w:pPr>
                </w:p>
              </w:tc>
              <w:tc>
                <w:tcPr>
                  <w:tcW w:w="554" w:type="dxa"/>
                  <w:shd w:val="clear" w:color="auto" w:fill="auto"/>
                  <w:tcMar>
                    <w:top w:w="0" w:type="dxa"/>
                    <w:left w:w="0" w:type="dxa"/>
                    <w:bottom w:w="0" w:type="dxa"/>
                    <w:right w:w="0" w:type="dxa"/>
                  </w:tcMar>
                  <w:vAlign w:val="center"/>
                </w:tcPr>
                <w:p w14:paraId="1A5970F7">
                  <w:pPr>
                    <w:pStyle w:val="12"/>
                    <w:rPr>
                      <w:rFonts w:cs="Times New Roman"/>
                    </w:rPr>
                  </w:pPr>
                  <w:r>
                    <w:rPr>
                      <w:rFonts w:cs="Times New Roman"/>
                    </w:rPr>
                    <w:t>-33.1</w:t>
                  </w:r>
                </w:p>
              </w:tc>
              <w:tc>
                <w:tcPr>
                  <w:tcW w:w="554" w:type="dxa"/>
                  <w:shd w:val="clear" w:color="auto" w:fill="auto"/>
                  <w:tcMar>
                    <w:top w:w="0" w:type="dxa"/>
                    <w:left w:w="0" w:type="dxa"/>
                    <w:bottom w:w="0" w:type="dxa"/>
                    <w:right w:w="0" w:type="dxa"/>
                  </w:tcMar>
                  <w:vAlign w:val="center"/>
                </w:tcPr>
                <w:p w14:paraId="66F479AC">
                  <w:pPr>
                    <w:pStyle w:val="12"/>
                    <w:rPr>
                      <w:rFonts w:cs="Times New Roman"/>
                    </w:rPr>
                  </w:pPr>
                  <w:r>
                    <w:rPr>
                      <w:rFonts w:cs="Times New Roman"/>
                    </w:rPr>
                    <w:t>0.9</w:t>
                  </w:r>
                </w:p>
              </w:tc>
              <w:tc>
                <w:tcPr>
                  <w:tcW w:w="583" w:type="dxa"/>
                  <w:shd w:val="clear" w:color="auto" w:fill="auto"/>
                  <w:tcMar>
                    <w:top w:w="0" w:type="dxa"/>
                    <w:left w:w="0" w:type="dxa"/>
                    <w:bottom w:w="0" w:type="dxa"/>
                    <w:right w:w="0" w:type="dxa"/>
                  </w:tcMar>
                  <w:vAlign w:val="center"/>
                </w:tcPr>
                <w:p w14:paraId="38E35F1B">
                  <w:pPr>
                    <w:pStyle w:val="12"/>
                    <w:rPr>
                      <w:rFonts w:hint="default" w:eastAsia="宋体" w:cs="Times New Roman"/>
                      <w:lang w:val="en-US" w:eastAsia="zh-CN"/>
                    </w:rPr>
                  </w:pPr>
                  <w:r>
                    <w:rPr>
                      <w:rFonts w:hint="eastAsia" w:cs="Times New Roman"/>
                      <w:lang w:val="en-US" w:eastAsia="zh-CN"/>
                    </w:rPr>
                    <w:t>3</w:t>
                  </w:r>
                </w:p>
              </w:tc>
              <w:tc>
                <w:tcPr>
                  <w:tcW w:w="522" w:type="dxa"/>
                  <w:shd w:val="clear" w:color="auto" w:fill="auto"/>
                  <w:tcMar>
                    <w:top w:w="0" w:type="dxa"/>
                    <w:left w:w="0" w:type="dxa"/>
                    <w:bottom w:w="0" w:type="dxa"/>
                    <w:right w:w="0" w:type="dxa"/>
                  </w:tcMar>
                  <w:vAlign w:val="center"/>
                </w:tcPr>
                <w:p w14:paraId="27D6FE33">
                  <w:pPr>
                    <w:pStyle w:val="12"/>
                    <w:rPr>
                      <w:rFonts w:cs="Times New Roman"/>
                    </w:rPr>
                  </w:pPr>
                  <w:r>
                    <w:rPr>
                      <w:rFonts w:cs="Times New Roman"/>
                    </w:rPr>
                    <w:t>31.2</w:t>
                  </w:r>
                </w:p>
              </w:tc>
              <w:tc>
                <w:tcPr>
                  <w:tcW w:w="522" w:type="dxa"/>
                  <w:shd w:val="clear" w:color="auto" w:fill="auto"/>
                  <w:tcMar>
                    <w:top w:w="0" w:type="dxa"/>
                    <w:left w:w="0" w:type="dxa"/>
                    <w:bottom w:w="0" w:type="dxa"/>
                    <w:right w:w="0" w:type="dxa"/>
                  </w:tcMar>
                  <w:vAlign w:val="center"/>
                </w:tcPr>
                <w:p w14:paraId="682D79EC">
                  <w:pPr>
                    <w:pStyle w:val="12"/>
                    <w:rPr>
                      <w:rFonts w:cs="Times New Roman"/>
                    </w:rPr>
                  </w:pPr>
                  <w:r>
                    <w:rPr>
                      <w:rFonts w:cs="Times New Roman"/>
                    </w:rPr>
                    <w:t>63.2</w:t>
                  </w:r>
                </w:p>
              </w:tc>
              <w:tc>
                <w:tcPr>
                  <w:tcW w:w="522" w:type="dxa"/>
                  <w:shd w:val="clear" w:color="auto" w:fill="auto"/>
                  <w:tcMar>
                    <w:top w:w="0" w:type="dxa"/>
                    <w:left w:w="0" w:type="dxa"/>
                    <w:bottom w:w="0" w:type="dxa"/>
                    <w:right w:w="0" w:type="dxa"/>
                  </w:tcMar>
                  <w:vAlign w:val="center"/>
                </w:tcPr>
                <w:p w14:paraId="26EDE2D7">
                  <w:pPr>
                    <w:pStyle w:val="12"/>
                    <w:rPr>
                      <w:rFonts w:cs="Times New Roman"/>
                    </w:rPr>
                  </w:pPr>
                  <w:r>
                    <w:rPr>
                      <w:rFonts w:cs="Times New Roman"/>
                    </w:rPr>
                    <w:t>21.1</w:t>
                  </w:r>
                </w:p>
              </w:tc>
              <w:tc>
                <w:tcPr>
                  <w:tcW w:w="638" w:type="dxa"/>
                  <w:shd w:val="clear" w:color="auto" w:fill="auto"/>
                  <w:tcMar>
                    <w:top w:w="0" w:type="dxa"/>
                    <w:left w:w="0" w:type="dxa"/>
                    <w:bottom w:w="0" w:type="dxa"/>
                    <w:right w:w="0" w:type="dxa"/>
                  </w:tcMar>
                  <w:vAlign w:val="center"/>
                </w:tcPr>
                <w:p w14:paraId="23E0CD84">
                  <w:pPr>
                    <w:pStyle w:val="12"/>
                    <w:rPr>
                      <w:rFonts w:cs="Times New Roman"/>
                    </w:rPr>
                  </w:pPr>
                  <w:r>
                    <w:rPr>
                      <w:rFonts w:cs="Times New Roman"/>
                    </w:rPr>
                    <w:t>49.9</w:t>
                  </w:r>
                </w:p>
              </w:tc>
              <w:tc>
                <w:tcPr>
                  <w:tcW w:w="463" w:type="dxa"/>
                  <w:shd w:val="clear" w:color="auto" w:fill="auto"/>
                  <w:tcMar>
                    <w:top w:w="0" w:type="dxa"/>
                    <w:left w:w="0" w:type="dxa"/>
                    <w:bottom w:w="0" w:type="dxa"/>
                    <w:right w:w="0" w:type="dxa"/>
                  </w:tcMar>
                  <w:vAlign w:val="center"/>
                </w:tcPr>
                <w:p w14:paraId="7DDC008D">
                  <w:pPr>
                    <w:pStyle w:val="12"/>
                    <w:rPr>
                      <w:rFonts w:cs="Times New Roman"/>
                    </w:rPr>
                  </w:pPr>
                  <w:r>
                    <w:rPr>
                      <w:rFonts w:cs="Times New Roman"/>
                    </w:rPr>
                    <w:t>42.0</w:t>
                  </w:r>
                </w:p>
              </w:tc>
              <w:tc>
                <w:tcPr>
                  <w:tcW w:w="463" w:type="dxa"/>
                  <w:shd w:val="clear" w:color="auto" w:fill="auto"/>
                  <w:tcMar>
                    <w:top w:w="0" w:type="dxa"/>
                    <w:left w:w="0" w:type="dxa"/>
                    <w:bottom w:w="0" w:type="dxa"/>
                    <w:right w:w="0" w:type="dxa"/>
                  </w:tcMar>
                  <w:vAlign w:val="center"/>
                </w:tcPr>
                <w:p w14:paraId="57C5955A">
                  <w:pPr>
                    <w:pStyle w:val="12"/>
                    <w:rPr>
                      <w:rFonts w:cs="Times New Roman"/>
                    </w:rPr>
                  </w:pPr>
                  <w:r>
                    <w:rPr>
                      <w:rFonts w:cs="Times New Roman"/>
                    </w:rPr>
                    <w:t>42.0</w:t>
                  </w:r>
                </w:p>
              </w:tc>
              <w:tc>
                <w:tcPr>
                  <w:tcW w:w="463" w:type="dxa"/>
                  <w:shd w:val="clear" w:color="auto" w:fill="auto"/>
                  <w:tcMar>
                    <w:top w:w="0" w:type="dxa"/>
                    <w:left w:w="0" w:type="dxa"/>
                    <w:bottom w:w="0" w:type="dxa"/>
                    <w:right w:w="0" w:type="dxa"/>
                  </w:tcMar>
                  <w:vAlign w:val="center"/>
                </w:tcPr>
                <w:p w14:paraId="3C9ED8CF">
                  <w:pPr>
                    <w:pStyle w:val="12"/>
                    <w:rPr>
                      <w:rFonts w:cs="Times New Roman"/>
                    </w:rPr>
                  </w:pPr>
                  <w:r>
                    <w:rPr>
                      <w:rFonts w:cs="Times New Roman"/>
                    </w:rPr>
                    <w:t>42.0</w:t>
                  </w:r>
                </w:p>
              </w:tc>
              <w:tc>
                <w:tcPr>
                  <w:tcW w:w="492" w:type="dxa"/>
                  <w:shd w:val="clear" w:color="auto" w:fill="auto"/>
                  <w:tcMar>
                    <w:top w:w="0" w:type="dxa"/>
                    <w:left w:w="0" w:type="dxa"/>
                    <w:bottom w:w="0" w:type="dxa"/>
                    <w:right w:w="0" w:type="dxa"/>
                  </w:tcMar>
                  <w:vAlign w:val="center"/>
                </w:tcPr>
                <w:p w14:paraId="60147789">
                  <w:pPr>
                    <w:pStyle w:val="12"/>
                    <w:rPr>
                      <w:rFonts w:cs="Times New Roman"/>
                    </w:rPr>
                  </w:pPr>
                  <w:r>
                    <w:rPr>
                      <w:rFonts w:cs="Times New Roman"/>
                    </w:rPr>
                    <w:t>42.0</w:t>
                  </w:r>
                </w:p>
              </w:tc>
              <w:tc>
                <w:tcPr>
                  <w:tcW w:w="456" w:type="dxa"/>
                  <w:vMerge w:val="continue"/>
                  <w:shd w:val="clear" w:color="auto" w:fill="auto"/>
                  <w:tcMar>
                    <w:top w:w="0" w:type="dxa"/>
                    <w:left w:w="0" w:type="dxa"/>
                    <w:bottom w:w="0" w:type="dxa"/>
                    <w:right w:w="0" w:type="dxa"/>
                  </w:tcMar>
                  <w:vAlign w:val="center"/>
                </w:tcPr>
                <w:p w14:paraId="4757AEC0">
                  <w:pPr>
                    <w:pStyle w:val="12"/>
                    <w:rPr>
                      <w:rFonts w:cs="Times New Roman"/>
                    </w:rPr>
                  </w:pPr>
                </w:p>
              </w:tc>
              <w:tc>
                <w:tcPr>
                  <w:tcW w:w="449" w:type="dxa"/>
                  <w:shd w:val="clear" w:color="auto" w:fill="auto"/>
                  <w:tcMar>
                    <w:top w:w="0" w:type="dxa"/>
                    <w:left w:w="0" w:type="dxa"/>
                    <w:bottom w:w="0" w:type="dxa"/>
                    <w:right w:w="0" w:type="dxa"/>
                  </w:tcMar>
                  <w:vAlign w:val="center"/>
                </w:tcPr>
                <w:p w14:paraId="146032BC">
                  <w:pPr>
                    <w:pStyle w:val="12"/>
                    <w:rPr>
                      <w:rFonts w:cs="Times New Roman"/>
                    </w:rPr>
                  </w:pPr>
                  <w:r>
                    <w:rPr>
                      <w:rFonts w:cs="Times New Roman"/>
                    </w:rPr>
                    <w:t>26.0</w:t>
                  </w:r>
                </w:p>
              </w:tc>
              <w:tc>
                <w:tcPr>
                  <w:tcW w:w="449" w:type="dxa"/>
                  <w:shd w:val="clear" w:color="auto" w:fill="auto"/>
                  <w:tcMar>
                    <w:top w:w="0" w:type="dxa"/>
                    <w:left w:w="0" w:type="dxa"/>
                    <w:bottom w:w="0" w:type="dxa"/>
                    <w:right w:w="0" w:type="dxa"/>
                  </w:tcMar>
                  <w:vAlign w:val="center"/>
                </w:tcPr>
                <w:p w14:paraId="2DB4F687">
                  <w:pPr>
                    <w:pStyle w:val="12"/>
                    <w:rPr>
                      <w:rFonts w:cs="Times New Roman"/>
                    </w:rPr>
                  </w:pPr>
                  <w:r>
                    <w:rPr>
                      <w:rFonts w:cs="Times New Roman"/>
                    </w:rPr>
                    <w:t>26.0</w:t>
                  </w:r>
                </w:p>
              </w:tc>
              <w:tc>
                <w:tcPr>
                  <w:tcW w:w="449" w:type="dxa"/>
                  <w:shd w:val="clear" w:color="auto" w:fill="auto"/>
                  <w:tcMar>
                    <w:top w:w="0" w:type="dxa"/>
                    <w:left w:w="0" w:type="dxa"/>
                    <w:bottom w:w="0" w:type="dxa"/>
                    <w:right w:w="0" w:type="dxa"/>
                  </w:tcMar>
                  <w:vAlign w:val="center"/>
                </w:tcPr>
                <w:p w14:paraId="656E47E4">
                  <w:pPr>
                    <w:pStyle w:val="12"/>
                    <w:rPr>
                      <w:rFonts w:cs="Times New Roman"/>
                    </w:rPr>
                  </w:pPr>
                  <w:r>
                    <w:rPr>
                      <w:rFonts w:cs="Times New Roman"/>
                    </w:rPr>
                    <w:t>26.0</w:t>
                  </w:r>
                </w:p>
              </w:tc>
              <w:tc>
                <w:tcPr>
                  <w:tcW w:w="466" w:type="dxa"/>
                  <w:shd w:val="clear" w:color="auto" w:fill="auto"/>
                  <w:tcMar>
                    <w:top w:w="0" w:type="dxa"/>
                    <w:left w:w="0" w:type="dxa"/>
                    <w:bottom w:w="0" w:type="dxa"/>
                    <w:right w:w="0" w:type="dxa"/>
                  </w:tcMar>
                  <w:vAlign w:val="center"/>
                </w:tcPr>
                <w:p w14:paraId="70AF2D70">
                  <w:pPr>
                    <w:pStyle w:val="12"/>
                    <w:rPr>
                      <w:rFonts w:cs="Times New Roman"/>
                    </w:rPr>
                  </w:pPr>
                  <w:r>
                    <w:rPr>
                      <w:rFonts w:cs="Times New Roman"/>
                    </w:rPr>
                    <w:t>26.0</w:t>
                  </w:r>
                </w:p>
              </w:tc>
              <w:tc>
                <w:tcPr>
                  <w:tcW w:w="475" w:type="dxa"/>
                  <w:shd w:val="clear" w:color="auto" w:fill="auto"/>
                  <w:tcMar>
                    <w:top w:w="0" w:type="dxa"/>
                    <w:left w:w="0" w:type="dxa"/>
                    <w:bottom w:w="0" w:type="dxa"/>
                    <w:right w:w="0" w:type="dxa"/>
                  </w:tcMar>
                  <w:vAlign w:val="center"/>
                </w:tcPr>
                <w:p w14:paraId="668F0724">
                  <w:pPr>
                    <w:pStyle w:val="12"/>
                    <w:rPr>
                      <w:rFonts w:cs="Times New Roman"/>
                    </w:rPr>
                  </w:pPr>
                  <w:r>
                    <w:rPr>
                      <w:rFonts w:cs="Times New Roman"/>
                    </w:rPr>
                    <w:t>16.0</w:t>
                  </w:r>
                </w:p>
              </w:tc>
              <w:tc>
                <w:tcPr>
                  <w:tcW w:w="475" w:type="dxa"/>
                  <w:shd w:val="clear" w:color="auto" w:fill="auto"/>
                  <w:tcMar>
                    <w:top w:w="0" w:type="dxa"/>
                    <w:left w:w="0" w:type="dxa"/>
                    <w:bottom w:w="0" w:type="dxa"/>
                    <w:right w:w="0" w:type="dxa"/>
                  </w:tcMar>
                  <w:vAlign w:val="center"/>
                </w:tcPr>
                <w:p w14:paraId="701750A1">
                  <w:pPr>
                    <w:pStyle w:val="12"/>
                    <w:rPr>
                      <w:rFonts w:cs="Times New Roman"/>
                    </w:rPr>
                  </w:pPr>
                  <w:r>
                    <w:rPr>
                      <w:rFonts w:cs="Times New Roman"/>
                    </w:rPr>
                    <w:t>16.0</w:t>
                  </w:r>
                </w:p>
              </w:tc>
              <w:tc>
                <w:tcPr>
                  <w:tcW w:w="476" w:type="dxa"/>
                  <w:shd w:val="clear" w:color="auto" w:fill="auto"/>
                  <w:tcMar>
                    <w:top w:w="0" w:type="dxa"/>
                    <w:left w:w="0" w:type="dxa"/>
                    <w:bottom w:w="0" w:type="dxa"/>
                    <w:right w:w="0" w:type="dxa"/>
                  </w:tcMar>
                  <w:vAlign w:val="center"/>
                </w:tcPr>
                <w:p w14:paraId="2FF4E66B">
                  <w:pPr>
                    <w:pStyle w:val="12"/>
                    <w:rPr>
                      <w:rFonts w:cs="Times New Roman"/>
                    </w:rPr>
                  </w:pPr>
                  <w:r>
                    <w:rPr>
                      <w:rFonts w:cs="Times New Roman"/>
                    </w:rPr>
                    <w:t>16.0</w:t>
                  </w:r>
                </w:p>
              </w:tc>
              <w:tc>
                <w:tcPr>
                  <w:tcW w:w="476" w:type="dxa"/>
                  <w:shd w:val="clear" w:color="auto" w:fill="auto"/>
                  <w:tcMar>
                    <w:top w:w="0" w:type="dxa"/>
                    <w:left w:w="0" w:type="dxa"/>
                    <w:bottom w:w="0" w:type="dxa"/>
                    <w:right w:w="0" w:type="dxa"/>
                  </w:tcMar>
                  <w:vAlign w:val="center"/>
                </w:tcPr>
                <w:p w14:paraId="5E01189D">
                  <w:pPr>
                    <w:pStyle w:val="12"/>
                    <w:rPr>
                      <w:rFonts w:cs="Times New Roman"/>
                    </w:rPr>
                  </w:pPr>
                  <w:r>
                    <w:rPr>
                      <w:rFonts w:cs="Times New Roman"/>
                    </w:rPr>
                    <w:t>16.0</w:t>
                  </w:r>
                </w:p>
              </w:tc>
              <w:tc>
                <w:tcPr>
                  <w:tcW w:w="545" w:type="dxa"/>
                  <w:shd w:val="clear" w:color="auto" w:fill="auto"/>
                  <w:tcMar>
                    <w:top w:w="0" w:type="dxa"/>
                    <w:left w:w="0" w:type="dxa"/>
                    <w:bottom w:w="0" w:type="dxa"/>
                    <w:right w:w="0" w:type="dxa"/>
                  </w:tcMar>
                  <w:vAlign w:val="center"/>
                </w:tcPr>
                <w:p w14:paraId="36306FDA">
                  <w:pPr>
                    <w:pStyle w:val="12"/>
                    <w:rPr>
                      <w:rFonts w:cs="Times New Roman"/>
                    </w:rPr>
                  </w:pPr>
                  <w:r>
                    <w:rPr>
                      <w:rFonts w:cs="Times New Roman"/>
                    </w:rPr>
                    <w:t>1</w:t>
                  </w:r>
                </w:p>
              </w:tc>
            </w:tr>
            <w:tr w14:paraId="74E29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5" w:type="dxa"/>
                  <w:shd w:val="clear" w:color="auto" w:fill="auto"/>
                  <w:tcMar>
                    <w:top w:w="0" w:type="dxa"/>
                    <w:left w:w="0" w:type="dxa"/>
                    <w:bottom w:w="0" w:type="dxa"/>
                    <w:right w:w="0" w:type="dxa"/>
                  </w:tcMar>
                  <w:vAlign w:val="center"/>
                </w:tcPr>
                <w:p w14:paraId="6E93BAC8">
                  <w:pPr>
                    <w:pStyle w:val="12"/>
                    <w:rPr>
                      <w:rFonts w:hint="eastAsia" w:eastAsia="宋体" w:cs="Times New Roman"/>
                      <w:lang w:val="en-US" w:eastAsia="zh-CN"/>
                    </w:rPr>
                  </w:pPr>
                  <w:r>
                    <w:rPr>
                      <w:rFonts w:cs="Times New Roman"/>
                    </w:rPr>
                    <w:t>1</w:t>
                  </w:r>
                  <w:r>
                    <w:rPr>
                      <w:rFonts w:hint="eastAsia" w:cs="Times New Roman"/>
                      <w:lang w:val="en-US" w:eastAsia="zh-CN"/>
                    </w:rPr>
                    <w:t>7</w:t>
                  </w:r>
                </w:p>
              </w:tc>
              <w:tc>
                <w:tcPr>
                  <w:tcW w:w="1076" w:type="dxa"/>
                  <w:shd w:val="clear" w:color="auto" w:fill="auto"/>
                  <w:tcMar>
                    <w:top w:w="0" w:type="dxa"/>
                    <w:left w:w="0" w:type="dxa"/>
                    <w:bottom w:w="0" w:type="dxa"/>
                    <w:right w:w="0" w:type="dxa"/>
                  </w:tcMar>
                  <w:vAlign w:val="center"/>
                </w:tcPr>
                <w:p w14:paraId="6D3FD800">
                  <w:pPr>
                    <w:pStyle w:val="12"/>
                    <w:rPr>
                      <w:rFonts w:hint="default" w:eastAsia="宋体" w:cs="Times New Roman"/>
                      <w:lang w:val="en-US" w:eastAsia="zh-CN"/>
                    </w:rPr>
                  </w:pPr>
                  <w:r>
                    <w:rPr>
                      <w:rFonts w:hint="eastAsia" w:cs="Times New Roman"/>
                      <w:lang w:val="en-US" w:eastAsia="zh-CN"/>
                    </w:rPr>
                    <w:t>蒸汽发生器</w:t>
                  </w:r>
                </w:p>
              </w:tc>
              <w:tc>
                <w:tcPr>
                  <w:tcW w:w="592" w:type="dxa"/>
                  <w:shd w:val="clear" w:color="auto" w:fill="auto"/>
                  <w:tcMar>
                    <w:top w:w="0" w:type="dxa"/>
                    <w:left w:w="0" w:type="dxa"/>
                    <w:bottom w:w="0" w:type="dxa"/>
                    <w:right w:w="0" w:type="dxa"/>
                  </w:tcMar>
                  <w:vAlign w:val="center"/>
                </w:tcPr>
                <w:p w14:paraId="29E01D0E">
                  <w:pPr>
                    <w:pStyle w:val="12"/>
                    <w:rPr>
                      <w:rFonts w:hint="default" w:eastAsia="宋体" w:cs="Times New Roman"/>
                      <w:lang w:val="en-US" w:eastAsia="zh-CN"/>
                    </w:rPr>
                  </w:pPr>
                  <w:r>
                    <w:rPr>
                      <w:rFonts w:hint="eastAsia" w:cs="Times New Roman"/>
                      <w:lang w:val="en-US" w:eastAsia="zh-CN"/>
                    </w:rPr>
                    <w:t>60</w:t>
                  </w:r>
                </w:p>
              </w:tc>
              <w:tc>
                <w:tcPr>
                  <w:tcW w:w="516" w:type="dxa"/>
                  <w:vMerge w:val="continue"/>
                  <w:shd w:val="clear" w:color="auto" w:fill="auto"/>
                  <w:tcMar>
                    <w:top w:w="0" w:type="dxa"/>
                    <w:left w:w="0" w:type="dxa"/>
                    <w:bottom w:w="0" w:type="dxa"/>
                    <w:right w:w="0" w:type="dxa"/>
                  </w:tcMar>
                  <w:vAlign w:val="center"/>
                </w:tcPr>
                <w:p w14:paraId="591ED81E">
                  <w:pPr>
                    <w:pStyle w:val="12"/>
                    <w:rPr>
                      <w:rFonts w:cs="Times New Roman"/>
                    </w:rPr>
                  </w:pPr>
                </w:p>
              </w:tc>
              <w:tc>
                <w:tcPr>
                  <w:tcW w:w="554" w:type="dxa"/>
                  <w:shd w:val="clear" w:color="auto" w:fill="auto"/>
                  <w:tcMar>
                    <w:top w:w="0" w:type="dxa"/>
                    <w:left w:w="0" w:type="dxa"/>
                    <w:bottom w:w="0" w:type="dxa"/>
                    <w:right w:w="0" w:type="dxa"/>
                  </w:tcMar>
                  <w:vAlign w:val="center"/>
                </w:tcPr>
                <w:p w14:paraId="14D6231D">
                  <w:pPr>
                    <w:pStyle w:val="12"/>
                    <w:rPr>
                      <w:rFonts w:cs="Times New Roman"/>
                    </w:rPr>
                  </w:pPr>
                  <w:r>
                    <w:rPr>
                      <w:rFonts w:cs="Times New Roman"/>
                    </w:rPr>
                    <w:t>-36.2</w:t>
                  </w:r>
                </w:p>
              </w:tc>
              <w:tc>
                <w:tcPr>
                  <w:tcW w:w="554" w:type="dxa"/>
                  <w:shd w:val="clear" w:color="auto" w:fill="auto"/>
                  <w:tcMar>
                    <w:top w:w="0" w:type="dxa"/>
                    <w:left w:w="0" w:type="dxa"/>
                    <w:bottom w:w="0" w:type="dxa"/>
                    <w:right w:w="0" w:type="dxa"/>
                  </w:tcMar>
                  <w:vAlign w:val="center"/>
                </w:tcPr>
                <w:p w14:paraId="269BE1CF">
                  <w:pPr>
                    <w:pStyle w:val="12"/>
                    <w:rPr>
                      <w:rFonts w:cs="Times New Roman"/>
                    </w:rPr>
                  </w:pPr>
                  <w:r>
                    <w:rPr>
                      <w:rFonts w:cs="Times New Roman"/>
                    </w:rPr>
                    <w:t>4.5</w:t>
                  </w:r>
                </w:p>
              </w:tc>
              <w:tc>
                <w:tcPr>
                  <w:tcW w:w="583" w:type="dxa"/>
                  <w:shd w:val="clear" w:color="auto" w:fill="auto"/>
                  <w:tcMar>
                    <w:top w:w="0" w:type="dxa"/>
                    <w:left w:w="0" w:type="dxa"/>
                    <w:bottom w:w="0" w:type="dxa"/>
                    <w:right w:w="0" w:type="dxa"/>
                  </w:tcMar>
                  <w:vAlign w:val="center"/>
                </w:tcPr>
                <w:p w14:paraId="36DC55BC">
                  <w:pPr>
                    <w:pStyle w:val="12"/>
                    <w:rPr>
                      <w:rFonts w:hint="default" w:eastAsia="宋体" w:cs="Times New Roman"/>
                      <w:lang w:val="en-US" w:eastAsia="zh-CN"/>
                    </w:rPr>
                  </w:pPr>
                  <w:r>
                    <w:rPr>
                      <w:rFonts w:hint="eastAsia" w:cs="Times New Roman"/>
                      <w:lang w:val="en-US" w:eastAsia="zh-CN"/>
                    </w:rPr>
                    <w:t>0.8</w:t>
                  </w:r>
                </w:p>
              </w:tc>
              <w:tc>
                <w:tcPr>
                  <w:tcW w:w="522" w:type="dxa"/>
                  <w:shd w:val="clear" w:color="auto" w:fill="auto"/>
                  <w:tcMar>
                    <w:top w:w="0" w:type="dxa"/>
                    <w:left w:w="0" w:type="dxa"/>
                    <w:bottom w:w="0" w:type="dxa"/>
                    <w:right w:w="0" w:type="dxa"/>
                  </w:tcMar>
                  <w:vAlign w:val="center"/>
                </w:tcPr>
                <w:p w14:paraId="681A36AD">
                  <w:pPr>
                    <w:pStyle w:val="12"/>
                    <w:rPr>
                      <w:rFonts w:cs="Times New Roman"/>
                    </w:rPr>
                  </w:pPr>
                  <w:r>
                    <w:rPr>
                      <w:rFonts w:cs="Times New Roman"/>
                    </w:rPr>
                    <w:t>32.3</w:t>
                  </w:r>
                </w:p>
              </w:tc>
              <w:tc>
                <w:tcPr>
                  <w:tcW w:w="522" w:type="dxa"/>
                  <w:shd w:val="clear" w:color="auto" w:fill="auto"/>
                  <w:tcMar>
                    <w:top w:w="0" w:type="dxa"/>
                    <w:left w:w="0" w:type="dxa"/>
                    <w:bottom w:w="0" w:type="dxa"/>
                    <w:right w:w="0" w:type="dxa"/>
                  </w:tcMar>
                  <w:vAlign w:val="center"/>
                </w:tcPr>
                <w:p w14:paraId="593D7ACC">
                  <w:pPr>
                    <w:pStyle w:val="12"/>
                    <w:rPr>
                      <w:rFonts w:cs="Times New Roman"/>
                    </w:rPr>
                  </w:pPr>
                  <w:r>
                    <w:rPr>
                      <w:rFonts w:cs="Times New Roman"/>
                    </w:rPr>
                    <w:t>67.9</w:t>
                  </w:r>
                </w:p>
              </w:tc>
              <w:tc>
                <w:tcPr>
                  <w:tcW w:w="522" w:type="dxa"/>
                  <w:shd w:val="clear" w:color="auto" w:fill="auto"/>
                  <w:tcMar>
                    <w:top w:w="0" w:type="dxa"/>
                    <w:left w:w="0" w:type="dxa"/>
                    <w:bottom w:w="0" w:type="dxa"/>
                    <w:right w:w="0" w:type="dxa"/>
                  </w:tcMar>
                  <w:vAlign w:val="center"/>
                </w:tcPr>
                <w:p w14:paraId="5CC050EC">
                  <w:pPr>
                    <w:pStyle w:val="12"/>
                    <w:rPr>
                      <w:rFonts w:cs="Times New Roman"/>
                    </w:rPr>
                  </w:pPr>
                  <w:r>
                    <w:rPr>
                      <w:rFonts w:cs="Times New Roman"/>
                    </w:rPr>
                    <w:t>20.1</w:t>
                  </w:r>
                </w:p>
              </w:tc>
              <w:tc>
                <w:tcPr>
                  <w:tcW w:w="638" w:type="dxa"/>
                  <w:shd w:val="clear" w:color="auto" w:fill="auto"/>
                  <w:tcMar>
                    <w:top w:w="0" w:type="dxa"/>
                    <w:left w:w="0" w:type="dxa"/>
                    <w:bottom w:w="0" w:type="dxa"/>
                    <w:right w:w="0" w:type="dxa"/>
                  </w:tcMar>
                  <w:vAlign w:val="center"/>
                </w:tcPr>
                <w:p w14:paraId="1C6A9652">
                  <w:pPr>
                    <w:pStyle w:val="12"/>
                    <w:rPr>
                      <w:rFonts w:cs="Times New Roman"/>
                    </w:rPr>
                  </w:pPr>
                  <w:r>
                    <w:rPr>
                      <w:rFonts w:cs="Times New Roman"/>
                    </w:rPr>
                    <w:t>45.2</w:t>
                  </w:r>
                </w:p>
              </w:tc>
              <w:tc>
                <w:tcPr>
                  <w:tcW w:w="463" w:type="dxa"/>
                  <w:shd w:val="clear" w:color="auto" w:fill="auto"/>
                  <w:tcMar>
                    <w:top w:w="0" w:type="dxa"/>
                    <w:left w:w="0" w:type="dxa"/>
                    <w:bottom w:w="0" w:type="dxa"/>
                    <w:right w:w="0" w:type="dxa"/>
                  </w:tcMar>
                  <w:vAlign w:val="center"/>
                </w:tcPr>
                <w:p w14:paraId="64084966">
                  <w:pPr>
                    <w:pStyle w:val="12"/>
                    <w:rPr>
                      <w:rFonts w:cs="Times New Roman"/>
                    </w:rPr>
                  </w:pPr>
                  <w:r>
                    <w:rPr>
                      <w:rFonts w:cs="Times New Roman"/>
                    </w:rPr>
                    <w:t>42.0</w:t>
                  </w:r>
                </w:p>
              </w:tc>
              <w:tc>
                <w:tcPr>
                  <w:tcW w:w="463" w:type="dxa"/>
                  <w:shd w:val="clear" w:color="auto" w:fill="auto"/>
                  <w:tcMar>
                    <w:top w:w="0" w:type="dxa"/>
                    <w:left w:w="0" w:type="dxa"/>
                    <w:bottom w:w="0" w:type="dxa"/>
                    <w:right w:w="0" w:type="dxa"/>
                  </w:tcMar>
                  <w:vAlign w:val="center"/>
                </w:tcPr>
                <w:p w14:paraId="2C1C8C0C">
                  <w:pPr>
                    <w:pStyle w:val="12"/>
                    <w:rPr>
                      <w:rFonts w:cs="Times New Roman"/>
                    </w:rPr>
                  </w:pPr>
                  <w:r>
                    <w:rPr>
                      <w:rFonts w:cs="Times New Roman"/>
                    </w:rPr>
                    <w:t>42.0</w:t>
                  </w:r>
                </w:p>
              </w:tc>
              <w:tc>
                <w:tcPr>
                  <w:tcW w:w="463" w:type="dxa"/>
                  <w:shd w:val="clear" w:color="auto" w:fill="auto"/>
                  <w:tcMar>
                    <w:top w:w="0" w:type="dxa"/>
                    <w:left w:w="0" w:type="dxa"/>
                    <w:bottom w:w="0" w:type="dxa"/>
                    <w:right w:w="0" w:type="dxa"/>
                  </w:tcMar>
                  <w:vAlign w:val="center"/>
                </w:tcPr>
                <w:p w14:paraId="60F46C52">
                  <w:pPr>
                    <w:pStyle w:val="12"/>
                    <w:rPr>
                      <w:rFonts w:cs="Times New Roman"/>
                    </w:rPr>
                  </w:pPr>
                  <w:r>
                    <w:rPr>
                      <w:rFonts w:cs="Times New Roman"/>
                    </w:rPr>
                    <w:t>42.0</w:t>
                  </w:r>
                </w:p>
              </w:tc>
              <w:tc>
                <w:tcPr>
                  <w:tcW w:w="492" w:type="dxa"/>
                  <w:shd w:val="clear" w:color="auto" w:fill="auto"/>
                  <w:tcMar>
                    <w:top w:w="0" w:type="dxa"/>
                    <w:left w:w="0" w:type="dxa"/>
                    <w:bottom w:w="0" w:type="dxa"/>
                    <w:right w:w="0" w:type="dxa"/>
                  </w:tcMar>
                  <w:vAlign w:val="center"/>
                </w:tcPr>
                <w:p w14:paraId="680BAD71">
                  <w:pPr>
                    <w:pStyle w:val="12"/>
                    <w:rPr>
                      <w:rFonts w:cs="Times New Roman"/>
                    </w:rPr>
                  </w:pPr>
                  <w:r>
                    <w:rPr>
                      <w:rFonts w:cs="Times New Roman"/>
                    </w:rPr>
                    <w:t>42.0</w:t>
                  </w:r>
                </w:p>
              </w:tc>
              <w:tc>
                <w:tcPr>
                  <w:tcW w:w="456" w:type="dxa"/>
                  <w:vMerge w:val="continue"/>
                  <w:shd w:val="clear" w:color="auto" w:fill="auto"/>
                  <w:tcMar>
                    <w:top w:w="0" w:type="dxa"/>
                    <w:left w:w="0" w:type="dxa"/>
                    <w:bottom w:w="0" w:type="dxa"/>
                    <w:right w:w="0" w:type="dxa"/>
                  </w:tcMar>
                  <w:vAlign w:val="center"/>
                </w:tcPr>
                <w:p w14:paraId="4739D6FE">
                  <w:pPr>
                    <w:pStyle w:val="12"/>
                    <w:rPr>
                      <w:rFonts w:cs="Times New Roman"/>
                    </w:rPr>
                  </w:pPr>
                </w:p>
              </w:tc>
              <w:tc>
                <w:tcPr>
                  <w:tcW w:w="449" w:type="dxa"/>
                  <w:shd w:val="clear" w:color="auto" w:fill="auto"/>
                  <w:tcMar>
                    <w:top w:w="0" w:type="dxa"/>
                    <w:left w:w="0" w:type="dxa"/>
                    <w:bottom w:w="0" w:type="dxa"/>
                    <w:right w:w="0" w:type="dxa"/>
                  </w:tcMar>
                  <w:vAlign w:val="center"/>
                </w:tcPr>
                <w:p w14:paraId="49CEC806">
                  <w:pPr>
                    <w:pStyle w:val="12"/>
                    <w:rPr>
                      <w:rFonts w:cs="Times New Roman"/>
                    </w:rPr>
                  </w:pPr>
                  <w:r>
                    <w:rPr>
                      <w:rFonts w:cs="Times New Roman"/>
                    </w:rPr>
                    <w:t>26.0</w:t>
                  </w:r>
                </w:p>
              </w:tc>
              <w:tc>
                <w:tcPr>
                  <w:tcW w:w="449" w:type="dxa"/>
                  <w:shd w:val="clear" w:color="auto" w:fill="auto"/>
                  <w:tcMar>
                    <w:top w:w="0" w:type="dxa"/>
                    <w:left w:w="0" w:type="dxa"/>
                    <w:bottom w:w="0" w:type="dxa"/>
                    <w:right w:w="0" w:type="dxa"/>
                  </w:tcMar>
                  <w:vAlign w:val="center"/>
                </w:tcPr>
                <w:p w14:paraId="6ACFEC72">
                  <w:pPr>
                    <w:pStyle w:val="12"/>
                    <w:rPr>
                      <w:rFonts w:cs="Times New Roman"/>
                    </w:rPr>
                  </w:pPr>
                  <w:r>
                    <w:rPr>
                      <w:rFonts w:cs="Times New Roman"/>
                    </w:rPr>
                    <w:t>26.0</w:t>
                  </w:r>
                </w:p>
              </w:tc>
              <w:tc>
                <w:tcPr>
                  <w:tcW w:w="449" w:type="dxa"/>
                  <w:shd w:val="clear" w:color="auto" w:fill="auto"/>
                  <w:tcMar>
                    <w:top w:w="0" w:type="dxa"/>
                    <w:left w:w="0" w:type="dxa"/>
                    <w:bottom w:w="0" w:type="dxa"/>
                    <w:right w:w="0" w:type="dxa"/>
                  </w:tcMar>
                  <w:vAlign w:val="center"/>
                </w:tcPr>
                <w:p w14:paraId="37A231FE">
                  <w:pPr>
                    <w:pStyle w:val="12"/>
                    <w:rPr>
                      <w:rFonts w:cs="Times New Roman"/>
                    </w:rPr>
                  </w:pPr>
                  <w:r>
                    <w:rPr>
                      <w:rFonts w:cs="Times New Roman"/>
                    </w:rPr>
                    <w:t>26.0</w:t>
                  </w:r>
                </w:p>
              </w:tc>
              <w:tc>
                <w:tcPr>
                  <w:tcW w:w="466" w:type="dxa"/>
                  <w:shd w:val="clear" w:color="auto" w:fill="auto"/>
                  <w:tcMar>
                    <w:top w:w="0" w:type="dxa"/>
                    <w:left w:w="0" w:type="dxa"/>
                    <w:bottom w:w="0" w:type="dxa"/>
                    <w:right w:w="0" w:type="dxa"/>
                  </w:tcMar>
                  <w:vAlign w:val="center"/>
                </w:tcPr>
                <w:p w14:paraId="5ADCED04">
                  <w:pPr>
                    <w:pStyle w:val="12"/>
                    <w:rPr>
                      <w:rFonts w:cs="Times New Roman"/>
                    </w:rPr>
                  </w:pPr>
                  <w:r>
                    <w:rPr>
                      <w:rFonts w:cs="Times New Roman"/>
                    </w:rPr>
                    <w:t>26.0</w:t>
                  </w:r>
                </w:p>
              </w:tc>
              <w:tc>
                <w:tcPr>
                  <w:tcW w:w="475" w:type="dxa"/>
                  <w:shd w:val="clear" w:color="auto" w:fill="auto"/>
                  <w:tcMar>
                    <w:top w:w="0" w:type="dxa"/>
                    <w:left w:w="0" w:type="dxa"/>
                    <w:bottom w:w="0" w:type="dxa"/>
                    <w:right w:w="0" w:type="dxa"/>
                  </w:tcMar>
                  <w:vAlign w:val="center"/>
                </w:tcPr>
                <w:p w14:paraId="133138E3">
                  <w:pPr>
                    <w:pStyle w:val="12"/>
                    <w:rPr>
                      <w:rFonts w:cs="Times New Roman"/>
                    </w:rPr>
                  </w:pPr>
                  <w:r>
                    <w:rPr>
                      <w:rFonts w:cs="Times New Roman"/>
                    </w:rPr>
                    <w:t>16.0</w:t>
                  </w:r>
                </w:p>
              </w:tc>
              <w:tc>
                <w:tcPr>
                  <w:tcW w:w="475" w:type="dxa"/>
                  <w:shd w:val="clear" w:color="auto" w:fill="auto"/>
                  <w:tcMar>
                    <w:top w:w="0" w:type="dxa"/>
                    <w:left w:w="0" w:type="dxa"/>
                    <w:bottom w:w="0" w:type="dxa"/>
                    <w:right w:w="0" w:type="dxa"/>
                  </w:tcMar>
                  <w:vAlign w:val="center"/>
                </w:tcPr>
                <w:p w14:paraId="55F338A4">
                  <w:pPr>
                    <w:pStyle w:val="12"/>
                    <w:rPr>
                      <w:rFonts w:cs="Times New Roman"/>
                    </w:rPr>
                  </w:pPr>
                  <w:r>
                    <w:rPr>
                      <w:rFonts w:cs="Times New Roman"/>
                    </w:rPr>
                    <w:t>16.0</w:t>
                  </w:r>
                </w:p>
              </w:tc>
              <w:tc>
                <w:tcPr>
                  <w:tcW w:w="476" w:type="dxa"/>
                  <w:shd w:val="clear" w:color="auto" w:fill="auto"/>
                  <w:tcMar>
                    <w:top w:w="0" w:type="dxa"/>
                    <w:left w:w="0" w:type="dxa"/>
                    <w:bottom w:w="0" w:type="dxa"/>
                    <w:right w:w="0" w:type="dxa"/>
                  </w:tcMar>
                  <w:vAlign w:val="center"/>
                </w:tcPr>
                <w:p w14:paraId="48FAF75E">
                  <w:pPr>
                    <w:pStyle w:val="12"/>
                    <w:rPr>
                      <w:rFonts w:cs="Times New Roman"/>
                    </w:rPr>
                  </w:pPr>
                  <w:r>
                    <w:rPr>
                      <w:rFonts w:cs="Times New Roman"/>
                    </w:rPr>
                    <w:t>16.0</w:t>
                  </w:r>
                </w:p>
              </w:tc>
              <w:tc>
                <w:tcPr>
                  <w:tcW w:w="476" w:type="dxa"/>
                  <w:shd w:val="clear" w:color="auto" w:fill="auto"/>
                  <w:tcMar>
                    <w:top w:w="0" w:type="dxa"/>
                    <w:left w:w="0" w:type="dxa"/>
                    <w:bottom w:w="0" w:type="dxa"/>
                    <w:right w:w="0" w:type="dxa"/>
                  </w:tcMar>
                  <w:vAlign w:val="center"/>
                </w:tcPr>
                <w:p w14:paraId="663921B1">
                  <w:pPr>
                    <w:pStyle w:val="12"/>
                    <w:rPr>
                      <w:rFonts w:cs="Times New Roman"/>
                    </w:rPr>
                  </w:pPr>
                  <w:r>
                    <w:rPr>
                      <w:rFonts w:cs="Times New Roman"/>
                    </w:rPr>
                    <w:t>16.0</w:t>
                  </w:r>
                </w:p>
              </w:tc>
              <w:tc>
                <w:tcPr>
                  <w:tcW w:w="545" w:type="dxa"/>
                  <w:shd w:val="clear" w:color="auto" w:fill="auto"/>
                  <w:tcMar>
                    <w:top w:w="0" w:type="dxa"/>
                    <w:left w:w="0" w:type="dxa"/>
                    <w:bottom w:w="0" w:type="dxa"/>
                    <w:right w:w="0" w:type="dxa"/>
                  </w:tcMar>
                  <w:vAlign w:val="center"/>
                </w:tcPr>
                <w:p w14:paraId="52715ED0">
                  <w:pPr>
                    <w:pStyle w:val="12"/>
                    <w:rPr>
                      <w:rFonts w:cs="Times New Roman"/>
                    </w:rPr>
                  </w:pPr>
                  <w:r>
                    <w:rPr>
                      <w:rFonts w:cs="Times New Roman"/>
                    </w:rPr>
                    <w:t>1</w:t>
                  </w:r>
                </w:p>
              </w:tc>
            </w:tr>
            <w:tr w14:paraId="1AD8E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5" w:type="dxa"/>
                  <w:shd w:val="clear" w:color="auto" w:fill="auto"/>
                  <w:tcMar>
                    <w:top w:w="0" w:type="dxa"/>
                    <w:left w:w="0" w:type="dxa"/>
                    <w:bottom w:w="0" w:type="dxa"/>
                    <w:right w:w="0" w:type="dxa"/>
                  </w:tcMar>
                  <w:vAlign w:val="center"/>
                </w:tcPr>
                <w:p w14:paraId="70020C74">
                  <w:pPr>
                    <w:pStyle w:val="12"/>
                    <w:rPr>
                      <w:rFonts w:hint="eastAsia" w:eastAsia="宋体" w:cs="Times New Roman"/>
                      <w:lang w:val="en-US" w:eastAsia="zh-CN"/>
                    </w:rPr>
                  </w:pPr>
                  <w:r>
                    <w:rPr>
                      <w:rFonts w:cs="Times New Roman"/>
                    </w:rPr>
                    <w:t>1</w:t>
                  </w:r>
                  <w:r>
                    <w:rPr>
                      <w:rFonts w:hint="eastAsia" w:cs="Times New Roman"/>
                      <w:lang w:val="en-US" w:eastAsia="zh-CN"/>
                    </w:rPr>
                    <w:t>8</w:t>
                  </w:r>
                </w:p>
              </w:tc>
              <w:tc>
                <w:tcPr>
                  <w:tcW w:w="1076" w:type="dxa"/>
                  <w:shd w:val="clear" w:color="auto" w:fill="auto"/>
                  <w:tcMar>
                    <w:top w:w="0" w:type="dxa"/>
                    <w:left w:w="0" w:type="dxa"/>
                    <w:bottom w:w="0" w:type="dxa"/>
                    <w:right w:w="0" w:type="dxa"/>
                  </w:tcMar>
                  <w:vAlign w:val="center"/>
                </w:tcPr>
                <w:p w14:paraId="122E98EC">
                  <w:pPr>
                    <w:pStyle w:val="12"/>
                    <w:rPr>
                      <w:rFonts w:hint="default" w:eastAsia="宋体" w:cs="Times New Roman"/>
                      <w:lang w:val="en-US" w:eastAsia="zh-CN"/>
                    </w:rPr>
                  </w:pPr>
                  <w:r>
                    <w:rPr>
                      <w:rFonts w:hint="eastAsia" w:cs="Times New Roman"/>
                      <w:lang w:val="en-US" w:eastAsia="zh-CN"/>
                    </w:rPr>
                    <w:t>风机2#</w:t>
                  </w:r>
                </w:p>
              </w:tc>
              <w:tc>
                <w:tcPr>
                  <w:tcW w:w="592" w:type="dxa"/>
                  <w:shd w:val="clear" w:color="auto" w:fill="auto"/>
                  <w:tcMar>
                    <w:top w:w="0" w:type="dxa"/>
                    <w:left w:w="0" w:type="dxa"/>
                    <w:bottom w:w="0" w:type="dxa"/>
                    <w:right w:w="0" w:type="dxa"/>
                  </w:tcMar>
                  <w:vAlign w:val="center"/>
                </w:tcPr>
                <w:p w14:paraId="56F8FBA9">
                  <w:pPr>
                    <w:pStyle w:val="12"/>
                    <w:rPr>
                      <w:rFonts w:hint="default" w:eastAsia="宋体" w:cs="Times New Roman"/>
                      <w:lang w:val="en-US" w:eastAsia="zh-CN"/>
                    </w:rPr>
                  </w:pPr>
                  <w:r>
                    <w:rPr>
                      <w:rFonts w:hint="eastAsia" w:cs="Times New Roman"/>
                      <w:lang w:val="en-US" w:eastAsia="zh-CN"/>
                    </w:rPr>
                    <w:t>90</w:t>
                  </w:r>
                </w:p>
              </w:tc>
              <w:tc>
                <w:tcPr>
                  <w:tcW w:w="516" w:type="dxa"/>
                  <w:vMerge w:val="continue"/>
                  <w:shd w:val="clear" w:color="auto" w:fill="auto"/>
                  <w:tcMar>
                    <w:top w:w="0" w:type="dxa"/>
                    <w:left w:w="0" w:type="dxa"/>
                    <w:bottom w:w="0" w:type="dxa"/>
                    <w:right w:w="0" w:type="dxa"/>
                  </w:tcMar>
                  <w:vAlign w:val="center"/>
                </w:tcPr>
                <w:p w14:paraId="7FB4311B">
                  <w:pPr>
                    <w:pStyle w:val="12"/>
                    <w:rPr>
                      <w:rFonts w:cs="Times New Roman"/>
                    </w:rPr>
                  </w:pPr>
                </w:p>
              </w:tc>
              <w:tc>
                <w:tcPr>
                  <w:tcW w:w="554" w:type="dxa"/>
                  <w:shd w:val="clear" w:color="auto" w:fill="auto"/>
                  <w:tcMar>
                    <w:top w:w="0" w:type="dxa"/>
                    <w:left w:w="0" w:type="dxa"/>
                    <w:bottom w:w="0" w:type="dxa"/>
                    <w:right w:w="0" w:type="dxa"/>
                  </w:tcMar>
                  <w:vAlign w:val="center"/>
                </w:tcPr>
                <w:p w14:paraId="6D742E75">
                  <w:pPr>
                    <w:pStyle w:val="12"/>
                    <w:rPr>
                      <w:rFonts w:cs="Times New Roman"/>
                    </w:rPr>
                  </w:pPr>
                  <w:r>
                    <w:rPr>
                      <w:rFonts w:cs="Times New Roman"/>
                    </w:rPr>
                    <w:t>-10.2</w:t>
                  </w:r>
                </w:p>
              </w:tc>
              <w:tc>
                <w:tcPr>
                  <w:tcW w:w="554" w:type="dxa"/>
                  <w:shd w:val="clear" w:color="auto" w:fill="auto"/>
                  <w:tcMar>
                    <w:top w:w="0" w:type="dxa"/>
                    <w:left w:w="0" w:type="dxa"/>
                    <w:bottom w:w="0" w:type="dxa"/>
                    <w:right w:w="0" w:type="dxa"/>
                  </w:tcMar>
                  <w:vAlign w:val="center"/>
                </w:tcPr>
                <w:p w14:paraId="537455FF">
                  <w:pPr>
                    <w:pStyle w:val="12"/>
                    <w:rPr>
                      <w:rFonts w:cs="Times New Roman"/>
                    </w:rPr>
                  </w:pPr>
                  <w:r>
                    <w:rPr>
                      <w:rFonts w:cs="Times New Roman"/>
                    </w:rPr>
                    <w:t>-22</w:t>
                  </w:r>
                </w:p>
              </w:tc>
              <w:tc>
                <w:tcPr>
                  <w:tcW w:w="583" w:type="dxa"/>
                  <w:shd w:val="clear" w:color="auto" w:fill="auto"/>
                  <w:tcMar>
                    <w:top w:w="0" w:type="dxa"/>
                    <w:left w:w="0" w:type="dxa"/>
                    <w:bottom w:w="0" w:type="dxa"/>
                    <w:right w:w="0" w:type="dxa"/>
                  </w:tcMar>
                  <w:vAlign w:val="center"/>
                </w:tcPr>
                <w:p w14:paraId="6326B8DF">
                  <w:pPr>
                    <w:pStyle w:val="12"/>
                    <w:rPr>
                      <w:rFonts w:hint="default" w:eastAsia="宋体" w:cs="Times New Roman"/>
                      <w:lang w:val="en-US" w:eastAsia="zh-CN"/>
                    </w:rPr>
                  </w:pPr>
                  <w:r>
                    <w:rPr>
                      <w:rFonts w:hint="eastAsia" w:cs="Times New Roman"/>
                      <w:lang w:val="en-US" w:eastAsia="zh-CN"/>
                    </w:rPr>
                    <w:t>0.3</w:t>
                  </w:r>
                </w:p>
              </w:tc>
              <w:tc>
                <w:tcPr>
                  <w:tcW w:w="522" w:type="dxa"/>
                  <w:shd w:val="clear" w:color="auto" w:fill="auto"/>
                  <w:tcMar>
                    <w:top w:w="0" w:type="dxa"/>
                    <w:left w:w="0" w:type="dxa"/>
                    <w:bottom w:w="0" w:type="dxa"/>
                    <w:right w:w="0" w:type="dxa"/>
                  </w:tcMar>
                  <w:vAlign w:val="center"/>
                </w:tcPr>
                <w:p w14:paraId="2BB3E6A8">
                  <w:pPr>
                    <w:pStyle w:val="12"/>
                    <w:rPr>
                      <w:rFonts w:cs="Times New Roman"/>
                    </w:rPr>
                  </w:pPr>
                  <w:r>
                    <w:rPr>
                      <w:rFonts w:cs="Times New Roman"/>
                    </w:rPr>
                    <w:t>21.6</w:t>
                  </w:r>
                </w:p>
              </w:tc>
              <w:tc>
                <w:tcPr>
                  <w:tcW w:w="522" w:type="dxa"/>
                  <w:shd w:val="clear" w:color="auto" w:fill="auto"/>
                  <w:tcMar>
                    <w:top w:w="0" w:type="dxa"/>
                    <w:left w:w="0" w:type="dxa"/>
                    <w:bottom w:w="0" w:type="dxa"/>
                    <w:right w:w="0" w:type="dxa"/>
                  </w:tcMar>
                  <w:vAlign w:val="center"/>
                </w:tcPr>
                <w:p w14:paraId="2C63A0F0">
                  <w:pPr>
                    <w:pStyle w:val="12"/>
                    <w:rPr>
                      <w:rFonts w:cs="Times New Roman"/>
                    </w:rPr>
                  </w:pPr>
                  <w:r>
                    <w:rPr>
                      <w:rFonts w:cs="Times New Roman"/>
                    </w:rPr>
                    <w:t>32.3</w:t>
                  </w:r>
                </w:p>
              </w:tc>
              <w:tc>
                <w:tcPr>
                  <w:tcW w:w="522" w:type="dxa"/>
                  <w:shd w:val="clear" w:color="auto" w:fill="auto"/>
                  <w:tcMar>
                    <w:top w:w="0" w:type="dxa"/>
                    <w:left w:w="0" w:type="dxa"/>
                    <w:bottom w:w="0" w:type="dxa"/>
                    <w:right w:w="0" w:type="dxa"/>
                  </w:tcMar>
                  <w:vAlign w:val="center"/>
                </w:tcPr>
                <w:p w14:paraId="10B04A69">
                  <w:pPr>
                    <w:pStyle w:val="12"/>
                    <w:rPr>
                      <w:rFonts w:cs="Times New Roman"/>
                    </w:rPr>
                  </w:pPr>
                  <w:r>
                    <w:rPr>
                      <w:rFonts w:cs="Times New Roman"/>
                    </w:rPr>
                    <w:t>30.8</w:t>
                  </w:r>
                </w:p>
              </w:tc>
              <w:tc>
                <w:tcPr>
                  <w:tcW w:w="638" w:type="dxa"/>
                  <w:shd w:val="clear" w:color="auto" w:fill="auto"/>
                  <w:tcMar>
                    <w:top w:w="0" w:type="dxa"/>
                    <w:left w:w="0" w:type="dxa"/>
                    <w:bottom w:w="0" w:type="dxa"/>
                    <w:right w:w="0" w:type="dxa"/>
                  </w:tcMar>
                  <w:vAlign w:val="center"/>
                </w:tcPr>
                <w:p w14:paraId="5369F595">
                  <w:pPr>
                    <w:pStyle w:val="12"/>
                    <w:rPr>
                      <w:rFonts w:cs="Times New Roman"/>
                    </w:rPr>
                  </w:pPr>
                  <w:r>
                    <w:rPr>
                      <w:rFonts w:cs="Times New Roman"/>
                    </w:rPr>
                    <w:t>81.0</w:t>
                  </w:r>
                </w:p>
              </w:tc>
              <w:tc>
                <w:tcPr>
                  <w:tcW w:w="463" w:type="dxa"/>
                  <w:shd w:val="clear" w:color="auto" w:fill="auto"/>
                  <w:tcMar>
                    <w:top w:w="0" w:type="dxa"/>
                    <w:left w:w="0" w:type="dxa"/>
                    <w:bottom w:w="0" w:type="dxa"/>
                    <w:right w:w="0" w:type="dxa"/>
                  </w:tcMar>
                  <w:vAlign w:val="center"/>
                </w:tcPr>
                <w:p w14:paraId="5AB6C0F0">
                  <w:pPr>
                    <w:pStyle w:val="12"/>
                    <w:rPr>
                      <w:rFonts w:cs="Times New Roman"/>
                    </w:rPr>
                  </w:pPr>
                  <w:r>
                    <w:rPr>
                      <w:rFonts w:cs="Times New Roman"/>
                    </w:rPr>
                    <w:t>72.0</w:t>
                  </w:r>
                </w:p>
              </w:tc>
              <w:tc>
                <w:tcPr>
                  <w:tcW w:w="463" w:type="dxa"/>
                  <w:shd w:val="clear" w:color="auto" w:fill="auto"/>
                  <w:tcMar>
                    <w:top w:w="0" w:type="dxa"/>
                    <w:left w:w="0" w:type="dxa"/>
                    <w:bottom w:w="0" w:type="dxa"/>
                    <w:right w:w="0" w:type="dxa"/>
                  </w:tcMar>
                  <w:vAlign w:val="center"/>
                </w:tcPr>
                <w:p w14:paraId="7599C54E">
                  <w:pPr>
                    <w:pStyle w:val="12"/>
                    <w:rPr>
                      <w:rFonts w:cs="Times New Roman"/>
                    </w:rPr>
                  </w:pPr>
                  <w:r>
                    <w:rPr>
                      <w:rFonts w:cs="Times New Roman"/>
                    </w:rPr>
                    <w:t>72.0</w:t>
                  </w:r>
                </w:p>
              </w:tc>
              <w:tc>
                <w:tcPr>
                  <w:tcW w:w="463" w:type="dxa"/>
                  <w:shd w:val="clear" w:color="auto" w:fill="auto"/>
                  <w:tcMar>
                    <w:top w:w="0" w:type="dxa"/>
                    <w:left w:w="0" w:type="dxa"/>
                    <w:bottom w:w="0" w:type="dxa"/>
                    <w:right w:w="0" w:type="dxa"/>
                  </w:tcMar>
                  <w:vAlign w:val="center"/>
                </w:tcPr>
                <w:p w14:paraId="22670408">
                  <w:pPr>
                    <w:pStyle w:val="12"/>
                    <w:rPr>
                      <w:rFonts w:cs="Times New Roman"/>
                    </w:rPr>
                  </w:pPr>
                  <w:r>
                    <w:rPr>
                      <w:rFonts w:cs="Times New Roman"/>
                    </w:rPr>
                    <w:t>72.0</w:t>
                  </w:r>
                </w:p>
              </w:tc>
              <w:tc>
                <w:tcPr>
                  <w:tcW w:w="492" w:type="dxa"/>
                  <w:shd w:val="clear" w:color="auto" w:fill="auto"/>
                  <w:tcMar>
                    <w:top w:w="0" w:type="dxa"/>
                    <w:left w:w="0" w:type="dxa"/>
                    <w:bottom w:w="0" w:type="dxa"/>
                    <w:right w:w="0" w:type="dxa"/>
                  </w:tcMar>
                  <w:vAlign w:val="center"/>
                </w:tcPr>
                <w:p w14:paraId="3FDF3A91">
                  <w:pPr>
                    <w:pStyle w:val="12"/>
                    <w:rPr>
                      <w:rFonts w:cs="Times New Roman"/>
                    </w:rPr>
                  </w:pPr>
                  <w:r>
                    <w:rPr>
                      <w:rFonts w:cs="Times New Roman"/>
                    </w:rPr>
                    <w:t>72.0</w:t>
                  </w:r>
                </w:p>
              </w:tc>
              <w:tc>
                <w:tcPr>
                  <w:tcW w:w="456" w:type="dxa"/>
                  <w:vMerge w:val="continue"/>
                  <w:shd w:val="clear" w:color="auto" w:fill="auto"/>
                  <w:tcMar>
                    <w:top w:w="0" w:type="dxa"/>
                    <w:left w:w="0" w:type="dxa"/>
                    <w:bottom w:w="0" w:type="dxa"/>
                    <w:right w:w="0" w:type="dxa"/>
                  </w:tcMar>
                  <w:vAlign w:val="center"/>
                </w:tcPr>
                <w:p w14:paraId="5EB2A45D">
                  <w:pPr>
                    <w:pStyle w:val="12"/>
                    <w:rPr>
                      <w:rFonts w:cs="Times New Roman"/>
                    </w:rPr>
                  </w:pPr>
                </w:p>
              </w:tc>
              <w:tc>
                <w:tcPr>
                  <w:tcW w:w="449" w:type="dxa"/>
                  <w:shd w:val="clear" w:color="auto" w:fill="auto"/>
                  <w:tcMar>
                    <w:top w:w="0" w:type="dxa"/>
                    <w:left w:w="0" w:type="dxa"/>
                    <w:bottom w:w="0" w:type="dxa"/>
                    <w:right w:w="0" w:type="dxa"/>
                  </w:tcMar>
                  <w:vAlign w:val="center"/>
                </w:tcPr>
                <w:p w14:paraId="73F449F2">
                  <w:pPr>
                    <w:pStyle w:val="12"/>
                    <w:rPr>
                      <w:rFonts w:cs="Times New Roman"/>
                    </w:rPr>
                  </w:pPr>
                  <w:r>
                    <w:rPr>
                      <w:rFonts w:cs="Times New Roman"/>
                    </w:rPr>
                    <w:t>26.0</w:t>
                  </w:r>
                </w:p>
              </w:tc>
              <w:tc>
                <w:tcPr>
                  <w:tcW w:w="449" w:type="dxa"/>
                  <w:shd w:val="clear" w:color="auto" w:fill="auto"/>
                  <w:tcMar>
                    <w:top w:w="0" w:type="dxa"/>
                    <w:left w:w="0" w:type="dxa"/>
                    <w:bottom w:w="0" w:type="dxa"/>
                    <w:right w:w="0" w:type="dxa"/>
                  </w:tcMar>
                  <w:vAlign w:val="center"/>
                </w:tcPr>
                <w:p w14:paraId="09609BD1">
                  <w:pPr>
                    <w:pStyle w:val="12"/>
                    <w:rPr>
                      <w:rFonts w:cs="Times New Roman"/>
                    </w:rPr>
                  </w:pPr>
                  <w:r>
                    <w:rPr>
                      <w:rFonts w:cs="Times New Roman"/>
                    </w:rPr>
                    <w:t>26.0</w:t>
                  </w:r>
                </w:p>
              </w:tc>
              <w:tc>
                <w:tcPr>
                  <w:tcW w:w="449" w:type="dxa"/>
                  <w:shd w:val="clear" w:color="auto" w:fill="auto"/>
                  <w:tcMar>
                    <w:top w:w="0" w:type="dxa"/>
                    <w:left w:w="0" w:type="dxa"/>
                    <w:bottom w:w="0" w:type="dxa"/>
                    <w:right w:w="0" w:type="dxa"/>
                  </w:tcMar>
                  <w:vAlign w:val="center"/>
                </w:tcPr>
                <w:p w14:paraId="6EC93AB7">
                  <w:pPr>
                    <w:pStyle w:val="12"/>
                    <w:rPr>
                      <w:rFonts w:cs="Times New Roman"/>
                    </w:rPr>
                  </w:pPr>
                  <w:r>
                    <w:rPr>
                      <w:rFonts w:cs="Times New Roman"/>
                    </w:rPr>
                    <w:t>26.0</w:t>
                  </w:r>
                </w:p>
              </w:tc>
              <w:tc>
                <w:tcPr>
                  <w:tcW w:w="466" w:type="dxa"/>
                  <w:shd w:val="clear" w:color="auto" w:fill="auto"/>
                  <w:tcMar>
                    <w:top w:w="0" w:type="dxa"/>
                    <w:left w:w="0" w:type="dxa"/>
                    <w:bottom w:w="0" w:type="dxa"/>
                    <w:right w:w="0" w:type="dxa"/>
                  </w:tcMar>
                  <w:vAlign w:val="center"/>
                </w:tcPr>
                <w:p w14:paraId="54CD8BD1">
                  <w:pPr>
                    <w:pStyle w:val="12"/>
                    <w:rPr>
                      <w:rFonts w:cs="Times New Roman"/>
                    </w:rPr>
                  </w:pPr>
                  <w:r>
                    <w:rPr>
                      <w:rFonts w:cs="Times New Roman"/>
                    </w:rPr>
                    <w:t>26.0</w:t>
                  </w:r>
                </w:p>
              </w:tc>
              <w:tc>
                <w:tcPr>
                  <w:tcW w:w="475" w:type="dxa"/>
                  <w:shd w:val="clear" w:color="auto" w:fill="auto"/>
                  <w:tcMar>
                    <w:top w:w="0" w:type="dxa"/>
                    <w:left w:w="0" w:type="dxa"/>
                    <w:bottom w:w="0" w:type="dxa"/>
                    <w:right w:w="0" w:type="dxa"/>
                  </w:tcMar>
                  <w:vAlign w:val="center"/>
                </w:tcPr>
                <w:p w14:paraId="3F4506A4">
                  <w:pPr>
                    <w:pStyle w:val="12"/>
                    <w:rPr>
                      <w:rFonts w:cs="Times New Roman"/>
                    </w:rPr>
                  </w:pPr>
                  <w:r>
                    <w:rPr>
                      <w:rFonts w:cs="Times New Roman"/>
                    </w:rPr>
                    <w:t>46.0</w:t>
                  </w:r>
                </w:p>
              </w:tc>
              <w:tc>
                <w:tcPr>
                  <w:tcW w:w="475" w:type="dxa"/>
                  <w:shd w:val="clear" w:color="auto" w:fill="auto"/>
                  <w:tcMar>
                    <w:top w:w="0" w:type="dxa"/>
                    <w:left w:w="0" w:type="dxa"/>
                    <w:bottom w:w="0" w:type="dxa"/>
                    <w:right w:w="0" w:type="dxa"/>
                  </w:tcMar>
                  <w:vAlign w:val="center"/>
                </w:tcPr>
                <w:p w14:paraId="56CB9C61">
                  <w:pPr>
                    <w:pStyle w:val="12"/>
                    <w:rPr>
                      <w:rFonts w:cs="Times New Roman"/>
                    </w:rPr>
                  </w:pPr>
                  <w:r>
                    <w:rPr>
                      <w:rFonts w:cs="Times New Roman"/>
                    </w:rPr>
                    <w:t>46.0</w:t>
                  </w:r>
                </w:p>
              </w:tc>
              <w:tc>
                <w:tcPr>
                  <w:tcW w:w="476" w:type="dxa"/>
                  <w:shd w:val="clear" w:color="auto" w:fill="auto"/>
                  <w:tcMar>
                    <w:top w:w="0" w:type="dxa"/>
                    <w:left w:w="0" w:type="dxa"/>
                    <w:bottom w:w="0" w:type="dxa"/>
                    <w:right w:w="0" w:type="dxa"/>
                  </w:tcMar>
                  <w:vAlign w:val="center"/>
                </w:tcPr>
                <w:p w14:paraId="41876D32">
                  <w:pPr>
                    <w:pStyle w:val="12"/>
                    <w:rPr>
                      <w:rFonts w:cs="Times New Roman"/>
                    </w:rPr>
                  </w:pPr>
                  <w:r>
                    <w:rPr>
                      <w:rFonts w:cs="Times New Roman"/>
                    </w:rPr>
                    <w:t>46.0</w:t>
                  </w:r>
                </w:p>
              </w:tc>
              <w:tc>
                <w:tcPr>
                  <w:tcW w:w="476" w:type="dxa"/>
                  <w:shd w:val="clear" w:color="auto" w:fill="auto"/>
                  <w:tcMar>
                    <w:top w:w="0" w:type="dxa"/>
                    <w:left w:w="0" w:type="dxa"/>
                    <w:bottom w:w="0" w:type="dxa"/>
                    <w:right w:w="0" w:type="dxa"/>
                  </w:tcMar>
                  <w:vAlign w:val="center"/>
                </w:tcPr>
                <w:p w14:paraId="2FB71E99">
                  <w:pPr>
                    <w:pStyle w:val="12"/>
                    <w:rPr>
                      <w:rFonts w:cs="Times New Roman"/>
                    </w:rPr>
                  </w:pPr>
                  <w:r>
                    <w:rPr>
                      <w:rFonts w:cs="Times New Roman"/>
                    </w:rPr>
                    <w:t>46.0</w:t>
                  </w:r>
                </w:p>
              </w:tc>
              <w:tc>
                <w:tcPr>
                  <w:tcW w:w="545" w:type="dxa"/>
                  <w:shd w:val="clear" w:color="auto" w:fill="auto"/>
                  <w:tcMar>
                    <w:top w:w="0" w:type="dxa"/>
                    <w:left w:w="0" w:type="dxa"/>
                    <w:bottom w:w="0" w:type="dxa"/>
                    <w:right w:w="0" w:type="dxa"/>
                  </w:tcMar>
                  <w:vAlign w:val="center"/>
                </w:tcPr>
                <w:p w14:paraId="065FCB86">
                  <w:pPr>
                    <w:pStyle w:val="12"/>
                    <w:rPr>
                      <w:rFonts w:cs="Times New Roman"/>
                    </w:rPr>
                  </w:pPr>
                  <w:r>
                    <w:rPr>
                      <w:rFonts w:cs="Times New Roman"/>
                    </w:rPr>
                    <w:t>1</w:t>
                  </w:r>
                </w:p>
              </w:tc>
            </w:tr>
            <w:tr w14:paraId="578EF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131" w:type="dxa"/>
                  <w:gridSpan w:val="25"/>
                  <w:shd w:val="clear" w:color="auto" w:fill="auto"/>
                  <w:tcMar>
                    <w:top w:w="0" w:type="dxa"/>
                    <w:left w:w="0" w:type="dxa"/>
                    <w:bottom w:w="0" w:type="dxa"/>
                    <w:right w:w="0" w:type="dxa"/>
                  </w:tcMar>
                  <w:vAlign w:val="center"/>
                </w:tcPr>
                <w:p w14:paraId="288B611D">
                  <w:pPr>
                    <w:pStyle w:val="12"/>
                    <w:jc w:val="left"/>
                    <w:rPr>
                      <w:rFonts w:cs="Times New Roman"/>
                    </w:rPr>
                  </w:pPr>
                  <w:r>
                    <w:rPr>
                      <w:rFonts w:cs="Times New Roman"/>
                      <w:bCs/>
                      <w:szCs w:val="21"/>
                    </w:rPr>
                    <w:t>表中坐标以</w:t>
                  </w:r>
                  <w:r>
                    <w:rPr>
                      <w:rFonts w:hint="eastAsia" w:cs="Times New Roman"/>
                      <w:bCs/>
                      <w:szCs w:val="21"/>
                      <w:lang w:val="en-US" w:eastAsia="zh-CN"/>
                    </w:rPr>
                    <w:t>厂区中心</w:t>
                  </w:r>
                  <w:r>
                    <w:rPr>
                      <w:rFonts w:cs="Times New Roman"/>
                      <w:bCs/>
                      <w:szCs w:val="21"/>
                    </w:rPr>
                    <w:t>（</w:t>
                  </w:r>
                  <w:bookmarkStart w:id="72" w:name="PO_4"/>
                  <w:r>
                    <w:rPr>
                      <w:rFonts w:cs="Times New Roman"/>
                      <w:bCs/>
                      <w:szCs w:val="21"/>
                    </w:rPr>
                    <w:t>10</w:t>
                  </w:r>
                  <w:bookmarkEnd w:id="72"/>
                  <w:r>
                    <w:rPr>
                      <w:rFonts w:hint="eastAsia" w:cs="Times New Roman"/>
                      <w:bCs/>
                      <w:szCs w:val="21"/>
                      <w:lang w:val="en-US" w:eastAsia="zh-CN"/>
                    </w:rPr>
                    <w:t>7°8′17.472″，31°31′55.248″</w:t>
                  </w:r>
                  <w:r>
                    <w:rPr>
                      <w:rFonts w:cs="Times New Roman"/>
                      <w:bCs/>
                      <w:szCs w:val="21"/>
                    </w:rPr>
                    <w:t>）为坐标原点，噪声设备为最大可能同时使用设备。</w:t>
                  </w:r>
                </w:p>
              </w:tc>
            </w:tr>
            <w:bookmarkEnd w:id="70"/>
          </w:tbl>
          <w:p w14:paraId="51F065BC">
            <w:pPr>
              <w:ind w:firstLine="480"/>
              <w:rPr>
                <w:rFonts w:cs="Times New Roman"/>
              </w:rPr>
            </w:pPr>
          </w:p>
          <w:p w14:paraId="045F6205">
            <w:pPr>
              <w:pStyle w:val="16"/>
            </w:pPr>
          </w:p>
          <w:p w14:paraId="26C4F2F2">
            <w:pPr>
              <w:pStyle w:val="17"/>
            </w:pPr>
          </w:p>
          <w:p w14:paraId="51BA12F8"/>
          <w:p w14:paraId="7215141A"/>
          <w:p w14:paraId="629AA24A"/>
          <w:p w14:paraId="7CD4CBDF"/>
          <w:p w14:paraId="3E625E91"/>
          <w:p w14:paraId="2C4AC2E9"/>
          <w:p w14:paraId="71B36A55"/>
          <w:p w14:paraId="4ECAA940"/>
          <w:p w14:paraId="7E0E25D8"/>
          <w:p w14:paraId="7F707A09"/>
          <w:p w14:paraId="0C38A098"/>
          <w:p w14:paraId="3E3BB5B1"/>
          <w:p w14:paraId="07419CCC">
            <w:pPr>
              <w:ind w:left="0" w:leftChars="0" w:firstLine="0" w:firstLineChars="0"/>
            </w:pPr>
          </w:p>
        </w:tc>
      </w:tr>
    </w:tbl>
    <w:p w14:paraId="3C841F0A">
      <w:pPr>
        <w:ind w:firstLine="480"/>
        <w:rPr>
          <w:rFonts w:cs="Times New Roman"/>
        </w:rPr>
        <w:sectPr>
          <w:pgSz w:w="16838" w:h="11906" w:orient="landscape"/>
          <w:pgMar w:top="1080" w:right="1440" w:bottom="1080" w:left="1440" w:header="851" w:footer="992" w:gutter="0"/>
          <w:cols w:space="425" w:num="1"/>
          <w:docGrid w:type="lines" w:linePitch="326" w:charSpace="0"/>
        </w:sectPr>
      </w:pP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4"/>
        <w:gridCol w:w="9032"/>
      </w:tblGrid>
      <w:tr w14:paraId="1BFA7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Pr>
          <w:p w14:paraId="1301D424">
            <w:pPr>
              <w:pStyle w:val="24"/>
              <w:rPr>
                <w:rFonts w:cs="Times New Roman"/>
                <w:sz w:val="24"/>
                <w:szCs w:val="28"/>
              </w:rPr>
            </w:pPr>
            <w:r>
              <w:rPr>
                <w:rFonts w:cs="Times New Roman"/>
                <w:sz w:val="24"/>
                <w:szCs w:val="28"/>
              </w:rPr>
              <w:t>运营</w:t>
            </w:r>
          </w:p>
          <w:p w14:paraId="4834240C">
            <w:pPr>
              <w:pStyle w:val="24"/>
              <w:rPr>
                <w:rFonts w:cs="Times New Roman"/>
                <w:sz w:val="24"/>
                <w:szCs w:val="28"/>
              </w:rPr>
            </w:pPr>
            <w:r>
              <w:rPr>
                <w:rFonts w:cs="Times New Roman"/>
                <w:sz w:val="24"/>
                <w:szCs w:val="28"/>
              </w:rPr>
              <w:t>期环</w:t>
            </w:r>
          </w:p>
          <w:p w14:paraId="1357B854">
            <w:pPr>
              <w:pStyle w:val="24"/>
              <w:rPr>
                <w:rFonts w:cs="Times New Roman"/>
                <w:sz w:val="24"/>
                <w:szCs w:val="28"/>
              </w:rPr>
            </w:pPr>
            <w:r>
              <w:rPr>
                <w:rFonts w:cs="Times New Roman"/>
                <w:sz w:val="24"/>
                <w:szCs w:val="28"/>
              </w:rPr>
              <w:t>境影</w:t>
            </w:r>
          </w:p>
          <w:p w14:paraId="27472B6F">
            <w:pPr>
              <w:pStyle w:val="24"/>
              <w:rPr>
                <w:rFonts w:cs="Times New Roman"/>
                <w:sz w:val="24"/>
                <w:szCs w:val="28"/>
              </w:rPr>
            </w:pPr>
            <w:r>
              <w:rPr>
                <w:rFonts w:cs="Times New Roman"/>
                <w:sz w:val="24"/>
                <w:szCs w:val="28"/>
              </w:rPr>
              <w:t>响和</w:t>
            </w:r>
          </w:p>
          <w:p w14:paraId="705A0EA6">
            <w:pPr>
              <w:pStyle w:val="24"/>
              <w:rPr>
                <w:rFonts w:cs="Times New Roman"/>
                <w:sz w:val="24"/>
                <w:szCs w:val="28"/>
              </w:rPr>
            </w:pPr>
            <w:r>
              <w:rPr>
                <w:rFonts w:cs="Times New Roman"/>
                <w:sz w:val="24"/>
                <w:szCs w:val="28"/>
              </w:rPr>
              <w:t>保护</w:t>
            </w:r>
          </w:p>
          <w:p w14:paraId="71704C5C">
            <w:pPr>
              <w:pStyle w:val="24"/>
              <w:rPr>
                <w:rFonts w:cs="Times New Roman"/>
              </w:rPr>
            </w:pPr>
            <w:r>
              <w:rPr>
                <w:rFonts w:cs="Times New Roman"/>
                <w:sz w:val="24"/>
                <w:szCs w:val="28"/>
              </w:rPr>
              <w:t>措施</w:t>
            </w:r>
          </w:p>
        </w:tc>
        <w:tc>
          <w:tcPr>
            <w:tcW w:w="9032" w:type="dxa"/>
          </w:tcPr>
          <w:p w14:paraId="6A2A2728">
            <w:pPr>
              <w:ind w:firstLine="482"/>
              <w:rPr>
                <w:rFonts w:cs="Times New Roman"/>
                <w:b/>
              </w:rPr>
            </w:pPr>
            <w:r>
              <w:rPr>
                <w:rFonts w:cs="Times New Roman"/>
                <w:b/>
              </w:rPr>
              <w:t>（2）噪声治理措施</w:t>
            </w:r>
          </w:p>
          <w:p w14:paraId="4DD8BDAE">
            <w:pPr>
              <w:ind w:firstLine="480"/>
              <w:rPr>
                <w:rFonts w:cs="Times New Roman"/>
              </w:rPr>
            </w:pPr>
            <w:r>
              <w:rPr>
                <w:rFonts w:cs="Times New Roman"/>
              </w:rPr>
              <w:t>本项目营运期间拟采取以下降噪措施：</w:t>
            </w:r>
          </w:p>
          <w:p w14:paraId="0EF18CE9">
            <w:pPr>
              <w:ind w:firstLine="480"/>
              <w:rPr>
                <w:rFonts w:cs="Times New Roman"/>
              </w:rPr>
            </w:pPr>
            <w:r>
              <w:rPr>
                <w:rFonts w:hint="eastAsia" w:ascii="宋体" w:hAnsi="宋体" w:cs="宋体"/>
              </w:rPr>
              <w:t>①</w:t>
            </w:r>
            <w:r>
              <w:rPr>
                <w:rFonts w:cs="Times New Roman"/>
              </w:rPr>
              <w:t>选用低噪设备：选用先进的低噪设备，从声源上降低设备本身噪声。</w:t>
            </w:r>
          </w:p>
          <w:p w14:paraId="63B7922C">
            <w:pPr>
              <w:ind w:firstLine="480"/>
              <w:rPr>
                <w:rFonts w:cs="Times New Roman"/>
              </w:rPr>
            </w:pPr>
            <w:r>
              <w:rPr>
                <w:rFonts w:hint="eastAsia" w:ascii="宋体" w:hAnsi="宋体" w:cs="宋体"/>
              </w:rPr>
              <w:t>②</w:t>
            </w:r>
            <w:r>
              <w:rPr>
                <w:rFonts w:cs="Times New Roman"/>
              </w:rPr>
              <w:t>合理平面布局：车间内划定分区合理布置声源位置，将高噪声设备合理在车间内布置</w:t>
            </w:r>
            <w:r>
              <w:rPr>
                <w:rFonts w:hint="eastAsia" w:cs="Times New Roman"/>
                <w:lang w:eastAsia="zh-CN"/>
              </w:rPr>
              <w:t>；设置</w:t>
            </w:r>
            <w:r>
              <w:rPr>
                <w:rFonts w:hint="eastAsia" w:cs="Times New Roman"/>
                <w:lang w:val="en-US" w:eastAsia="zh-CN"/>
              </w:rPr>
              <w:t>独立密闭风机房</w:t>
            </w:r>
            <w:r>
              <w:rPr>
                <w:rFonts w:cs="Times New Roman"/>
              </w:rPr>
              <w:t>。</w:t>
            </w:r>
          </w:p>
          <w:p w14:paraId="146F7F6C">
            <w:pPr>
              <w:ind w:firstLine="480"/>
              <w:rPr>
                <w:rFonts w:cs="Times New Roman"/>
              </w:rPr>
            </w:pPr>
            <w:r>
              <w:rPr>
                <w:rFonts w:hint="eastAsia" w:ascii="宋体" w:hAnsi="宋体" w:cs="宋体"/>
              </w:rPr>
              <w:t>③</w:t>
            </w:r>
            <w:r>
              <w:rPr>
                <w:rFonts w:cs="Times New Roman"/>
              </w:rPr>
              <w:t>基础</w:t>
            </w:r>
            <w:r>
              <w:rPr>
                <w:rFonts w:hint="eastAsia" w:cs="Times New Roman"/>
                <w:lang w:eastAsia="zh-CN"/>
              </w:rPr>
              <w:t>减振</w:t>
            </w:r>
            <w:r>
              <w:rPr>
                <w:rFonts w:cs="Times New Roman"/>
              </w:rPr>
              <w:t>：因机械设备运转不平衡将导致设备振动和墙体振动从而产生噪声。因此，在机械设备与基础之间增加弹簧或者由弹性材料制作的减振垫层、减振器，</w:t>
            </w:r>
            <w:r>
              <w:rPr>
                <w:rFonts w:hint="eastAsia" w:cs="Times New Roman"/>
                <w:lang w:val="en-US" w:eastAsia="zh-CN"/>
              </w:rPr>
              <w:t>免烧生产设备设置减振沟。</w:t>
            </w:r>
            <w:r>
              <w:rPr>
                <w:rFonts w:cs="Times New Roman"/>
              </w:rPr>
              <w:t>这样能有效减少能量的传递，以减小其振动噪声影响，风机口消声。</w:t>
            </w:r>
          </w:p>
          <w:p w14:paraId="1478191F">
            <w:pPr>
              <w:ind w:firstLine="480"/>
              <w:rPr>
                <w:rFonts w:cs="Times New Roman"/>
              </w:rPr>
            </w:pPr>
            <w:r>
              <w:rPr>
                <w:rFonts w:hint="eastAsia" w:ascii="宋体" w:hAnsi="宋体" w:cs="宋体"/>
              </w:rPr>
              <w:t>④</w:t>
            </w:r>
            <w:r>
              <w:rPr>
                <w:rFonts w:cs="Times New Roman"/>
              </w:rPr>
              <w:t>加强维护：定期维护机械设备，以确保设备正常运转，防止设备异常运转造成噪声污染。定期对工厂中陈旧的设备进行及时更换。在采购工厂新设备时，采购人员应将产品的噪声标准考虑在内，并作为评价产品综合性能的一个重要指标。应该优先选择低噪声、低振动的设备。</w:t>
            </w:r>
          </w:p>
          <w:p w14:paraId="5E68674B">
            <w:pPr>
              <w:ind w:firstLine="480"/>
              <w:rPr>
                <w:rFonts w:cs="Times New Roman"/>
              </w:rPr>
            </w:pPr>
            <w:r>
              <w:rPr>
                <w:rFonts w:hint="eastAsia" w:ascii="宋体" w:hAnsi="宋体" w:cs="宋体"/>
              </w:rPr>
              <w:t>⑤</w:t>
            </w:r>
            <w:r>
              <w:rPr>
                <w:rFonts w:cs="Times New Roman"/>
              </w:rPr>
              <w:t>加强管理：加强管理，对原料运输下料时，做到轻卸、缓放、严禁夜间卸料。车间内根据生产工艺划定分区，可有效减少厂区内物料转运频次，降低因物料转移过程中因碰撞、跌落、摩擦产生的噪声影响。加强职工环保意识教育，提倡文明生产，防止人为噪声。</w:t>
            </w:r>
          </w:p>
          <w:p w14:paraId="664F8874">
            <w:pPr>
              <w:ind w:firstLine="480"/>
              <w:rPr>
                <w:rFonts w:cs="Times New Roman"/>
              </w:rPr>
            </w:pPr>
            <w:r>
              <w:rPr>
                <w:rFonts w:hint="eastAsia" w:ascii="宋体" w:hAnsi="宋体" w:cs="宋体"/>
              </w:rPr>
              <w:t>⑥</w:t>
            </w:r>
            <w:r>
              <w:rPr>
                <w:rFonts w:cs="Times New Roman"/>
              </w:rPr>
              <w:t>生产车间封闭，生产时关闭门窗，依托车间现有建筑隔声，可有效降低噪声。</w:t>
            </w:r>
          </w:p>
          <w:p w14:paraId="7DCDD926">
            <w:pPr>
              <w:ind w:firstLine="482"/>
              <w:rPr>
                <w:rFonts w:cs="Times New Roman"/>
                <w:b/>
              </w:rPr>
            </w:pPr>
            <w:r>
              <w:rPr>
                <w:rFonts w:cs="Times New Roman"/>
                <w:b/>
              </w:rPr>
              <w:t>（3）声环境保护目标</w:t>
            </w:r>
          </w:p>
          <w:p w14:paraId="6C5E3637">
            <w:pPr>
              <w:ind w:firstLine="480"/>
              <w:rPr>
                <w:rFonts w:cs="Times New Roman"/>
              </w:rPr>
            </w:pPr>
            <w:r>
              <w:rPr>
                <w:rFonts w:cs="Times New Roman"/>
              </w:rPr>
              <w:t>本项目</w:t>
            </w:r>
            <w:r>
              <w:rPr>
                <w:rFonts w:hint="eastAsia" w:cs="Times New Roman"/>
                <w:lang w:val="en-US" w:eastAsia="zh-CN"/>
              </w:rPr>
              <w:t>5</w:t>
            </w:r>
            <w:r>
              <w:rPr>
                <w:rFonts w:cs="Times New Roman"/>
              </w:rPr>
              <w:t>0m范围内无声环境保护目标。</w:t>
            </w:r>
          </w:p>
          <w:p w14:paraId="0B80EF4B">
            <w:pPr>
              <w:ind w:firstLine="482"/>
              <w:rPr>
                <w:rFonts w:cs="Times New Roman"/>
                <w:b/>
              </w:rPr>
            </w:pPr>
            <w:r>
              <w:rPr>
                <w:rFonts w:cs="Times New Roman"/>
                <w:b/>
              </w:rPr>
              <w:t>（4）噪声预测</w:t>
            </w:r>
          </w:p>
          <w:p w14:paraId="26EF3EC5">
            <w:pPr>
              <w:ind w:firstLine="480"/>
              <w:rPr>
                <w:rFonts w:cs="Times New Roman"/>
              </w:rPr>
            </w:pPr>
            <w:r>
              <w:rPr>
                <w:rFonts w:cs="Times New Roman"/>
              </w:rPr>
              <w:t>根据《环境影响评价技术导则·声环境》（HJ2.4-2021）推荐的户外声传播衰减模式进行预测，考虑遮挡物衰减、空气吸收衰减、地面附加衰减，对某些难以定量的参数，查相关资料进行估算。</w:t>
            </w:r>
          </w:p>
          <w:p w14:paraId="4347CA35">
            <w:pPr>
              <w:ind w:firstLine="480"/>
              <w:rPr>
                <w:rFonts w:cs="Times New Roman"/>
              </w:rPr>
            </w:pPr>
            <w:r>
              <w:rPr>
                <w:rFonts w:cs="Times New Roman"/>
              </w:rPr>
              <w:t>本项目噪声源主要为室内声源。进行环境噪声预测时所使用的工业噪声源按点声源处理。</w:t>
            </w:r>
          </w:p>
          <w:p w14:paraId="6F760E23">
            <w:pPr>
              <w:ind w:firstLine="480"/>
              <w:rPr>
                <w:rFonts w:cs="Times New Roman"/>
              </w:rPr>
            </w:pPr>
            <w:r>
              <w:rPr>
                <w:rFonts w:cs="Times New Roman"/>
              </w:rPr>
              <w:t>1）室内声源</w:t>
            </w:r>
          </w:p>
          <w:p w14:paraId="1F0953F2">
            <w:pPr>
              <w:ind w:firstLine="480"/>
              <w:rPr>
                <w:rFonts w:cs="Times New Roman"/>
              </w:rPr>
            </w:pPr>
            <w:r>
              <w:rPr>
                <w:rFonts w:hint="eastAsia" w:ascii="宋体" w:hAnsi="宋体" w:cs="宋体"/>
              </w:rPr>
              <w:t>①</w:t>
            </w:r>
            <w:r>
              <w:rPr>
                <w:rFonts w:cs="Times New Roman"/>
              </w:rPr>
              <w:t>首先计算出某个室内声源靠近围护结构处声压级</w:t>
            </w:r>
          </w:p>
          <w:p w14:paraId="43E62EE0">
            <w:pPr>
              <w:ind w:firstLine="480"/>
              <w:jc w:val="center"/>
              <w:rPr>
                <w:rFonts w:cs="Times New Roman"/>
              </w:rPr>
            </w:pPr>
            <w:r>
              <w:rPr>
                <w:rFonts w:cs="Times New Roman"/>
              </w:rPr>
              <w:drawing>
                <wp:inline distT="0" distB="0" distL="0" distR="0">
                  <wp:extent cx="1885315" cy="427990"/>
                  <wp:effectExtent l="0" t="0" r="635" b="0"/>
                  <wp:docPr id="9" name="图片 9"/>
                  <wp:cNvGraphicFramePr/>
                  <a:graphic xmlns:a="http://schemas.openxmlformats.org/drawingml/2006/main">
                    <a:graphicData uri="http://schemas.openxmlformats.org/drawingml/2006/picture">
                      <pic:pic xmlns:pic="http://schemas.openxmlformats.org/drawingml/2006/picture">
                        <pic:nvPicPr>
                          <pic:cNvPr id="9" name="图片 9"/>
                          <pic:cNvPicPr/>
                        </pic:nvPicPr>
                        <pic:blipFill>
                          <a:blip r:embed="rId33">
                            <a:extLst>
                              <a:ext uri="{28A0092B-C50C-407E-A947-70E740481C1C}">
                                <a14:useLocalDpi xmlns:a14="http://schemas.microsoft.com/office/drawing/2010/main" val="0"/>
                              </a:ext>
                            </a:extLst>
                          </a:blip>
                          <a:stretch>
                            <a:fillRect/>
                          </a:stretch>
                        </pic:blipFill>
                        <pic:spPr>
                          <a:xfrm>
                            <a:off x="0" y="0"/>
                            <a:ext cx="1885315" cy="427990"/>
                          </a:xfrm>
                          <a:prstGeom prst="rect">
                            <a:avLst/>
                          </a:prstGeom>
                        </pic:spPr>
                      </pic:pic>
                    </a:graphicData>
                  </a:graphic>
                </wp:inline>
              </w:drawing>
            </w:r>
          </w:p>
          <w:p w14:paraId="70A1178C">
            <w:pPr>
              <w:ind w:firstLine="480"/>
              <w:rPr>
                <w:rFonts w:cs="Times New Roman"/>
              </w:rPr>
            </w:pPr>
            <w:r>
              <w:rPr>
                <w:rFonts w:cs="Times New Roman"/>
              </w:rPr>
              <w:t>式中：L</w:t>
            </w:r>
            <w:r>
              <w:rPr>
                <w:rFonts w:cs="Times New Roman"/>
                <w:vertAlign w:val="subscript"/>
              </w:rPr>
              <w:t>P1</w:t>
            </w:r>
            <w:r>
              <w:rPr>
                <w:rFonts w:cs="Times New Roman"/>
              </w:rPr>
              <w:t>—室内声源靠近围护结构处产生的声压级，dB（A）；</w:t>
            </w:r>
          </w:p>
          <w:p w14:paraId="6F113D55">
            <w:pPr>
              <w:ind w:firstLine="480"/>
              <w:rPr>
                <w:rFonts w:cs="Times New Roman"/>
              </w:rPr>
            </w:pPr>
            <w:r>
              <w:rPr>
                <w:rFonts w:cs="Times New Roman"/>
              </w:rPr>
              <w:t>L</w:t>
            </w:r>
            <w:r>
              <w:rPr>
                <w:rFonts w:cs="Times New Roman"/>
                <w:vertAlign w:val="subscript"/>
              </w:rPr>
              <w:t>W</w:t>
            </w:r>
            <w:r>
              <w:rPr>
                <w:rFonts w:cs="Times New Roman"/>
              </w:rPr>
              <w:t>—点声源声级，dB（A）</w:t>
            </w:r>
          </w:p>
          <w:p w14:paraId="036AE03E">
            <w:pPr>
              <w:ind w:firstLine="480"/>
              <w:rPr>
                <w:rFonts w:cs="Times New Roman"/>
              </w:rPr>
            </w:pPr>
            <w:r>
              <w:rPr>
                <w:rFonts w:cs="Times New Roman"/>
              </w:rPr>
              <w:t>Q—指向性因子，设备不靠墙防治，取1；</w:t>
            </w:r>
          </w:p>
          <w:p w14:paraId="36294F77">
            <w:pPr>
              <w:ind w:firstLine="480"/>
              <w:rPr>
                <w:rFonts w:cs="Times New Roman"/>
              </w:rPr>
            </w:pPr>
            <w:r>
              <w:rPr>
                <w:rFonts w:cs="Times New Roman"/>
              </w:rPr>
              <w:t>R—房间常数R=Sα(1-α)；</w:t>
            </w:r>
          </w:p>
          <w:p w14:paraId="69DA50C2">
            <w:pPr>
              <w:ind w:firstLine="480"/>
              <w:rPr>
                <w:rFonts w:cs="Times New Roman"/>
              </w:rPr>
            </w:pPr>
            <w:r>
              <w:rPr>
                <w:rFonts w:cs="Times New Roman"/>
              </w:rPr>
              <w:t>S—围墙结构的表面积，m</w:t>
            </w:r>
            <w:r>
              <w:rPr>
                <w:rFonts w:cs="Times New Roman"/>
                <w:vertAlign w:val="superscript"/>
              </w:rPr>
              <w:t>2</w:t>
            </w:r>
            <w:r>
              <w:rPr>
                <w:rFonts w:cs="Times New Roman"/>
              </w:rPr>
              <w:t>，平均取100m</w:t>
            </w:r>
            <w:r>
              <w:rPr>
                <w:rFonts w:cs="Times New Roman"/>
                <w:vertAlign w:val="superscript"/>
              </w:rPr>
              <w:t>2</w:t>
            </w:r>
            <w:r>
              <w:rPr>
                <w:rFonts w:cs="Times New Roman"/>
              </w:rPr>
              <w:t>；</w:t>
            </w:r>
          </w:p>
          <w:p w14:paraId="77591C15">
            <w:pPr>
              <w:ind w:firstLine="480"/>
              <w:rPr>
                <w:rFonts w:cs="Times New Roman"/>
              </w:rPr>
            </w:pPr>
            <w:r>
              <w:rPr>
                <w:rFonts w:cs="Times New Roman"/>
              </w:rPr>
              <w:t>α—围墙结构的平均吸声系数，取0.1；</w:t>
            </w:r>
          </w:p>
          <w:p w14:paraId="30974A44">
            <w:pPr>
              <w:ind w:firstLine="480"/>
              <w:rPr>
                <w:rFonts w:cs="Times New Roman"/>
              </w:rPr>
            </w:pPr>
            <w:r>
              <w:rPr>
                <w:rFonts w:cs="Times New Roman"/>
              </w:rPr>
              <w:t>r—室内某个声源与靠近围墙结构处的距离。</w:t>
            </w:r>
          </w:p>
          <w:p w14:paraId="3708D743">
            <w:pPr>
              <w:ind w:firstLine="480"/>
              <w:rPr>
                <w:rFonts w:cs="Times New Roman"/>
              </w:rPr>
            </w:pPr>
            <w:r>
              <w:rPr>
                <w:rFonts w:hint="eastAsia" w:ascii="宋体" w:hAnsi="宋体" w:cs="宋体"/>
              </w:rPr>
              <w:t>②</w:t>
            </w:r>
            <w:r>
              <w:rPr>
                <w:rFonts w:cs="Times New Roman"/>
              </w:rPr>
              <w:t>计算室内声源靠近围护结构处产生的声压级Lp1i（T）；</w:t>
            </w:r>
          </w:p>
          <w:p w14:paraId="693706E5">
            <w:pPr>
              <w:ind w:firstLine="480"/>
              <w:jc w:val="center"/>
              <w:rPr>
                <w:rFonts w:cs="Times New Roman"/>
              </w:rPr>
            </w:pPr>
            <w:r>
              <w:rPr>
                <w:rFonts w:cs="Times New Roman"/>
              </w:rPr>
              <w:drawing>
                <wp:inline distT="0" distB="0" distL="0" distR="0">
                  <wp:extent cx="2266315" cy="685165"/>
                  <wp:effectExtent l="0" t="0" r="635" b="635"/>
                  <wp:docPr id="10" name="图片 10"/>
                  <wp:cNvGraphicFramePr/>
                  <a:graphic xmlns:a="http://schemas.openxmlformats.org/drawingml/2006/main">
                    <a:graphicData uri="http://schemas.openxmlformats.org/drawingml/2006/picture">
                      <pic:pic xmlns:pic="http://schemas.openxmlformats.org/drawingml/2006/picture">
                        <pic:nvPicPr>
                          <pic:cNvPr id="10" name="图片 10"/>
                          <pic:cNvPicPr/>
                        </pic:nvPicPr>
                        <pic:blipFill>
                          <a:blip r:embed="rId34">
                            <a:extLst>
                              <a:ext uri="{28A0092B-C50C-407E-A947-70E740481C1C}">
                                <a14:useLocalDpi xmlns:a14="http://schemas.microsoft.com/office/drawing/2010/main" val="0"/>
                              </a:ext>
                            </a:extLst>
                          </a:blip>
                          <a:stretch>
                            <a:fillRect/>
                          </a:stretch>
                        </pic:blipFill>
                        <pic:spPr>
                          <a:xfrm>
                            <a:off x="0" y="0"/>
                            <a:ext cx="2266315" cy="685165"/>
                          </a:xfrm>
                          <a:prstGeom prst="rect">
                            <a:avLst/>
                          </a:prstGeom>
                        </pic:spPr>
                      </pic:pic>
                    </a:graphicData>
                  </a:graphic>
                </wp:inline>
              </w:drawing>
            </w:r>
          </w:p>
          <w:p w14:paraId="7F106C0F">
            <w:pPr>
              <w:ind w:firstLine="480"/>
              <w:rPr>
                <w:rFonts w:cs="Times New Roman"/>
              </w:rPr>
            </w:pPr>
            <w:r>
              <w:rPr>
                <w:rFonts w:cs="Times New Roman"/>
              </w:rPr>
              <w:t>式中：L</w:t>
            </w:r>
            <w:r>
              <w:rPr>
                <w:rFonts w:cs="Times New Roman"/>
                <w:vertAlign w:val="subscript"/>
              </w:rPr>
              <w:t>p1i</w:t>
            </w:r>
            <w:r>
              <w:rPr>
                <w:rFonts w:cs="Times New Roman"/>
              </w:rPr>
              <w:t>（T）—靠近围护结构处室内N个声源i倍频带的叠加声压级，dB；</w:t>
            </w:r>
          </w:p>
          <w:p w14:paraId="340E78BB">
            <w:pPr>
              <w:ind w:firstLine="480"/>
              <w:rPr>
                <w:rFonts w:cs="Times New Roman"/>
              </w:rPr>
            </w:pPr>
            <w:r>
              <w:rPr>
                <w:rFonts w:cs="Times New Roman"/>
              </w:rPr>
              <w:t>L</w:t>
            </w:r>
            <w:r>
              <w:rPr>
                <w:rFonts w:cs="Times New Roman"/>
                <w:vertAlign w:val="subscript"/>
              </w:rPr>
              <w:t>p1ij</w:t>
            </w:r>
            <w:r>
              <w:rPr>
                <w:rFonts w:cs="Times New Roman"/>
              </w:rPr>
              <w:t>—室内j声源i倍频带的声压级，dB；</w:t>
            </w:r>
          </w:p>
          <w:p w14:paraId="2A3A6C63">
            <w:pPr>
              <w:ind w:firstLine="480"/>
              <w:rPr>
                <w:rFonts w:cs="Times New Roman"/>
              </w:rPr>
            </w:pPr>
            <w:r>
              <w:rPr>
                <w:rFonts w:cs="Times New Roman"/>
              </w:rPr>
              <w:t>N—室内声源总数。</w:t>
            </w:r>
          </w:p>
          <w:p w14:paraId="1E5CCC43">
            <w:pPr>
              <w:ind w:firstLine="480"/>
              <w:rPr>
                <w:rFonts w:cs="Times New Roman"/>
              </w:rPr>
            </w:pPr>
            <w:r>
              <w:rPr>
                <w:rFonts w:hint="eastAsia" w:ascii="宋体" w:hAnsi="宋体" w:cs="宋体"/>
              </w:rPr>
              <w:t>③</w:t>
            </w:r>
            <w:r>
              <w:rPr>
                <w:rFonts w:cs="Times New Roman"/>
              </w:rPr>
              <w:t>计算室外靠近围护结构处产生的声压级Lp2i（T）；</w:t>
            </w:r>
          </w:p>
          <w:p w14:paraId="6914E5F4">
            <w:pPr>
              <w:ind w:firstLine="480"/>
              <w:jc w:val="center"/>
              <w:rPr>
                <w:rFonts w:cs="Times New Roman"/>
              </w:rPr>
            </w:pPr>
            <w:r>
              <w:rPr>
                <w:rFonts w:cs="Times New Roman"/>
              </w:rPr>
              <w:drawing>
                <wp:inline distT="0" distB="0" distL="0" distR="0">
                  <wp:extent cx="1875790" cy="266065"/>
                  <wp:effectExtent l="0" t="0" r="0" b="635"/>
                  <wp:docPr id="11" name="图片 11"/>
                  <wp:cNvGraphicFramePr/>
                  <a:graphic xmlns:a="http://schemas.openxmlformats.org/drawingml/2006/main">
                    <a:graphicData uri="http://schemas.openxmlformats.org/drawingml/2006/picture">
                      <pic:pic xmlns:pic="http://schemas.openxmlformats.org/drawingml/2006/picture">
                        <pic:nvPicPr>
                          <pic:cNvPr id="11" name="图片 11"/>
                          <pic:cNvPicPr/>
                        </pic:nvPicPr>
                        <pic:blipFill>
                          <a:blip r:embed="rId35">
                            <a:extLst>
                              <a:ext uri="{28A0092B-C50C-407E-A947-70E740481C1C}">
                                <a14:useLocalDpi xmlns:a14="http://schemas.microsoft.com/office/drawing/2010/main" val="0"/>
                              </a:ext>
                            </a:extLst>
                          </a:blip>
                          <a:stretch>
                            <a:fillRect/>
                          </a:stretch>
                        </pic:blipFill>
                        <pic:spPr>
                          <a:xfrm>
                            <a:off x="0" y="0"/>
                            <a:ext cx="1875790" cy="266065"/>
                          </a:xfrm>
                          <a:prstGeom prst="rect">
                            <a:avLst/>
                          </a:prstGeom>
                        </pic:spPr>
                      </pic:pic>
                    </a:graphicData>
                  </a:graphic>
                </wp:inline>
              </w:drawing>
            </w:r>
          </w:p>
          <w:p w14:paraId="61C6A3A5">
            <w:pPr>
              <w:ind w:firstLine="480"/>
              <w:rPr>
                <w:rFonts w:cs="Times New Roman"/>
              </w:rPr>
            </w:pPr>
            <w:r>
              <w:rPr>
                <w:rFonts w:cs="Times New Roman"/>
              </w:rPr>
              <w:t>式中：T</w:t>
            </w:r>
            <w:r>
              <w:rPr>
                <w:rFonts w:cs="Times New Roman"/>
                <w:vertAlign w:val="subscript"/>
              </w:rPr>
              <w:t>Li</w:t>
            </w:r>
            <w:r>
              <w:rPr>
                <w:rFonts w:cs="Times New Roman"/>
              </w:rPr>
              <w:t>—围护结构i倍频带的隔声量，dB。</w:t>
            </w:r>
          </w:p>
          <w:p w14:paraId="1C80E143">
            <w:pPr>
              <w:ind w:firstLine="480"/>
              <w:rPr>
                <w:rFonts w:cs="Times New Roman"/>
              </w:rPr>
            </w:pPr>
            <w:r>
              <w:rPr>
                <w:rFonts w:hint="eastAsia" w:ascii="宋体" w:hAnsi="宋体" w:cs="宋体"/>
              </w:rPr>
              <w:t>④</w:t>
            </w:r>
            <w:r>
              <w:rPr>
                <w:rFonts w:cs="Times New Roman"/>
              </w:rPr>
              <w:t>将室外声压级Lp2i（T）换算成等效室外声源，计算出等效室外声源的声功率级</w:t>
            </w:r>
          </w:p>
          <w:p w14:paraId="174E8588">
            <w:pPr>
              <w:ind w:firstLine="480"/>
              <w:jc w:val="center"/>
              <w:rPr>
                <w:rFonts w:cs="Times New Roman"/>
              </w:rPr>
            </w:pPr>
            <w:r>
              <w:rPr>
                <w:rFonts w:cs="Times New Roman"/>
              </w:rPr>
              <w:drawing>
                <wp:inline distT="0" distB="0" distL="0" distR="0">
                  <wp:extent cx="1771015" cy="266065"/>
                  <wp:effectExtent l="0" t="0" r="635" b="635"/>
                  <wp:docPr id="27" name="图片 27"/>
                  <wp:cNvGraphicFramePr/>
                  <a:graphic xmlns:a="http://schemas.openxmlformats.org/drawingml/2006/main">
                    <a:graphicData uri="http://schemas.openxmlformats.org/drawingml/2006/picture">
                      <pic:pic xmlns:pic="http://schemas.openxmlformats.org/drawingml/2006/picture">
                        <pic:nvPicPr>
                          <pic:cNvPr id="27" name="图片 27"/>
                          <pic:cNvPicPr/>
                        </pic:nvPicPr>
                        <pic:blipFill>
                          <a:blip r:embed="rId36">
                            <a:extLst>
                              <a:ext uri="{28A0092B-C50C-407E-A947-70E740481C1C}">
                                <a14:useLocalDpi xmlns:a14="http://schemas.microsoft.com/office/drawing/2010/main" val="0"/>
                              </a:ext>
                            </a:extLst>
                          </a:blip>
                          <a:stretch>
                            <a:fillRect/>
                          </a:stretch>
                        </pic:blipFill>
                        <pic:spPr>
                          <a:xfrm>
                            <a:off x="0" y="0"/>
                            <a:ext cx="1771015" cy="266065"/>
                          </a:xfrm>
                          <a:prstGeom prst="rect">
                            <a:avLst/>
                          </a:prstGeom>
                        </pic:spPr>
                      </pic:pic>
                    </a:graphicData>
                  </a:graphic>
                </wp:inline>
              </w:drawing>
            </w:r>
          </w:p>
          <w:p w14:paraId="3A65831B">
            <w:pPr>
              <w:ind w:firstLine="480"/>
              <w:rPr>
                <w:rFonts w:cs="Times New Roman"/>
              </w:rPr>
            </w:pPr>
            <w:r>
              <w:rPr>
                <w:rFonts w:cs="Times New Roman"/>
              </w:rPr>
              <w:t>式中：Lw —中心位置位于透声面积（S）处的等效声源的倍频带声功率级，dB；</w:t>
            </w:r>
          </w:p>
          <w:p w14:paraId="63636E56">
            <w:pPr>
              <w:ind w:firstLine="480"/>
              <w:rPr>
                <w:rFonts w:cs="Times New Roman"/>
              </w:rPr>
            </w:pPr>
            <w:r>
              <w:rPr>
                <w:rFonts w:cs="Times New Roman"/>
              </w:rPr>
              <w:t>S—透声面积。</w:t>
            </w:r>
          </w:p>
          <w:p w14:paraId="788CB6AD">
            <w:pPr>
              <w:ind w:firstLine="480"/>
              <w:rPr>
                <w:rFonts w:cs="Times New Roman"/>
              </w:rPr>
            </w:pPr>
            <w:r>
              <w:rPr>
                <w:rFonts w:cs="Times New Roman"/>
              </w:rPr>
              <w:t>5）按室外声源预测方法计算预测点处的A声级。</w:t>
            </w:r>
          </w:p>
          <w:p w14:paraId="4948F818">
            <w:pPr>
              <w:ind w:firstLine="480"/>
              <w:rPr>
                <w:rFonts w:cs="Times New Roman"/>
              </w:rPr>
            </w:pPr>
            <w:r>
              <w:rPr>
                <w:rFonts w:cs="Times New Roman"/>
              </w:rPr>
              <w:t>2）噪声贡献值计算</w:t>
            </w:r>
          </w:p>
          <w:p w14:paraId="0F628444">
            <w:pPr>
              <w:ind w:firstLine="480"/>
              <w:jc w:val="center"/>
              <w:rPr>
                <w:rFonts w:cs="Times New Roman"/>
              </w:rPr>
            </w:pPr>
            <w:r>
              <w:rPr>
                <w:rFonts w:cs="Times New Roman"/>
              </w:rPr>
              <w:drawing>
                <wp:inline distT="0" distB="0" distL="0" distR="0">
                  <wp:extent cx="3458845" cy="636270"/>
                  <wp:effectExtent l="0" t="0" r="8255"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a:xfrm>
                            <a:off x="0" y="0"/>
                            <a:ext cx="3458845" cy="636270"/>
                          </a:xfrm>
                          <a:prstGeom prst="rect">
                            <a:avLst/>
                          </a:prstGeom>
                          <a:noFill/>
                          <a:ln>
                            <a:noFill/>
                          </a:ln>
                        </pic:spPr>
                      </pic:pic>
                    </a:graphicData>
                  </a:graphic>
                </wp:inline>
              </w:drawing>
            </w:r>
          </w:p>
          <w:p w14:paraId="5178EC7C">
            <w:pPr>
              <w:ind w:firstLine="480"/>
              <w:rPr>
                <w:rFonts w:cs="Times New Roman"/>
              </w:rPr>
            </w:pPr>
            <w:r>
              <w:rPr>
                <w:rFonts w:cs="Times New Roman"/>
              </w:rPr>
              <w:t>式中：L</w:t>
            </w:r>
            <w:r>
              <w:rPr>
                <w:rFonts w:cs="Times New Roman"/>
                <w:vertAlign w:val="subscript"/>
              </w:rPr>
              <w:t>eqg</w:t>
            </w:r>
            <w:r>
              <w:rPr>
                <w:rFonts w:cs="Times New Roman"/>
              </w:rPr>
              <w:t>—建设项目声源在预测点产生的噪声贡献值，dB；</w:t>
            </w:r>
          </w:p>
          <w:p w14:paraId="27152B56">
            <w:pPr>
              <w:ind w:firstLine="480"/>
              <w:rPr>
                <w:rFonts w:cs="Times New Roman"/>
              </w:rPr>
            </w:pPr>
            <w:r>
              <w:rPr>
                <w:rFonts w:cs="Times New Roman"/>
              </w:rPr>
              <w:t>T ——用于计算等效声级的时间，s；</w:t>
            </w:r>
          </w:p>
          <w:p w14:paraId="722C575C">
            <w:pPr>
              <w:ind w:firstLine="480"/>
              <w:rPr>
                <w:rFonts w:cs="Times New Roman"/>
              </w:rPr>
            </w:pPr>
            <w:r>
              <w:rPr>
                <w:rFonts w:cs="Times New Roman"/>
              </w:rPr>
              <w:t>N ——室外声源个数；</w:t>
            </w:r>
          </w:p>
          <w:p w14:paraId="2A204B73">
            <w:pPr>
              <w:ind w:firstLine="480"/>
              <w:rPr>
                <w:rFonts w:cs="Times New Roman"/>
              </w:rPr>
            </w:pPr>
            <w:r>
              <w:rPr>
                <w:rFonts w:cs="Times New Roman"/>
              </w:rPr>
              <w:t>t</w:t>
            </w:r>
            <w:r>
              <w:rPr>
                <w:rFonts w:cs="Times New Roman"/>
                <w:vertAlign w:val="subscript"/>
              </w:rPr>
              <w:t>i</w:t>
            </w:r>
            <w:r>
              <w:rPr>
                <w:rFonts w:cs="Times New Roman"/>
              </w:rPr>
              <w:t>——在T 时间内i 声源工作时间，s；</w:t>
            </w:r>
          </w:p>
          <w:p w14:paraId="33FB4B54">
            <w:pPr>
              <w:ind w:firstLine="480"/>
              <w:rPr>
                <w:rFonts w:cs="Times New Roman"/>
              </w:rPr>
            </w:pPr>
            <w:r>
              <w:rPr>
                <w:rFonts w:cs="Times New Roman"/>
              </w:rPr>
              <w:t>M ——等效室外声源个数；</w:t>
            </w:r>
          </w:p>
          <w:p w14:paraId="4A85931B">
            <w:pPr>
              <w:ind w:firstLine="480"/>
              <w:rPr>
                <w:rFonts w:cs="Times New Roman"/>
              </w:rPr>
            </w:pPr>
            <w:r>
              <w:rPr>
                <w:rFonts w:cs="Times New Roman"/>
              </w:rPr>
              <w:t>t</w:t>
            </w:r>
            <w:r>
              <w:rPr>
                <w:rFonts w:cs="Times New Roman"/>
                <w:vertAlign w:val="subscript"/>
              </w:rPr>
              <w:t>j</w:t>
            </w:r>
            <w:r>
              <w:rPr>
                <w:rFonts w:cs="Times New Roman"/>
              </w:rPr>
              <w:t>——在T 时间内j 声源工作时间，s。</w:t>
            </w:r>
          </w:p>
          <w:p w14:paraId="4A9A13F1">
            <w:pPr>
              <w:pStyle w:val="11"/>
              <w:rPr>
                <w:rFonts w:hint="default" w:ascii="Times New Roman" w:hAnsi="Times New Roman" w:cs="Times New Roman"/>
              </w:rPr>
            </w:pPr>
            <w:r>
              <w:rPr>
                <w:rFonts w:hint="default" w:ascii="Times New Roman" w:hAnsi="Times New Roman" w:cs="Times New Roman"/>
              </w:rPr>
              <w:t>表</w:t>
            </w:r>
            <w:r>
              <w:rPr>
                <w:rFonts w:hint="default" w:ascii="Times New Roman" w:hAnsi="Times New Roman" w:cs="Times New Roman"/>
              </w:rPr>
              <w:fldChar w:fldCharType="begin"/>
            </w:r>
            <w:r>
              <w:rPr>
                <w:rFonts w:hint="default" w:ascii="Times New Roman" w:hAnsi="Times New Roman" w:cs="Times New Roman"/>
              </w:rPr>
              <w:instrText xml:space="preserve"> SEQ seq \c </w:instrText>
            </w:r>
            <w:r>
              <w:rPr>
                <w:rFonts w:hint="default" w:ascii="Times New Roman" w:hAnsi="Times New Roman" w:cs="Times New Roman"/>
              </w:rPr>
              <w:fldChar w:fldCharType="separate"/>
            </w:r>
            <w:r>
              <w:rPr>
                <w:rFonts w:hint="default" w:ascii="Times New Roman" w:hAnsi="Times New Roman" w:cs="Times New Roman"/>
              </w:rPr>
              <w:t>4</w:t>
            </w:r>
            <w:r>
              <w:rPr>
                <w:rFonts w:hint="default" w:ascii="Times New Roman" w:hAnsi="Times New Roman" w:cs="Times New Roman"/>
              </w:rPr>
              <w:fldChar w:fldCharType="end"/>
            </w:r>
            <w:r>
              <w:rPr>
                <w:rFonts w:hint="default" w:ascii="Times New Roman" w:hAnsi="Times New Roman" w:cs="Times New Roman"/>
              </w:rPr>
              <w:noBreakHyphen/>
            </w:r>
            <w:r>
              <w:rPr>
                <w:rFonts w:hint="default" w:ascii="Times New Roman" w:hAnsi="Times New Roman" w:cs="Times New Roman"/>
              </w:rPr>
              <w:fldChar w:fldCharType="begin"/>
            </w:r>
            <w:r>
              <w:rPr>
                <w:rFonts w:hint="default" w:ascii="Times New Roman" w:hAnsi="Times New Roman" w:cs="Times New Roman"/>
              </w:rPr>
              <w:instrText xml:space="preserve"> SEQ 表 \* ARABIC \s 1 </w:instrText>
            </w:r>
            <w:r>
              <w:rPr>
                <w:rFonts w:hint="default" w:ascii="Times New Roman" w:hAnsi="Times New Roman" w:cs="Times New Roman"/>
              </w:rPr>
              <w:fldChar w:fldCharType="separate"/>
            </w:r>
            <w:r>
              <w:rPr>
                <w:rFonts w:hint="default" w:ascii="Times New Roman" w:hAnsi="Times New Roman" w:cs="Times New Roman"/>
              </w:rPr>
              <w:t>5</w:t>
            </w:r>
            <w:r>
              <w:rPr>
                <w:rFonts w:hint="default" w:ascii="Times New Roman" w:hAnsi="Times New Roman" w:cs="Times New Roman"/>
              </w:rPr>
              <w:fldChar w:fldCharType="end"/>
            </w:r>
            <w:r>
              <w:rPr>
                <w:rFonts w:hint="default" w:ascii="Times New Roman" w:hAnsi="Times New Roman" w:cs="Times New Roman"/>
              </w:rPr>
              <w:t xml:space="preserve"> 各预测点噪声贡献值 单位：dB（A）</w:t>
            </w:r>
          </w:p>
          <w:tbl>
            <w:tblPr>
              <w:tblStyle w:val="2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8"/>
              <w:gridCol w:w="828"/>
              <w:gridCol w:w="828"/>
              <w:gridCol w:w="929"/>
              <w:gridCol w:w="927"/>
              <w:gridCol w:w="1464"/>
              <w:gridCol w:w="1465"/>
              <w:gridCol w:w="1227"/>
            </w:tblGrid>
            <w:tr w14:paraId="2571F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exact"/>
                <w:jc w:val="center"/>
              </w:trPr>
              <w:tc>
                <w:tcPr>
                  <w:tcW w:w="646" w:type="pct"/>
                  <w:vMerge w:val="restart"/>
                  <w:vAlign w:val="center"/>
                </w:tcPr>
                <w:p w14:paraId="04F17BB0">
                  <w:pPr>
                    <w:pStyle w:val="45"/>
                    <w:rPr>
                      <w:rFonts w:hint="default" w:ascii="Times New Roman" w:hAnsi="Times New Roman" w:cs="Times New Roman"/>
                      <w:sz w:val="21"/>
                      <w:szCs w:val="21"/>
                    </w:rPr>
                  </w:pPr>
                  <w:r>
                    <w:rPr>
                      <w:rFonts w:hint="default" w:ascii="Times New Roman" w:hAnsi="Times New Roman" w:cs="Times New Roman"/>
                      <w:sz w:val="21"/>
                      <w:szCs w:val="21"/>
                    </w:rPr>
                    <w:t>预测方位</w:t>
                  </w:r>
                </w:p>
              </w:tc>
              <w:tc>
                <w:tcPr>
                  <w:tcW w:w="1467" w:type="pct"/>
                  <w:gridSpan w:val="3"/>
                  <w:vAlign w:val="center"/>
                </w:tcPr>
                <w:p w14:paraId="3F22B66D">
                  <w:pPr>
                    <w:pStyle w:val="45"/>
                    <w:rPr>
                      <w:rFonts w:hint="default" w:ascii="Times New Roman" w:hAnsi="Times New Roman" w:cs="Times New Roman"/>
                      <w:sz w:val="21"/>
                      <w:szCs w:val="21"/>
                    </w:rPr>
                  </w:pPr>
                  <w:r>
                    <w:rPr>
                      <w:rFonts w:hint="default" w:ascii="Times New Roman" w:hAnsi="Times New Roman" w:cs="Times New Roman"/>
                      <w:sz w:val="21"/>
                      <w:szCs w:val="21"/>
                    </w:rPr>
                    <w:t>最大值点空间相对位置/m</w:t>
                  </w:r>
                </w:p>
              </w:tc>
              <w:tc>
                <w:tcPr>
                  <w:tcW w:w="526" w:type="pct"/>
                  <w:vMerge w:val="restart"/>
                  <w:vAlign w:val="center"/>
                </w:tcPr>
                <w:p w14:paraId="31BD42DF">
                  <w:pPr>
                    <w:pStyle w:val="45"/>
                    <w:rPr>
                      <w:rFonts w:hint="default" w:ascii="Times New Roman" w:hAnsi="Times New Roman" w:cs="Times New Roman"/>
                      <w:sz w:val="21"/>
                      <w:szCs w:val="21"/>
                    </w:rPr>
                  </w:pPr>
                  <w:r>
                    <w:rPr>
                      <w:rFonts w:hint="default" w:ascii="Times New Roman" w:hAnsi="Times New Roman" w:cs="Times New Roman"/>
                      <w:sz w:val="21"/>
                      <w:szCs w:val="21"/>
                    </w:rPr>
                    <w:t>时段</w:t>
                  </w:r>
                </w:p>
              </w:tc>
              <w:tc>
                <w:tcPr>
                  <w:tcW w:w="831" w:type="pct"/>
                  <w:vMerge w:val="restart"/>
                  <w:vAlign w:val="center"/>
                </w:tcPr>
                <w:p w14:paraId="44BB4598">
                  <w:pPr>
                    <w:pStyle w:val="45"/>
                    <w:rPr>
                      <w:rFonts w:hint="default" w:ascii="Times New Roman" w:hAnsi="Times New Roman" w:cs="Times New Roman"/>
                      <w:sz w:val="21"/>
                      <w:szCs w:val="21"/>
                    </w:rPr>
                  </w:pPr>
                  <w:r>
                    <w:rPr>
                      <w:rFonts w:hint="default" w:ascii="Times New Roman" w:hAnsi="Times New Roman" w:cs="Times New Roman"/>
                      <w:sz w:val="21"/>
                      <w:szCs w:val="21"/>
                    </w:rPr>
                    <w:t>贡献值（dB(A)）</w:t>
                  </w:r>
                </w:p>
              </w:tc>
              <w:tc>
                <w:tcPr>
                  <w:tcW w:w="831" w:type="pct"/>
                  <w:vMerge w:val="restart"/>
                  <w:vAlign w:val="center"/>
                </w:tcPr>
                <w:p w14:paraId="5F69B73A">
                  <w:pPr>
                    <w:pStyle w:val="45"/>
                    <w:rPr>
                      <w:rFonts w:hint="default" w:ascii="Times New Roman" w:hAnsi="Times New Roman" w:cs="Times New Roman"/>
                      <w:sz w:val="21"/>
                      <w:szCs w:val="21"/>
                    </w:rPr>
                  </w:pPr>
                  <w:r>
                    <w:rPr>
                      <w:rFonts w:hint="default" w:ascii="Times New Roman" w:hAnsi="Times New Roman" w:cs="Times New Roman"/>
                      <w:sz w:val="21"/>
                      <w:szCs w:val="21"/>
                    </w:rPr>
                    <w:t>标准限值（dB(A)）</w:t>
                  </w:r>
                </w:p>
              </w:tc>
              <w:tc>
                <w:tcPr>
                  <w:tcW w:w="696" w:type="pct"/>
                  <w:vMerge w:val="restart"/>
                  <w:vAlign w:val="center"/>
                </w:tcPr>
                <w:p w14:paraId="75A71232">
                  <w:pPr>
                    <w:pStyle w:val="45"/>
                    <w:rPr>
                      <w:rFonts w:hint="default" w:ascii="Times New Roman" w:hAnsi="Times New Roman" w:cs="Times New Roman"/>
                      <w:sz w:val="21"/>
                      <w:szCs w:val="21"/>
                    </w:rPr>
                  </w:pPr>
                  <w:r>
                    <w:rPr>
                      <w:rFonts w:hint="default" w:ascii="Times New Roman" w:hAnsi="Times New Roman" w:cs="Times New Roman"/>
                      <w:sz w:val="21"/>
                      <w:szCs w:val="21"/>
                    </w:rPr>
                    <w:t>达标情况</w:t>
                  </w:r>
                </w:p>
              </w:tc>
            </w:tr>
            <w:tr w14:paraId="0B2A2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646" w:type="pct"/>
                  <w:vMerge w:val="continue"/>
                  <w:shd w:val="clear" w:color="auto" w:fill="FFFFFF"/>
                  <w:vAlign w:val="center"/>
                </w:tcPr>
                <w:p w14:paraId="20480C09">
                  <w:pPr>
                    <w:pStyle w:val="12"/>
                    <w:rPr>
                      <w:rFonts w:hint="default" w:ascii="Times New Roman" w:hAnsi="Times New Roman" w:cs="Times New Roman"/>
                      <w:sz w:val="21"/>
                      <w:szCs w:val="21"/>
                    </w:rPr>
                  </w:pPr>
                </w:p>
              </w:tc>
              <w:tc>
                <w:tcPr>
                  <w:tcW w:w="470" w:type="pct"/>
                  <w:shd w:val="clear" w:color="auto" w:fill="FFFFFF"/>
                  <w:vAlign w:val="center"/>
                </w:tcPr>
                <w:p w14:paraId="07028226">
                  <w:pPr>
                    <w:pStyle w:val="45"/>
                    <w:rPr>
                      <w:rFonts w:hint="default" w:ascii="Times New Roman" w:hAnsi="Times New Roman" w:cs="Times New Roman"/>
                      <w:sz w:val="21"/>
                      <w:szCs w:val="21"/>
                    </w:rPr>
                  </w:pPr>
                  <w:r>
                    <w:rPr>
                      <w:rFonts w:hint="default" w:ascii="Times New Roman" w:hAnsi="Times New Roman" w:cs="Times New Roman"/>
                      <w:sz w:val="21"/>
                      <w:szCs w:val="21"/>
                    </w:rPr>
                    <w:t>X</w:t>
                  </w:r>
                </w:p>
              </w:tc>
              <w:tc>
                <w:tcPr>
                  <w:tcW w:w="470" w:type="pct"/>
                  <w:shd w:val="clear" w:color="auto" w:fill="FFFFFF"/>
                  <w:vAlign w:val="center"/>
                </w:tcPr>
                <w:p w14:paraId="0647AD39">
                  <w:pPr>
                    <w:pStyle w:val="45"/>
                    <w:rPr>
                      <w:rFonts w:hint="default" w:ascii="Times New Roman" w:hAnsi="Times New Roman" w:cs="Times New Roman"/>
                      <w:sz w:val="21"/>
                      <w:szCs w:val="21"/>
                    </w:rPr>
                  </w:pPr>
                  <w:r>
                    <w:rPr>
                      <w:rFonts w:hint="default" w:ascii="Times New Roman" w:hAnsi="Times New Roman" w:cs="Times New Roman"/>
                      <w:sz w:val="21"/>
                      <w:szCs w:val="21"/>
                    </w:rPr>
                    <w:t>Y</w:t>
                  </w:r>
                </w:p>
              </w:tc>
              <w:tc>
                <w:tcPr>
                  <w:tcW w:w="527" w:type="pct"/>
                  <w:shd w:val="clear" w:color="auto" w:fill="FFFFFF"/>
                  <w:vAlign w:val="center"/>
                </w:tcPr>
                <w:p w14:paraId="06CD06C7">
                  <w:pPr>
                    <w:pStyle w:val="45"/>
                    <w:rPr>
                      <w:rFonts w:hint="default" w:ascii="Times New Roman" w:hAnsi="Times New Roman" w:cs="Times New Roman"/>
                      <w:sz w:val="21"/>
                      <w:szCs w:val="21"/>
                    </w:rPr>
                  </w:pPr>
                  <w:r>
                    <w:rPr>
                      <w:rFonts w:hint="default" w:ascii="Times New Roman" w:hAnsi="Times New Roman" w:cs="Times New Roman"/>
                      <w:sz w:val="21"/>
                      <w:szCs w:val="21"/>
                    </w:rPr>
                    <w:t>Z</w:t>
                  </w:r>
                </w:p>
              </w:tc>
              <w:tc>
                <w:tcPr>
                  <w:tcW w:w="526" w:type="pct"/>
                  <w:vMerge w:val="continue"/>
                  <w:shd w:val="clear" w:color="auto" w:fill="FFFFFF"/>
                  <w:vAlign w:val="center"/>
                </w:tcPr>
                <w:p w14:paraId="0289B413">
                  <w:pPr>
                    <w:pStyle w:val="12"/>
                    <w:rPr>
                      <w:rFonts w:hint="default" w:ascii="Times New Roman" w:hAnsi="Times New Roman" w:cs="Times New Roman"/>
                      <w:sz w:val="21"/>
                      <w:szCs w:val="21"/>
                    </w:rPr>
                  </w:pPr>
                </w:p>
              </w:tc>
              <w:tc>
                <w:tcPr>
                  <w:tcW w:w="831" w:type="pct"/>
                  <w:vMerge w:val="continue"/>
                  <w:shd w:val="clear" w:color="auto" w:fill="FFFFFF"/>
                  <w:vAlign w:val="center"/>
                </w:tcPr>
                <w:p w14:paraId="77CDDDB8">
                  <w:pPr>
                    <w:pStyle w:val="12"/>
                    <w:rPr>
                      <w:rFonts w:hint="default" w:ascii="Times New Roman" w:hAnsi="Times New Roman" w:cs="Times New Roman"/>
                      <w:sz w:val="21"/>
                      <w:szCs w:val="21"/>
                    </w:rPr>
                  </w:pPr>
                </w:p>
              </w:tc>
              <w:tc>
                <w:tcPr>
                  <w:tcW w:w="831" w:type="pct"/>
                  <w:vMerge w:val="continue"/>
                  <w:shd w:val="clear" w:color="auto" w:fill="FFFFFF"/>
                  <w:vAlign w:val="center"/>
                </w:tcPr>
                <w:p w14:paraId="2FBFCB1E">
                  <w:pPr>
                    <w:pStyle w:val="12"/>
                    <w:rPr>
                      <w:rFonts w:hint="default" w:ascii="Times New Roman" w:hAnsi="Times New Roman" w:cs="Times New Roman"/>
                      <w:sz w:val="21"/>
                      <w:szCs w:val="21"/>
                    </w:rPr>
                  </w:pPr>
                </w:p>
              </w:tc>
              <w:tc>
                <w:tcPr>
                  <w:tcW w:w="696" w:type="pct"/>
                  <w:vMerge w:val="continue"/>
                  <w:shd w:val="clear" w:color="auto" w:fill="FFFFFF"/>
                  <w:vAlign w:val="center"/>
                </w:tcPr>
                <w:p w14:paraId="6BDFFE42">
                  <w:pPr>
                    <w:pStyle w:val="12"/>
                    <w:rPr>
                      <w:rFonts w:hint="default" w:ascii="Times New Roman" w:hAnsi="Times New Roman" w:cs="Times New Roman"/>
                      <w:sz w:val="21"/>
                      <w:szCs w:val="21"/>
                    </w:rPr>
                  </w:pPr>
                </w:p>
              </w:tc>
            </w:tr>
            <w:tr w14:paraId="29403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408" w:hRule="exact"/>
                <w:jc w:val="center"/>
              </w:trPr>
              <w:tc>
                <w:tcPr>
                  <w:tcW w:w="646" w:type="pct"/>
                  <w:vMerge w:val="restart"/>
                  <w:shd w:val="clear" w:color="auto" w:fill="FFFFFF"/>
                  <w:vAlign w:val="center"/>
                </w:tcPr>
                <w:p w14:paraId="69C4C3A2">
                  <w:pPr>
                    <w:pStyle w:val="12"/>
                    <w:ind w:firstLine="0" w:firstLineChars="0"/>
                    <w:rPr>
                      <w:rFonts w:hint="default" w:ascii="Times New Roman" w:hAnsi="Times New Roman" w:cs="Times New Roman"/>
                      <w:sz w:val="21"/>
                      <w:szCs w:val="21"/>
                    </w:rPr>
                  </w:pPr>
                  <w:r>
                    <w:rPr>
                      <w:rFonts w:hint="eastAsia" w:cs="Times New Roman"/>
                      <w:sz w:val="21"/>
                      <w:szCs w:val="21"/>
                      <w:lang w:val="en-US" w:eastAsia="zh-CN"/>
                    </w:rPr>
                    <w:t>整体厂房</w:t>
                  </w:r>
                  <w:r>
                    <w:rPr>
                      <w:rFonts w:hint="default" w:ascii="Times New Roman" w:hAnsi="Times New Roman" w:cs="Times New Roman"/>
                      <w:sz w:val="21"/>
                      <w:szCs w:val="21"/>
                    </w:rPr>
                    <w:t>东侧</w:t>
                  </w:r>
                </w:p>
              </w:tc>
              <w:tc>
                <w:tcPr>
                  <w:tcW w:w="470" w:type="pct"/>
                  <w:shd w:val="clear" w:color="auto" w:fill="FFFFFF"/>
                  <w:vAlign w:val="center"/>
                </w:tcPr>
                <w:p w14:paraId="0F8B9518">
                  <w:pPr>
                    <w:pStyle w:val="12"/>
                    <w:rPr>
                      <w:rFonts w:hint="default" w:ascii="Times New Roman" w:hAnsi="Times New Roman" w:eastAsia="宋体" w:cs="Times New Roman"/>
                      <w:sz w:val="21"/>
                      <w:szCs w:val="21"/>
                      <w:lang w:val="en-US" w:eastAsia="zh-CN"/>
                    </w:rPr>
                  </w:pPr>
                  <w:r>
                    <w:rPr>
                      <w:rFonts w:hint="default" w:ascii="Times New Roman" w:hAnsi="Times New Roman" w:cs="Times New Roman"/>
                      <w:sz w:val="21"/>
                      <w:szCs w:val="21"/>
                      <w:lang w:val="en-US" w:eastAsia="zh-CN"/>
                    </w:rPr>
                    <w:t>112.6</w:t>
                  </w:r>
                </w:p>
              </w:tc>
              <w:tc>
                <w:tcPr>
                  <w:tcW w:w="470" w:type="pct"/>
                  <w:shd w:val="clear" w:color="auto" w:fill="FFFFFF"/>
                  <w:vAlign w:val="center"/>
                </w:tcPr>
                <w:p w14:paraId="78E38578">
                  <w:pPr>
                    <w:pStyle w:val="12"/>
                    <w:rPr>
                      <w:rFonts w:hint="default" w:ascii="Times New Roman" w:hAnsi="Times New Roman" w:eastAsia="宋体" w:cs="Times New Roman"/>
                      <w:sz w:val="21"/>
                      <w:szCs w:val="21"/>
                      <w:lang w:val="en-US" w:eastAsia="zh-CN"/>
                    </w:rPr>
                  </w:pPr>
                  <w:r>
                    <w:rPr>
                      <w:rFonts w:hint="default" w:ascii="Times New Roman" w:hAnsi="Times New Roman" w:cs="Times New Roman"/>
                      <w:sz w:val="21"/>
                      <w:szCs w:val="21"/>
                      <w:lang w:val="en-US" w:eastAsia="zh-CN"/>
                    </w:rPr>
                    <w:t>-19.2</w:t>
                  </w:r>
                </w:p>
              </w:tc>
              <w:tc>
                <w:tcPr>
                  <w:tcW w:w="527" w:type="pct"/>
                  <w:shd w:val="clear" w:color="auto" w:fill="FFFFFF"/>
                  <w:vAlign w:val="center"/>
                </w:tcPr>
                <w:p w14:paraId="4B843EEF">
                  <w:pPr>
                    <w:pStyle w:val="12"/>
                    <w:rPr>
                      <w:rFonts w:hint="default" w:ascii="Times New Roman" w:hAnsi="Times New Roman" w:eastAsia="宋体" w:cs="Times New Roman"/>
                      <w:sz w:val="21"/>
                      <w:szCs w:val="21"/>
                      <w:lang w:val="en-US" w:eastAsia="zh-CN"/>
                    </w:rPr>
                  </w:pPr>
                  <w:r>
                    <w:rPr>
                      <w:rFonts w:hint="default" w:ascii="Times New Roman" w:hAnsi="Times New Roman" w:cs="Times New Roman"/>
                      <w:sz w:val="21"/>
                      <w:szCs w:val="21"/>
                      <w:lang w:val="en-US" w:eastAsia="zh-CN"/>
                    </w:rPr>
                    <w:t>1.2</w:t>
                  </w:r>
                </w:p>
              </w:tc>
              <w:tc>
                <w:tcPr>
                  <w:tcW w:w="526" w:type="pct"/>
                  <w:shd w:val="clear" w:color="auto" w:fill="FFFFFF"/>
                  <w:vAlign w:val="center"/>
                </w:tcPr>
                <w:p w14:paraId="2B6F37DC">
                  <w:pPr>
                    <w:pStyle w:val="12"/>
                    <w:rPr>
                      <w:rFonts w:hint="default" w:ascii="Times New Roman" w:hAnsi="Times New Roman" w:cs="Times New Roman"/>
                      <w:sz w:val="21"/>
                      <w:szCs w:val="21"/>
                    </w:rPr>
                  </w:pPr>
                  <w:r>
                    <w:rPr>
                      <w:rFonts w:hint="default" w:ascii="Times New Roman" w:hAnsi="Times New Roman" w:cs="Times New Roman"/>
                      <w:sz w:val="21"/>
                      <w:szCs w:val="21"/>
                    </w:rPr>
                    <w:t>昼间</w:t>
                  </w:r>
                </w:p>
              </w:tc>
              <w:tc>
                <w:tcPr>
                  <w:tcW w:w="831" w:type="pct"/>
                  <w:shd w:val="clear" w:color="auto" w:fill="FFFFFF"/>
                  <w:vAlign w:val="center"/>
                </w:tcPr>
                <w:p w14:paraId="64BEAF03">
                  <w:pPr>
                    <w:ind w:firstLine="420" w:firstLineChars="200"/>
                    <w:rPr>
                      <w:rFonts w:hint="default" w:ascii="Times New Roman" w:hAnsi="Times New Roman" w:cs="Times New Roman"/>
                      <w:sz w:val="21"/>
                      <w:szCs w:val="21"/>
                    </w:rPr>
                  </w:pPr>
                  <w:r>
                    <w:rPr>
                      <w:rFonts w:hint="default" w:ascii="Times New Roman" w:hAnsi="Times New Roman" w:eastAsia="Arial" w:cs="Times New Roman"/>
                      <w:sz w:val="21"/>
                      <w:szCs w:val="21"/>
                    </w:rPr>
                    <w:t>47.2</w:t>
                  </w:r>
                </w:p>
              </w:tc>
              <w:tc>
                <w:tcPr>
                  <w:tcW w:w="831" w:type="pct"/>
                  <w:shd w:val="clear" w:color="auto" w:fill="FFFFFF"/>
                  <w:vAlign w:val="center"/>
                </w:tcPr>
                <w:p w14:paraId="024CF9DC">
                  <w:pPr>
                    <w:ind w:firstLine="420" w:firstLineChars="200"/>
                    <w:rPr>
                      <w:rFonts w:hint="default" w:ascii="Times New Roman" w:hAnsi="Times New Roman" w:eastAsia="宋体" w:cs="Times New Roman"/>
                      <w:sz w:val="21"/>
                      <w:szCs w:val="21"/>
                      <w:lang w:val="en-US" w:eastAsia="zh-CN"/>
                    </w:rPr>
                  </w:pPr>
                  <w:r>
                    <w:rPr>
                      <w:rFonts w:hint="default" w:ascii="Times New Roman" w:hAnsi="Times New Roman" w:eastAsia="Arial" w:cs="Times New Roman"/>
                      <w:sz w:val="21"/>
                      <w:szCs w:val="21"/>
                    </w:rPr>
                    <w:t>6</w:t>
                  </w:r>
                  <w:r>
                    <w:rPr>
                      <w:rFonts w:hint="default" w:ascii="Times New Roman" w:hAnsi="Times New Roman" w:eastAsia="宋体" w:cs="Times New Roman"/>
                      <w:sz w:val="21"/>
                      <w:szCs w:val="21"/>
                      <w:lang w:val="en-US" w:eastAsia="zh-CN"/>
                    </w:rPr>
                    <w:t>5</w:t>
                  </w:r>
                </w:p>
              </w:tc>
              <w:tc>
                <w:tcPr>
                  <w:tcW w:w="696" w:type="pct"/>
                  <w:shd w:val="clear" w:color="auto" w:fill="FFFFFF"/>
                  <w:vAlign w:val="center"/>
                </w:tcPr>
                <w:p w14:paraId="5E1A1262">
                  <w:pPr>
                    <w:pStyle w:val="12"/>
                    <w:rPr>
                      <w:rFonts w:hint="default" w:ascii="Times New Roman" w:hAnsi="Times New Roman" w:cs="Times New Roman"/>
                      <w:sz w:val="21"/>
                      <w:szCs w:val="21"/>
                    </w:rPr>
                  </w:pPr>
                  <w:r>
                    <w:rPr>
                      <w:rFonts w:hint="default" w:ascii="Times New Roman" w:hAnsi="Times New Roman" w:cs="Times New Roman"/>
                      <w:sz w:val="21"/>
                      <w:szCs w:val="21"/>
                    </w:rPr>
                    <w:t>达标</w:t>
                  </w:r>
                </w:p>
              </w:tc>
            </w:tr>
            <w:tr w14:paraId="4BBF4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408" w:hRule="exact"/>
                <w:jc w:val="center"/>
              </w:trPr>
              <w:tc>
                <w:tcPr>
                  <w:tcW w:w="646" w:type="pct"/>
                  <w:vMerge w:val="continue"/>
                  <w:shd w:val="clear" w:color="auto" w:fill="FFFFFF"/>
                  <w:vAlign w:val="center"/>
                </w:tcPr>
                <w:p w14:paraId="408CE153">
                  <w:pPr>
                    <w:pStyle w:val="12"/>
                    <w:ind w:firstLine="0" w:firstLineChars="0"/>
                    <w:rPr>
                      <w:rFonts w:hint="default" w:ascii="Times New Roman" w:hAnsi="Times New Roman" w:cs="Times New Roman"/>
                      <w:sz w:val="21"/>
                      <w:szCs w:val="21"/>
                    </w:rPr>
                  </w:pPr>
                </w:p>
              </w:tc>
              <w:tc>
                <w:tcPr>
                  <w:tcW w:w="470" w:type="pct"/>
                  <w:shd w:val="clear" w:color="auto" w:fill="FFFFFF"/>
                  <w:vAlign w:val="center"/>
                </w:tcPr>
                <w:p w14:paraId="06D29349">
                  <w:pPr>
                    <w:pStyle w:val="12"/>
                    <w:ind w:firstLine="0" w:firstLineChars="0"/>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112.6</w:t>
                  </w:r>
                </w:p>
              </w:tc>
              <w:tc>
                <w:tcPr>
                  <w:tcW w:w="470" w:type="pct"/>
                  <w:shd w:val="clear" w:color="auto" w:fill="FFFFFF"/>
                  <w:vAlign w:val="center"/>
                </w:tcPr>
                <w:p w14:paraId="4E7BCA37">
                  <w:pPr>
                    <w:pStyle w:val="12"/>
                    <w:ind w:firstLine="0" w:firstLineChars="0"/>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-19.2</w:t>
                  </w:r>
                </w:p>
              </w:tc>
              <w:tc>
                <w:tcPr>
                  <w:tcW w:w="527" w:type="pct"/>
                  <w:shd w:val="clear" w:color="auto" w:fill="FFFFFF"/>
                  <w:vAlign w:val="center"/>
                </w:tcPr>
                <w:p w14:paraId="0F370C1F">
                  <w:pPr>
                    <w:pStyle w:val="12"/>
                    <w:ind w:firstLine="0" w:firstLineChars="0"/>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1.2</w:t>
                  </w:r>
                </w:p>
              </w:tc>
              <w:tc>
                <w:tcPr>
                  <w:tcW w:w="526" w:type="pct"/>
                  <w:shd w:val="clear" w:color="auto" w:fill="FFFFFF"/>
                  <w:vAlign w:val="center"/>
                </w:tcPr>
                <w:p w14:paraId="78279862">
                  <w:pPr>
                    <w:pStyle w:val="12"/>
                    <w:rPr>
                      <w:rFonts w:hint="default" w:ascii="Times New Roman" w:hAnsi="Times New Roman" w:eastAsia="宋体" w:cs="Times New Roman"/>
                      <w:sz w:val="21"/>
                      <w:szCs w:val="21"/>
                      <w:lang w:val="en-US" w:eastAsia="zh-CN"/>
                    </w:rPr>
                  </w:pPr>
                  <w:r>
                    <w:rPr>
                      <w:rFonts w:hint="default" w:ascii="Times New Roman" w:hAnsi="Times New Roman" w:cs="Times New Roman"/>
                      <w:sz w:val="21"/>
                      <w:szCs w:val="21"/>
                      <w:lang w:val="en-US" w:eastAsia="zh-CN"/>
                    </w:rPr>
                    <w:t>夜间</w:t>
                  </w:r>
                </w:p>
              </w:tc>
              <w:tc>
                <w:tcPr>
                  <w:tcW w:w="831" w:type="pct"/>
                  <w:shd w:val="clear" w:color="auto" w:fill="FFFFFF"/>
                  <w:vAlign w:val="center"/>
                </w:tcPr>
                <w:p w14:paraId="6049853D">
                  <w:pPr>
                    <w:ind w:firstLine="420" w:firstLineChars="200"/>
                    <w:rPr>
                      <w:rFonts w:hint="default" w:ascii="Times New Roman" w:hAnsi="Times New Roman" w:cs="Times New Roman"/>
                      <w:sz w:val="21"/>
                      <w:szCs w:val="21"/>
                    </w:rPr>
                  </w:pPr>
                  <w:r>
                    <w:rPr>
                      <w:rFonts w:hint="default" w:ascii="Times New Roman" w:hAnsi="Times New Roman" w:eastAsia="Arial" w:cs="Times New Roman"/>
                      <w:sz w:val="21"/>
                      <w:szCs w:val="21"/>
                    </w:rPr>
                    <w:t>47.2</w:t>
                  </w:r>
                </w:p>
              </w:tc>
              <w:tc>
                <w:tcPr>
                  <w:tcW w:w="831" w:type="pct"/>
                  <w:shd w:val="clear" w:color="auto" w:fill="FFFFFF"/>
                  <w:vAlign w:val="center"/>
                </w:tcPr>
                <w:p w14:paraId="01C8313E">
                  <w:pPr>
                    <w:ind w:firstLine="420" w:firstLineChars="200"/>
                    <w:rPr>
                      <w:rFonts w:hint="default" w:ascii="Times New Roman" w:hAnsi="Times New Roman" w:eastAsia="宋体" w:cs="Times New Roman"/>
                      <w:sz w:val="21"/>
                      <w:szCs w:val="21"/>
                      <w:lang w:val="en-US" w:eastAsia="zh-CN"/>
                    </w:rPr>
                  </w:pPr>
                  <w:r>
                    <w:rPr>
                      <w:rFonts w:hint="default" w:ascii="Times New Roman" w:hAnsi="Times New Roman" w:eastAsia="Arial" w:cs="Times New Roman"/>
                      <w:sz w:val="21"/>
                      <w:szCs w:val="21"/>
                    </w:rPr>
                    <w:t>5</w:t>
                  </w:r>
                  <w:r>
                    <w:rPr>
                      <w:rFonts w:hint="default" w:ascii="Times New Roman" w:hAnsi="Times New Roman" w:eastAsia="宋体" w:cs="Times New Roman"/>
                      <w:sz w:val="21"/>
                      <w:szCs w:val="21"/>
                      <w:lang w:val="en-US" w:eastAsia="zh-CN"/>
                    </w:rPr>
                    <w:t>5</w:t>
                  </w:r>
                </w:p>
              </w:tc>
              <w:tc>
                <w:tcPr>
                  <w:tcW w:w="696" w:type="pct"/>
                  <w:shd w:val="clear" w:color="auto" w:fill="FFFFFF"/>
                  <w:vAlign w:val="center"/>
                </w:tcPr>
                <w:p w14:paraId="3C1B2ECA">
                  <w:pPr>
                    <w:pStyle w:val="12"/>
                    <w:rPr>
                      <w:rFonts w:hint="default" w:ascii="Times New Roman" w:hAnsi="Times New Roman" w:cs="Times New Roman"/>
                      <w:sz w:val="21"/>
                      <w:szCs w:val="21"/>
                    </w:rPr>
                  </w:pPr>
                  <w:r>
                    <w:rPr>
                      <w:rFonts w:hint="default" w:ascii="Times New Roman" w:hAnsi="Times New Roman" w:cs="Times New Roman"/>
                      <w:sz w:val="21"/>
                      <w:szCs w:val="21"/>
                    </w:rPr>
                    <w:t>达标</w:t>
                  </w:r>
                </w:p>
              </w:tc>
            </w:tr>
            <w:tr w14:paraId="7D90F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408" w:hRule="exact"/>
                <w:jc w:val="center"/>
              </w:trPr>
              <w:tc>
                <w:tcPr>
                  <w:tcW w:w="646" w:type="pct"/>
                  <w:vMerge w:val="restart"/>
                  <w:shd w:val="clear" w:color="auto" w:fill="FFFFFF"/>
                  <w:vAlign w:val="center"/>
                </w:tcPr>
                <w:p w14:paraId="318BA735">
                  <w:pPr>
                    <w:pStyle w:val="12"/>
                    <w:ind w:firstLine="0" w:firstLineChars="0"/>
                    <w:rPr>
                      <w:rFonts w:hint="default" w:ascii="Times New Roman" w:hAnsi="Times New Roman" w:cs="Times New Roman"/>
                      <w:sz w:val="21"/>
                      <w:szCs w:val="21"/>
                    </w:rPr>
                  </w:pPr>
                  <w:r>
                    <w:rPr>
                      <w:rFonts w:hint="eastAsia" w:cs="Times New Roman"/>
                      <w:sz w:val="21"/>
                      <w:szCs w:val="21"/>
                      <w:lang w:val="en-US" w:eastAsia="zh-CN"/>
                    </w:rPr>
                    <w:t>整体厂房</w:t>
                  </w:r>
                  <w:r>
                    <w:rPr>
                      <w:rFonts w:hint="default" w:ascii="Times New Roman" w:hAnsi="Times New Roman" w:cs="Times New Roman"/>
                      <w:sz w:val="21"/>
                      <w:szCs w:val="21"/>
                    </w:rPr>
                    <w:t>南侧</w:t>
                  </w:r>
                </w:p>
              </w:tc>
              <w:tc>
                <w:tcPr>
                  <w:tcW w:w="470" w:type="pct"/>
                  <w:shd w:val="clear" w:color="auto" w:fill="FFFFFF"/>
                  <w:vAlign w:val="center"/>
                </w:tcPr>
                <w:p w14:paraId="2CC56FF9">
                  <w:pPr>
                    <w:pStyle w:val="12"/>
                    <w:rPr>
                      <w:rFonts w:hint="default" w:ascii="Times New Roman" w:hAnsi="Times New Roman" w:eastAsia="宋体" w:cs="Times New Roman"/>
                      <w:sz w:val="21"/>
                      <w:szCs w:val="21"/>
                      <w:lang w:val="en-US" w:eastAsia="zh-CN"/>
                    </w:rPr>
                  </w:pPr>
                  <w:r>
                    <w:rPr>
                      <w:rFonts w:hint="default" w:ascii="Times New Roman" w:hAnsi="Times New Roman" w:cs="Times New Roman"/>
                      <w:sz w:val="21"/>
                      <w:szCs w:val="21"/>
                      <w:lang w:val="en-US" w:eastAsia="zh-CN"/>
                    </w:rPr>
                    <w:t>47.6</w:t>
                  </w:r>
                </w:p>
              </w:tc>
              <w:tc>
                <w:tcPr>
                  <w:tcW w:w="470" w:type="pct"/>
                  <w:shd w:val="clear" w:color="auto" w:fill="FFFFFF"/>
                  <w:vAlign w:val="center"/>
                </w:tcPr>
                <w:p w14:paraId="2D657667">
                  <w:pPr>
                    <w:pStyle w:val="12"/>
                    <w:rPr>
                      <w:rFonts w:hint="default" w:ascii="Times New Roman" w:hAnsi="Times New Roman" w:eastAsia="宋体" w:cs="Times New Roman"/>
                      <w:sz w:val="21"/>
                      <w:szCs w:val="21"/>
                      <w:lang w:val="en-US" w:eastAsia="zh-CN"/>
                    </w:rPr>
                  </w:pPr>
                  <w:r>
                    <w:rPr>
                      <w:rFonts w:hint="default" w:ascii="Times New Roman" w:hAnsi="Times New Roman" w:cs="Times New Roman"/>
                      <w:sz w:val="21"/>
                      <w:szCs w:val="21"/>
                      <w:lang w:val="en-US" w:eastAsia="zh-CN"/>
                    </w:rPr>
                    <w:t>-57</w:t>
                  </w:r>
                </w:p>
              </w:tc>
              <w:tc>
                <w:tcPr>
                  <w:tcW w:w="527" w:type="pct"/>
                  <w:shd w:val="clear" w:color="auto" w:fill="FFFFFF"/>
                  <w:vAlign w:val="center"/>
                </w:tcPr>
                <w:p w14:paraId="287C2A2E">
                  <w:pPr>
                    <w:pStyle w:val="12"/>
                    <w:rPr>
                      <w:rFonts w:hint="default" w:ascii="Times New Roman" w:hAnsi="Times New Roman" w:eastAsia="宋体" w:cs="Times New Roman"/>
                      <w:sz w:val="21"/>
                      <w:szCs w:val="21"/>
                      <w:lang w:val="en-US" w:eastAsia="zh-CN"/>
                    </w:rPr>
                  </w:pPr>
                  <w:r>
                    <w:rPr>
                      <w:rFonts w:hint="default" w:ascii="Times New Roman" w:hAnsi="Times New Roman" w:cs="Times New Roman"/>
                      <w:sz w:val="21"/>
                      <w:szCs w:val="21"/>
                      <w:lang w:val="en-US" w:eastAsia="zh-CN"/>
                    </w:rPr>
                    <w:t>1.2</w:t>
                  </w:r>
                </w:p>
              </w:tc>
              <w:tc>
                <w:tcPr>
                  <w:tcW w:w="526" w:type="pct"/>
                  <w:shd w:val="clear" w:color="auto" w:fill="FFFFFF"/>
                  <w:vAlign w:val="center"/>
                </w:tcPr>
                <w:p w14:paraId="3E6AFB9B">
                  <w:pPr>
                    <w:pStyle w:val="12"/>
                    <w:rPr>
                      <w:rFonts w:hint="default" w:ascii="Times New Roman" w:hAnsi="Times New Roman" w:cs="Times New Roman"/>
                      <w:sz w:val="21"/>
                      <w:szCs w:val="21"/>
                    </w:rPr>
                  </w:pPr>
                  <w:r>
                    <w:rPr>
                      <w:rFonts w:hint="default" w:ascii="Times New Roman" w:hAnsi="Times New Roman" w:cs="Times New Roman"/>
                      <w:sz w:val="21"/>
                      <w:szCs w:val="21"/>
                    </w:rPr>
                    <w:t>昼间</w:t>
                  </w:r>
                </w:p>
              </w:tc>
              <w:tc>
                <w:tcPr>
                  <w:tcW w:w="831" w:type="pct"/>
                  <w:shd w:val="clear" w:color="auto" w:fill="FFFFFF"/>
                  <w:vAlign w:val="center"/>
                </w:tcPr>
                <w:p w14:paraId="29433B6F">
                  <w:pPr>
                    <w:ind w:firstLine="420" w:firstLineChars="200"/>
                    <w:rPr>
                      <w:rFonts w:hint="default" w:ascii="Times New Roman" w:hAnsi="Times New Roman" w:cs="Times New Roman"/>
                      <w:b w:val="0"/>
                      <w:bCs/>
                      <w:sz w:val="21"/>
                      <w:szCs w:val="21"/>
                    </w:rPr>
                  </w:pPr>
                  <w:r>
                    <w:rPr>
                      <w:rFonts w:hint="default" w:ascii="Times New Roman" w:hAnsi="Times New Roman" w:eastAsia="Arial" w:cs="Times New Roman"/>
                      <w:b w:val="0"/>
                      <w:bCs/>
                      <w:sz w:val="21"/>
                      <w:szCs w:val="21"/>
                    </w:rPr>
                    <w:t>53.6</w:t>
                  </w:r>
                </w:p>
              </w:tc>
              <w:tc>
                <w:tcPr>
                  <w:tcW w:w="831" w:type="pct"/>
                  <w:shd w:val="clear" w:color="auto" w:fill="FFFFFF"/>
                  <w:vAlign w:val="center"/>
                </w:tcPr>
                <w:p w14:paraId="134BC7CD">
                  <w:pPr>
                    <w:ind w:firstLine="420" w:firstLineChars="200"/>
                    <w:rPr>
                      <w:rFonts w:hint="default" w:ascii="Times New Roman" w:hAnsi="Times New Roman" w:eastAsia="宋体" w:cs="Times New Roman"/>
                      <w:sz w:val="21"/>
                      <w:szCs w:val="21"/>
                      <w:lang w:val="en-US" w:eastAsia="zh-CN"/>
                    </w:rPr>
                  </w:pPr>
                  <w:r>
                    <w:rPr>
                      <w:rFonts w:hint="default" w:ascii="Times New Roman" w:hAnsi="Times New Roman" w:eastAsia="Arial" w:cs="Times New Roman"/>
                      <w:sz w:val="21"/>
                      <w:szCs w:val="21"/>
                    </w:rPr>
                    <w:t>6</w:t>
                  </w:r>
                  <w:r>
                    <w:rPr>
                      <w:rFonts w:hint="default" w:ascii="Times New Roman" w:hAnsi="Times New Roman" w:eastAsia="宋体" w:cs="Times New Roman"/>
                      <w:sz w:val="21"/>
                      <w:szCs w:val="21"/>
                      <w:lang w:val="en-US" w:eastAsia="zh-CN"/>
                    </w:rPr>
                    <w:t>5</w:t>
                  </w:r>
                </w:p>
              </w:tc>
              <w:tc>
                <w:tcPr>
                  <w:tcW w:w="696" w:type="pct"/>
                  <w:shd w:val="clear" w:color="auto" w:fill="FFFFFF"/>
                  <w:vAlign w:val="center"/>
                </w:tcPr>
                <w:p w14:paraId="5D3CB8F8">
                  <w:pPr>
                    <w:pStyle w:val="12"/>
                    <w:rPr>
                      <w:rFonts w:hint="default" w:ascii="Times New Roman" w:hAnsi="Times New Roman" w:cs="Times New Roman"/>
                      <w:sz w:val="21"/>
                      <w:szCs w:val="21"/>
                    </w:rPr>
                  </w:pPr>
                  <w:r>
                    <w:rPr>
                      <w:rFonts w:hint="default" w:ascii="Times New Roman" w:hAnsi="Times New Roman" w:cs="Times New Roman"/>
                      <w:sz w:val="21"/>
                      <w:szCs w:val="21"/>
                    </w:rPr>
                    <w:t>达标</w:t>
                  </w:r>
                </w:p>
              </w:tc>
            </w:tr>
            <w:tr w14:paraId="7B713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408" w:hRule="exact"/>
                <w:jc w:val="center"/>
              </w:trPr>
              <w:tc>
                <w:tcPr>
                  <w:tcW w:w="646" w:type="pct"/>
                  <w:vMerge w:val="continue"/>
                  <w:shd w:val="clear" w:color="auto" w:fill="FFFFFF"/>
                  <w:vAlign w:val="center"/>
                </w:tcPr>
                <w:p w14:paraId="51E4DFB7">
                  <w:pPr>
                    <w:pStyle w:val="12"/>
                    <w:ind w:firstLine="0" w:firstLineChars="0"/>
                    <w:rPr>
                      <w:rFonts w:hint="default" w:ascii="Times New Roman" w:hAnsi="Times New Roman" w:cs="Times New Roman"/>
                      <w:sz w:val="21"/>
                      <w:szCs w:val="21"/>
                    </w:rPr>
                  </w:pPr>
                </w:p>
              </w:tc>
              <w:tc>
                <w:tcPr>
                  <w:tcW w:w="470" w:type="pct"/>
                  <w:shd w:val="clear" w:color="auto" w:fill="FFFFFF"/>
                  <w:vAlign w:val="center"/>
                </w:tcPr>
                <w:p w14:paraId="7045DE8A">
                  <w:pPr>
                    <w:pStyle w:val="12"/>
                    <w:ind w:firstLine="0" w:firstLineChars="0"/>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47.6</w:t>
                  </w:r>
                </w:p>
              </w:tc>
              <w:tc>
                <w:tcPr>
                  <w:tcW w:w="470" w:type="pct"/>
                  <w:shd w:val="clear" w:color="auto" w:fill="FFFFFF"/>
                  <w:vAlign w:val="center"/>
                </w:tcPr>
                <w:p w14:paraId="724EFF95">
                  <w:pPr>
                    <w:pStyle w:val="12"/>
                    <w:ind w:firstLine="0" w:firstLineChars="0"/>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-57</w:t>
                  </w:r>
                </w:p>
              </w:tc>
              <w:tc>
                <w:tcPr>
                  <w:tcW w:w="527" w:type="pct"/>
                  <w:shd w:val="clear" w:color="auto" w:fill="FFFFFF"/>
                  <w:vAlign w:val="center"/>
                </w:tcPr>
                <w:p w14:paraId="6F880EA6">
                  <w:pPr>
                    <w:pStyle w:val="12"/>
                    <w:ind w:firstLine="0" w:firstLineChars="0"/>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1.2</w:t>
                  </w:r>
                </w:p>
              </w:tc>
              <w:tc>
                <w:tcPr>
                  <w:tcW w:w="526" w:type="pct"/>
                  <w:shd w:val="clear" w:color="auto" w:fill="FFFFFF"/>
                  <w:vAlign w:val="center"/>
                </w:tcPr>
                <w:p w14:paraId="3B1288E3">
                  <w:pPr>
                    <w:pStyle w:val="12"/>
                    <w:rPr>
                      <w:rFonts w:hint="default" w:ascii="Times New Roman" w:hAnsi="Times New Roman" w:cs="Times New Roman"/>
                      <w:sz w:val="21"/>
                      <w:szCs w:val="21"/>
                    </w:rPr>
                  </w:pPr>
                  <w:r>
                    <w:rPr>
                      <w:rFonts w:hint="default" w:ascii="Times New Roman" w:hAnsi="Times New Roman" w:cs="Times New Roman"/>
                      <w:sz w:val="21"/>
                      <w:szCs w:val="21"/>
                      <w:lang w:val="en-US" w:eastAsia="zh-CN"/>
                    </w:rPr>
                    <w:t>夜间</w:t>
                  </w:r>
                </w:p>
              </w:tc>
              <w:tc>
                <w:tcPr>
                  <w:tcW w:w="831" w:type="pct"/>
                  <w:shd w:val="clear" w:color="auto" w:fill="FFFFFF"/>
                  <w:vAlign w:val="center"/>
                </w:tcPr>
                <w:p w14:paraId="236B8D7F">
                  <w:pPr>
                    <w:ind w:firstLine="420" w:firstLineChars="200"/>
                    <w:rPr>
                      <w:rFonts w:hint="default" w:ascii="Times New Roman" w:hAnsi="Times New Roman" w:cs="Times New Roman"/>
                      <w:b w:val="0"/>
                      <w:bCs/>
                      <w:sz w:val="21"/>
                      <w:szCs w:val="21"/>
                    </w:rPr>
                  </w:pPr>
                  <w:r>
                    <w:rPr>
                      <w:rFonts w:hint="default" w:ascii="Times New Roman" w:hAnsi="Times New Roman" w:eastAsia="Arial" w:cs="Times New Roman"/>
                      <w:b w:val="0"/>
                      <w:bCs/>
                      <w:sz w:val="21"/>
                      <w:szCs w:val="21"/>
                    </w:rPr>
                    <w:t>53.6</w:t>
                  </w:r>
                </w:p>
              </w:tc>
              <w:tc>
                <w:tcPr>
                  <w:tcW w:w="831" w:type="pct"/>
                  <w:shd w:val="clear" w:color="auto" w:fill="FFFFFF"/>
                  <w:vAlign w:val="center"/>
                </w:tcPr>
                <w:p w14:paraId="3E9DAFFA">
                  <w:pPr>
                    <w:ind w:firstLine="420" w:firstLineChars="200"/>
                    <w:rPr>
                      <w:rFonts w:hint="default" w:ascii="Times New Roman" w:hAnsi="Times New Roman" w:eastAsia="宋体" w:cs="Times New Roman"/>
                      <w:sz w:val="21"/>
                      <w:szCs w:val="21"/>
                      <w:lang w:val="en-US" w:eastAsia="zh-CN"/>
                    </w:rPr>
                  </w:pPr>
                  <w:r>
                    <w:rPr>
                      <w:rFonts w:hint="default" w:ascii="Times New Roman" w:hAnsi="Times New Roman" w:eastAsia="Arial" w:cs="Times New Roman"/>
                      <w:sz w:val="21"/>
                      <w:szCs w:val="21"/>
                    </w:rPr>
                    <w:t>5</w:t>
                  </w:r>
                  <w:r>
                    <w:rPr>
                      <w:rFonts w:hint="default" w:ascii="Times New Roman" w:hAnsi="Times New Roman" w:eastAsia="宋体" w:cs="Times New Roman"/>
                      <w:sz w:val="21"/>
                      <w:szCs w:val="21"/>
                      <w:lang w:val="en-US" w:eastAsia="zh-CN"/>
                    </w:rPr>
                    <w:t>5</w:t>
                  </w:r>
                </w:p>
              </w:tc>
              <w:tc>
                <w:tcPr>
                  <w:tcW w:w="696" w:type="pct"/>
                  <w:shd w:val="clear" w:color="auto" w:fill="FFFFFF"/>
                  <w:vAlign w:val="center"/>
                </w:tcPr>
                <w:p w14:paraId="7F3EE2E6">
                  <w:pPr>
                    <w:pStyle w:val="12"/>
                    <w:rPr>
                      <w:rFonts w:hint="default" w:ascii="Times New Roman" w:hAnsi="Times New Roman" w:cs="Times New Roman"/>
                      <w:sz w:val="21"/>
                      <w:szCs w:val="21"/>
                    </w:rPr>
                  </w:pPr>
                  <w:r>
                    <w:rPr>
                      <w:rFonts w:hint="default" w:ascii="Times New Roman" w:hAnsi="Times New Roman" w:cs="Times New Roman"/>
                      <w:sz w:val="21"/>
                      <w:szCs w:val="21"/>
                    </w:rPr>
                    <w:t>达标</w:t>
                  </w:r>
                </w:p>
              </w:tc>
            </w:tr>
            <w:tr w14:paraId="3DD28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408" w:hRule="exact"/>
                <w:jc w:val="center"/>
              </w:trPr>
              <w:tc>
                <w:tcPr>
                  <w:tcW w:w="646" w:type="pct"/>
                  <w:vMerge w:val="restart"/>
                  <w:shd w:val="clear" w:color="auto" w:fill="FFFFFF"/>
                  <w:vAlign w:val="center"/>
                </w:tcPr>
                <w:p w14:paraId="55F37C68">
                  <w:pPr>
                    <w:pStyle w:val="12"/>
                    <w:ind w:firstLine="0" w:firstLineChars="0"/>
                    <w:rPr>
                      <w:rFonts w:hint="default" w:ascii="Times New Roman" w:hAnsi="Times New Roman" w:cs="Times New Roman"/>
                      <w:sz w:val="21"/>
                      <w:szCs w:val="21"/>
                    </w:rPr>
                  </w:pPr>
                  <w:r>
                    <w:rPr>
                      <w:rFonts w:hint="eastAsia" w:cs="Times New Roman"/>
                      <w:sz w:val="21"/>
                      <w:szCs w:val="21"/>
                      <w:lang w:val="en-US" w:eastAsia="zh-CN"/>
                    </w:rPr>
                    <w:t>整体厂房</w:t>
                  </w:r>
                  <w:r>
                    <w:rPr>
                      <w:rFonts w:hint="default" w:ascii="Times New Roman" w:hAnsi="Times New Roman" w:cs="Times New Roman"/>
                      <w:sz w:val="21"/>
                      <w:szCs w:val="21"/>
                    </w:rPr>
                    <w:t>西侧</w:t>
                  </w:r>
                </w:p>
              </w:tc>
              <w:tc>
                <w:tcPr>
                  <w:tcW w:w="470" w:type="pct"/>
                  <w:shd w:val="clear" w:color="auto" w:fill="FFFFFF"/>
                  <w:vAlign w:val="center"/>
                </w:tcPr>
                <w:p w14:paraId="1EA01BD3">
                  <w:pPr>
                    <w:pStyle w:val="12"/>
                    <w:rPr>
                      <w:rFonts w:hint="default" w:ascii="Times New Roman" w:hAnsi="Times New Roman" w:eastAsia="宋体" w:cs="Times New Roman"/>
                      <w:sz w:val="21"/>
                      <w:szCs w:val="21"/>
                      <w:lang w:val="en-US" w:eastAsia="zh-CN"/>
                    </w:rPr>
                  </w:pPr>
                  <w:r>
                    <w:rPr>
                      <w:rFonts w:hint="default" w:ascii="Times New Roman" w:hAnsi="Times New Roman" w:cs="Times New Roman"/>
                      <w:sz w:val="21"/>
                      <w:szCs w:val="21"/>
                      <w:lang w:val="en-US" w:eastAsia="zh-CN"/>
                    </w:rPr>
                    <w:t>-47.6</w:t>
                  </w:r>
                </w:p>
              </w:tc>
              <w:tc>
                <w:tcPr>
                  <w:tcW w:w="470" w:type="pct"/>
                  <w:shd w:val="clear" w:color="auto" w:fill="FFFFFF"/>
                  <w:vAlign w:val="center"/>
                </w:tcPr>
                <w:p w14:paraId="7F58270B">
                  <w:pPr>
                    <w:pStyle w:val="12"/>
                    <w:rPr>
                      <w:rFonts w:hint="default" w:ascii="Times New Roman" w:hAnsi="Times New Roman" w:eastAsia="宋体" w:cs="Times New Roman"/>
                      <w:sz w:val="21"/>
                      <w:szCs w:val="21"/>
                      <w:lang w:val="en-US" w:eastAsia="zh-CN"/>
                    </w:rPr>
                  </w:pPr>
                  <w:r>
                    <w:rPr>
                      <w:rFonts w:hint="default" w:ascii="Times New Roman" w:hAnsi="Times New Roman" w:cs="Times New Roman"/>
                      <w:sz w:val="21"/>
                      <w:szCs w:val="21"/>
                      <w:lang w:val="en-US" w:eastAsia="zh-CN"/>
                    </w:rPr>
                    <w:t>-48.8</w:t>
                  </w:r>
                </w:p>
              </w:tc>
              <w:tc>
                <w:tcPr>
                  <w:tcW w:w="527" w:type="pct"/>
                  <w:shd w:val="clear" w:color="auto" w:fill="FFFFFF"/>
                  <w:vAlign w:val="center"/>
                </w:tcPr>
                <w:p w14:paraId="73DED671">
                  <w:pPr>
                    <w:pStyle w:val="12"/>
                    <w:rPr>
                      <w:rFonts w:hint="default" w:ascii="Times New Roman" w:hAnsi="Times New Roman" w:eastAsia="宋体" w:cs="Times New Roman"/>
                      <w:sz w:val="21"/>
                      <w:szCs w:val="21"/>
                      <w:lang w:val="en-US" w:eastAsia="zh-CN"/>
                    </w:rPr>
                  </w:pPr>
                  <w:r>
                    <w:rPr>
                      <w:rFonts w:hint="default" w:ascii="Times New Roman" w:hAnsi="Times New Roman" w:cs="Times New Roman"/>
                      <w:sz w:val="21"/>
                      <w:szCs w:val="21"/>
                      <w:lang w:val="en-US" w:eastAsia="zh-CN"/>
                    </w:rPr>
                    <w:t>1.2</w:t>
                  </w:r>
                </w:p>
              </w:tc>
              <w:tc>
                <w:tcPr>
                  <w:tcW w:w="526" w:type="pct"/>
                  <w:shd w:val="clear" w:color="auto" w:fill="FFFFFF"/>
                  <w:vAlign w:val="center"/>
                </w:tcPr>
                <w:p w14:paraId="46D59A39">
                  <w:pPr>
                    <w:pStyle w:val="12"/>
                    <w:rPr>
                      <w:rFonts w:hint="default" w:ascii="Times New Roman" w:hAnsi="Times New Roman" w:cs="Times New Roman"/>
                      <w:sz w:val="21"/>
                      <w:szCs w:val="21"/>
                    </w:rPr>
                  </w:pPr>
                  <w:r>
                    <w:rPr>
                      <w:rFonts w:hint="default" w:ascii="Times New Roman" w:hAnsi="Times New Roman" w:cs="Times New Roman"/>
                      <w:sz w:val="21"/>
                      <w:szCs w:val="21"/>
                    </w:rPr>
                    <w:t>昼间</w:t>
                  </w:r>
                </w:p>
              </w:tc>
              <w:tc>
                <w:tcPr>
                  <w:tcW w:w="831" w:type="pct"/>
                  <w:shd w:val="clear" w:color="auto" w:fill="FFFFFF"/>
                  <w:vAlign w:val="center"/>
                </w:tcPr>
                <w:p w14:paraId="0B8A4936">
                  <w:pPr>
                    <w:ind w:firstLine="420" w:firstLineChars="200"/>
                    <w:rPr>
                      <w:rFonts w:hint="default" w:ascii="Times New Roman" w:hAnsi="Times New Roman" w:cs="Times New Roman"/>
                      <w:sz w:val="21"/>
                      <w:szCs w:val="21"/>
                    </w:rPr>
                  </w:pPr>
                  <w:r>
                    <w:rPr>
                      <w:rFonts w:hint="default" w:ascii="Times New Roman" w:hAnsi="Times New Roman" w:eastAsia="Arial" w:cs="Times New Roman"/>
                      <w:sz w:val="21"/>
                      <w:szCs w:val="21"/>
                    </w:rPr>
                    <w:t>52.1</w:t>
                  </w:r>
                </w:p>
              </w:tc>
              <w:tc>
                <w:tcPr>
                  <w:tcW w:w="831" w:type="pct"/>
                  <w:shd w:val="clear" w:color="auto" w:fill="FFFFFF"/>
                  <w:vAlign w:val="center"/>
                </w:tcPr>
                <w:p w14:paraId="5327618D">
                  <w:pPr>
                    <w:ind w:firstLine="420" w:firstLineChars="200"/>
                    <w:rPr>
                      <w:rFonts w:hint="default" w:ascii="Times New Roman" w:hAnsi="Times New Roman" w:eastAsia="宋体" w:cs="Times New Roman"/>
                      <w:sz w:val="21"/>
                      <w:szCs w:val="21"/>
                      <w:lang w:val="en-US" w:eastAsia="zh-CN"/>
                    </w:rPr>
                  </w:pPr>
                  <w:r>
                    <w:rPr>
                      <w:rFonts w:hint="default" w:ascii="Times New Roman" w:hAnsi="Times New Roman" w:eastAsia="Arial" w:cs="Times New Roman"/>
                      <w:sz w:val="21"/>
                      <w:szCs w:val="21"/>
                    </w:rPr>
                    <w:t>6</w:t>
                  </w:r>
                  <w:r>
                    <w:rPr>
                      <w:rFonts w:hint="default" w:ascii="Times New Roman" w:hAnsi="Times New Roman" w:eastAsia="宋体" w:cs="Times New Roman"/>
                      <w:sz w:val="21"/>
                      <w:szCs w:val="21"/>
                      <w:lang w:val="en-US" w:eastAsia="zh-CN"/>
                    </w:rPr>
                    <w:t>5</w:t>
                  </w:r>
                </w:p>
              </w:tc>
              <w:tc>
                <w:tcPr>
                  <w:tcW w:w="696" w:type="pct"/>
                  <w:shd w:val="clear" w:color="auto" w:fill="FFFFFF"/>
                  <w:vAlign w:val="center"/>
                </w:tcPr>
                <w:p w14:paraId="28D63C42">
                  <w:pPr>
                    <w:pStyle w:val="12"/>
                    <w:rPr>
                      <w:rFonts w:hint="default" w:ascii="Times New Roman" w:hAnsi="Times New Roman" w:cs="Times New Roman"/>
                      <w:sz w:val="21"/>
                      <w:szCs w:val="21"/>
                    </w:rPr>
                  </w:pPr>
                  <w:r>
                    <w:rPr>
                      <w:rFonts w:hint="default" w:ascii="Times New Roman" w:hAnsi="Times New Roman" w:cs="Times New Roman"/>
                      <w:sz w:val="21"/>
                      <w:szCs w:val="21"/>
                    </w:rPr>
                    <w:t>达标</w:t>
                  </w:r>
                </w:p>
              </w:tc>
            </w:tr>
            <w:tr w14:paraId="3A202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408" w:hRule="exact"/>
                <w:jc w:val="center"/>
              </w:trPr>
              <w:tc>
                <w:tcPr>
                  <w:tcW w:w="646" w:type="pct"/>
                  <w:vMerge w:val="continue"/>
                  <w:shd w:val="clear" w:color="auto" w:fill="FFFFFF"/>
                  <w:vAlign w:val="center"/>
                </w:tcPr>
                <w:p w14:paraId="4029E92B">
                  <w:pPr>
                    <w:pStyle w:val="12"/>
                    <w:ind w:firstLine="0" w:firstLineChars="0"/>
                    <w:rPr>
                      <w:rFonts w:hint="default" w:ascii="Times New Roman" w:hAnsi="Times New Roman" w:cs="Times New Roman"/>
                      <w:sz w:val="21"/>
                      <w:szCs w:val="21"/>
                    </w:rPr>
                  </w:pPr>
                </w:p>
              </w:tc>
              <w:tc>
                <w:tcPr>
                  <w:tcW w:w="470" w:type="pct"/>
                  <w:shd w:val="clear" w:color="auto" w:fill="FFFFFF"/>
                  <w:vAlign w:val="center"/>
                </w:tcPr>
                <w:p w14:paraId="420FC1E6">
                  <w:pPr>
                    <w:pStyle w:val="12"/>
                    <w:ind w:firstLine="0" w:firstLineChars="0"/>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-47.6</w:t>
                  </w:r>
                </w:p>
              </w:tc>
              <w:tc>
                <w:tcPr>
                  <w:tcW w:w="470" w:type="pct"/>
                  <w:shd w:val="clear" w:color="auto" w:fill="FFFFFF"/>
                  <w:vAlign w:val="center"/>
                </w:tcPr>
                <w:p w14:paraId="4DC41DE7">
                  <w:pPr>
                    <w:pStyle w:val="12"/>
                    <w:ind w:firstLine="0" w:firstLineChars="0"/>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-48.8</w:t>
                  </w:r>
                </w:p>
              </w:tc>
              <w:tc>
                <w:tcPr>
                  <w:tcW w:w="527" w:type="pct"/>
                  <w:shd w:val="clear" w:color="auto" w:fill="FFFFFF"/>
                  <w:vAlign w:val="center"/>
                </w:tcPr>
                <w:p w14:paraId="2F83391A">
                  <w:pPr>
                    <w:pStyle w:val="12"/>
                    <w:ind w:firstLine="0" w:firstLineChars="0"/>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1.2</w:t>
                  </w:r>
                </w:p>
              </w:tc>
              <w:tc>
                <w:tcPr>
                  <w:tcW w:w="526" w:type="pct"/>
                  <w:shd w:val="clear" w:color="auto" w:fill="FFFFFF"/>
                  <w:vAlign w:val="center"/>
                </w:tcPr>
                <w:p w14:paraId="1A196786">
                  <w:pPr>
                    <w:pStyle w:val="12"/>
                    <w:rPr>
                      <w:rFonts w:hint="default" w:ascii="Times New Roman" w:hAnsi="Times New Roman" w:cs="Times New Roman"/>
                      <w:sz w:val="21"/>
                      <w:szCs w:val="21"/>
                    </w:rPr>
                  </w:pPr>
                  <w:r>
                    <w:rPr>
                      <w:rFonts w:hint="default" w:ascii="Times New Roman" w:hAnsi="Times New Roman" w:cs="Times New Roman"/>
                      <w:sz w:val="21"/>
                      <w:szCs w:val="21"/>
                      <w:lang w:val="en-US" w:eastAsia="zh-CN"/>
                    </w:rPr>
                    <w:t>夜间</w:t>
                  </w:r>
                </w:p>
              </w:tc>
              <w:tc>
                <w:tcPr>
                  <w:tcW w:w="831" w:type="pct"/>
                  <w:shd w:val="clear" w:color="auto" w:fill="FFFFFF"/>
                  <w:vAlign w:val="center"/>
                </w:tcPr>
                <w:p w14:paraId="0A0DD81B">
                  <w:pPr>
                    <w:ind w:firstLine="420" w:firstLineChars="200"/>
                    <w:rPr>
                      <w:rFonts w:hint="default" w:ascii="Times New Roman" w:hAnsi="Times New Roman" w:cs="Times New Roman"/>
                      <w:sz w:val="21"/>
                      <w:szCs w:val="21"/>
                    </w:rPr>
                  </w:pPr>
                  <w:r>
                    <w:rPr>
                      <w:rFonts w:hint="default" w:ascii="Times New Roman" w:hAnsi="Times New Roman" w:eastAsia="Arial" w:cs="Times New Roman"/>
                      <w:sz w:val="21"/>
                      <w:szCs w:val="21"/>
                    </w:rPr>
                    <w:t>52.1</w:t>
                  </w:r>
                </w:p>
              </w:tc>
              <w:tc>
                <w:tcPr>
                  <w:tcW w:w="831" w:type="pct"/>
                  <w:shd w:val="clear" w:color="auto" w:fill="FFFFFF"/>
                  <w:vAlign w:val="center"/>
                </w:tcPr>
                <w:p w14:paraId="3344F767">
                  <w:pPr>
                    <w:ind w:firstLine="420" w:firstLineChars="200"/>
                    <w:rPr>
                      <w:rFonts w:hint="default" w:ascii="Times New Roman" w:hAnsi="Times New Roman" w:eastAsia="宋体" w:cs="Times New Roman"/>
                      <w:sz w:val="21"/>
                      <w:szCs w:val="21"/>
                      <w:lang w:val="en-US" w:eastAsia="zh-CN"/>
                    </w:rPr>
                  </w:pPr>
                  <w:r>
                    <w:rPr>
                      <w:rFonts w:hint="default" w:ascii="Times New Roman" w:hAnsi="Times New Roman" w:eastAsia="Arial" w:cs="Times New Roman"/>
                      <w:sz w:val="21"/>
                      <w:szCs w:val="21"/>
                    </w:rPr>
                    <w:t>5</w:t>
                  </w:r>
                  <w:r>
                    <w:rPr>
                      <w:rFonts w:hint="default" w:ascii="Times New Roman" w:hAnsi="Times New Roman" w:eastAsia="宋体" w:cs="Times New Roman"/>
                      <w:sz w:val="21"/>
                      <w:szCs w:val="21"/>
                      <w:lang w:val="en-US" w:eastAsia="zh-CN"/>
                    </w:rPr>
                    <w:t>5</w:t>
                  </w:r>
                </w:p>
              </w:tc>
              <w:tc>
                <w:tcPr>
                  <w:tcW w:w="696" w:type="pct"/>
                  <w:shd w:val="clear" w:color="auto" w:fill="FFFFFF"/>
                  <w:vAlign w:val="center"/>
                </w:tcPr>
                <w:p w14:paraId="74D4DABF">
                  <w:pPr>
                    <w:pStyle w:val="12"/>
                    <w:rPr>
                      <w:rFonts w:hint="default" w:ascii="Times New Roman" w:hAnsi="Times New Roman" w:cs="Times New Roman"/>
                      <w:sz w:val="21"/>
                      <w:szCs w:val="21"/>
                    </w:rPr>
                  </w:pPr>
                  <w:r>
                    <w:rPr>
                      <w:rFonts w:hint="default" w:ascii="Times New Roman" w:hAnsi="Times New Roman" w:cs="Times New Roman"/>
                      <w:sz w:val="21"/>
                      <w:szCs w:val="21"/>
                    </w:rPr>
                    <w:t>达标</w:t>
                  </w:r>
                </w:p>
              </w:tc>
            </w:tr>
            <w:tr w14:paraId="4731B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408" w:hRule="exact"/>
                <w:jc w:val="center"/>
              </w:trPr>
              <w:tc>
                <w:tcPr>
                  <w:tcW w:w="646" w:type="pct"/>
                  <w:vMerge w:val="restart"/>
                  <w:shd w:val="clear" w:color="auto" w:fill="FFFFFF"/>
                  <w:vAlign w:val="center"/>
                </w:tcPr>
                <w:p w14:paraId="0F9E9980">
                  <w:pPr>
                    <w:pStyle w:val="12"/>
                    <w:ind w:firstLine="0" w:firstLineChars="0"/>
                    <w:rPr>
                      <w:rFonts w:hint="default" w:ascii="Times New Roman" w:hAnsi="Times New Roman" w:cs="Times New Roman"/>
                      <w:sz w:val="21"/>
                      <w:szCs w:val="21"/>
                    </w:rPr>
                  </w:pPr>
                  <w:r>
                    <w:rPr>
                      <w:rFonts w:hint="eastAsia" w:cs="Times New Roman"/>
                      <w:sz w:val="21"/>
                      <w:szCs w:val="21"/>
                      <w:lang w:val="en-US" w:eastAsia="zh-CN"/>
                    </w:rPr>
                    <w:t>整体厂房</w:t>
                  </w:r>
                  <w:r>
                    <w:rPr>
                      <w:rFonts w:hint="default" w:ascii="Times New Roman" w:hAnsi="Times New Roman" w:cs="Times New Roman"/>
                      <w:sz w:val="21"/>
                      <w:szCs w:val="21"/>
                    </w:rPr>
                    <w:t>北侧</w:t>
                  </w:r>
                </w:p>
              </w:tc>
              <w:tc>
                <w:tcPr>
                  <w:tcW w:w="470" w:type="pct"/>
                  <w:shd w:val="clear" w:color="auto" w:fill="FFFFFF"/>
                  <w:vAlign w:val="center"/>
                </w:tcPr>
                <w:p w14:paraId="2C0A5F45">
                  <w:pPr>
                    <w:pStyle w:val="12"/>
                    <w:rPr>
                      <w:rFonts w:hint="default" w:ascii="Times New Roman" w:hAnsi="Times New Roman" w:eastAsia="宋体" w:cs="Times New Roman"/>
                      <w:sz w:val="21"/>
                      <w:szCs w:val="21"/>
                      <w:lang w:val="en-US" w:eastAsia="zh-CN"/>
                    </w:rPr>
                  </w:pPr>
                  <w:r>
                    <w:rPr>
                      <w:rFonts w:hint="default" w:ascii="Times New Roman" w:hAnsi="Times New Roman" w:cs="Times New Roman"/>
                      <w:sz w:val="21"/>
                      <w:szCs w:val="21"/>
                      <w:lang w:val="en-US" w:eastAsia="zh-CN"/>
                    </w:rPr>
                    <w:t>-4.9</w:t>
                  </w:r>
                </w:p>
              </w:tc>
              <w:tc>
                <w:tcPr>
                  <w:tcW w:w="470" w:type="pct"/>
                  <w:shd w:val="clear" w:color="auto" w:fill="FFFFFF"/>
                  <w:vAlign w:val="center"/>
                </w:tcPr>
                <w:p w14:paraId="24F5A06D">
                  <w:pPr>
                    <w:pStyle w:val="12"/>
                    <w:rPr>
                      <w:rFonts w:hint="default" w:ascii="Times New Roman" w:hAnsi="Times New Roman" w:eastAsia="宋体" w:cs="Times New Roman"/>
                      <w:sz w:val="21"/>
                      <w:szCs w:val="21"/>
                      <w:lang w:val="en-US" w:eastAsia="zh-CN"/>
                    </w:rPr>
                  </w:pPr>
                  <w:r>
                    <w:rPr>
                      <w:rFonts w:hint="default" w:ascii="Times New Roman" w:hAnsi="Times New Roman" w:cs="Times New Roman"/>
                      <w:sz w:val="21"/>
                      <w:szCs w:val="21"/>
                      <w:lang w:val="en-US" w:eastAsia="zh-CN"/>
                    </w:rPr>
                    <w:t>53.8</w:t>
                  </w:r>
                </w:p>
              </w:tc>
              <w:tc>
                <w:tcPr>
                  <w:tcW w:w="527" w:type="pct"/>
                  <w:shd w:val="clear" w:color="auto" w:fill="FFFFFF"/>
                  <w:vAlign w:val="center"/>
                </w:tcPr>
                <w:p w14:paraId="7E183E93">
                  <w:pPr>
                    <w:pStyle w:val="12"/>
                    <w:rPr>
                      <w:rFonts w:hint="default" w:ascii="Times New Roman" w:hAnsi="Times New Roman" w:eastAsia="宋体" w:cs="Times New Roman"/>
                      <w:sz w:val="21"/>
                      <w:szCs w:val="21"/>
                      <w:lang w:val="en-US" w:eastAsia="zh-CN"/>
                    </w:rPr>
                  </w:pPr>
                  <w:r>
                    <w:rPr>
                      <w:rFonts w:hint="default" w:ascii="Times New Roman" w:hAnsi="Times New Roman" w:cs="Times New Roman"/>
                      <w:sz w:val="21"/>
                      <w:szCs w:val="21"/>
                      <w:lang w:val="en-US" w:eastAsia="zh-CN"/>
                    </w:rPr>
                    <w:t>1.2</w:t>
                  </w:r>
                </w:p>
              </w:tc>
              <w:tc>
                <w:tcPr>
                  <w:tcW w:w="526" w:type="pct"/>
                  <w:shd w:val="clear" w:color="auto" w:fill="FFFFFF"/>
                  <w:vAlign w:val="center"/>
                </w:tcPr>
                <w:p w14:paraId="03258A76">
                  <w:pPr>
                    <w:pStyle w:val="12"/>
                    <w:rPr>
                      <w:rFonts w:hint="default" w:ascii="Times New Roman" w:hAnsi="Times New Roman" w:cs="Times New Roman"/>
                      <w:sz w:val="21"/>
                      <w:szCs w:val="21"/>
                    </w:rPr>
                  </w:pPr>
                  <w:r>
                    <w:rPr>
                      <w:rFonts w:hint="default" w:ascii="Times New Roman" w:hAnsi="Times New Roman" w:cs="Times New Roman"/>
                      <w:sz w:val="21"/>
                      <w:szCs w:val="21"/>
                    </w:rPr>
                    <w:t>昼间</w:t>
                  </w:r>
                </w:p>
              </w:tc>
              <w:tc>
                <w:tcPr>
                  <w:tcW w:w="831" w:type="pct"/>
                  <w:shd w:val="clear" w:color="auto" w:fill="FFFFFF"/>
                  <w:vAlign w:val="center"/>
                </w:tcPr>
                <w:p w14:paraId="523D8A7C">
                  <w:pPr>
                    <w:ind w:firstLine="420" w:firstLineChars="200"/>
                    <w:rPr>
                      <w:rFonts w:hint="default" w:ascii="Times New Roman" w:hAnsi="Times New Roman" w:cs="Times New Roman"/>
                      <w:sz w:val="21"/>
                      <w:szCs w:val="21"/>
                    </w:rPr>
                  </w:pPr>
                  <w:r>
                    <w:rPr>
                      <w:rFonts w:hint="default" w:ascii="Times New Roman" w:hAnsi="Times New Roman" w:eastAsia="Arial" w:cs="Times New Roman"/>
                      <w:sz w:val="21"/>
                      <w:szCs w:val="21"/>
                    </w:rPr>
                    <w:t>52.8</w:t>
                  </w:r>
                </w:p>
              </w:tc>
              <w:tc>
                <w:tcPr>
                  <w:tcW w:w="831" w:type="pct"/>
                  <w:shd w:val="clear" w:color="auto" w:fill="FFFFFF"/>
                  <w:vAlign w:val="center"/>
                </w:tcPr>
                <w:p w14:paraId="1DF6AB0A">
                  <w:pPr>
                    <w:ind w:firstLine="420" w:firstLineChars="200"/>
                    <w:rPr>
                      <w:rFonts w:hint="default" w:ascii="Times New Roman" w:hAnsi="Times New Roman" w:eastAsia="宋体" w:cs="Times New Roman"/>
                      <w:sz w:val="21"/>
                      <w:szCs w:val="21"/>
                      <w:lang w:val="en-US" w:eastAsia="zh-CN"/>
                    </w:rPr>
                  </w:pPr>
                  <w:r>
                    <w:rPr>
                      <w:rFonts w:hint="default" w:ascii="Times New Roman" w:hAnsi="Times New Roman" w:eastAsia="Arial" w:cs="Times New Roman"/>
                      <w:sz w:val="21"/>
                      <w:szCs w:val="21"/>
                    </w:rPr>
                    <w:t>6</w:t>
                  </w:r>
                  <w:r>
                    <w:rPr>
                      <w:rFonts w:hint="default" w:ascii="Times New Roman" w:hAnsi="Times New Roman" w:eastAsia="宋体" w:cs="Times New Roman"/>
                      <w:sz w:val="21"/>
                      <w:szCs w:val="21"/>
                      <w:lang w:val="en-US" w:eastAsia="zh-CN"/>
                    </w:rPr>
                    <w:t>5</w:t>
                  </w:r>
                </w:p>
              </w:tc>
              <w:tc>
                <w:tcPr>
                  <w:tcW w:w="696" w:type="pct"/>
                  <w:shd w:val="clear" w:color="auto" w:fill="FFFFFF"/>
                  <w:vAlign w:val="center"/>
                </w:tcPr>
                <w:p w14:paraId="1B0C7002">
                  <w:pPr>
                    <w:pStyle w:val="12"/>
                    <w:rPr>
                      <w:rFonts w:hint="default" w:ascii="Times New Roman" w:hAnsi="Times New Roman" w:cs="Times New Roman"/>
                      <w:sz w:val="21"/>
                      <w:szCs w:val="21"/>
                    </w:rPr>
                  </w:pPr>
                  <w:r>
                    <w:rPr>
                      <w:rFonts w:hint="default" w:ascii="Times New Roman" w:hAnsi="Times New Roman" w:cs="Times New Roman"/>
                      <w:sz w:val="21"/>
                      <w:szCs w:val="21"/>
                    </w:rPr>
                    <w:t>达标</w:t>
                  </w:r>
                </w:p>
              </w:tc>
            </w:tr>
            <w:tr w14:paraId="54BB9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408" w:hRule="exact"/>
                <w:jc w:val="center"/>
              </w:trPr>
              <w:tc>
                <w:tcPr>
                  <w:tcW w:w="646" w:type="pct"/>
                  <w:vMerge w:val="continue"/>
                  <w:shd w:val="clear" w:color="auto" w:fill="FFFFFF"/>
                  <w:vAlign w:val="center"/>
                </w:tcPr>
                <w:p w14:paraId="7BE91DD1">
                  <w:pPr>
                    <w:pStyle w:val="12"/>
                    <w:ind w:firstLine="0" w:firstLineChars="0"/>
                    <w:rPr>
                      <w:rFonts w:hint="default" w:ascii="Times New Roman" w:hAnsi="Times New Roman" w:cs="Times New Roman"/>
                      <w:sz w:val="21"/>
                      <w:szCs w:val="21"/>
                    </w:rPr>
                  </w:pPr>
                </w:p>
              </w:tc>
              <w:tc>
                <w:tcPr>
                  <w:tcW w:w="470" w:type="pct"/>
                  <w:shd w:val="clear" w:color="auto" w:fill="FFFFFF"/>
                  <w:vAlign w:val="center"/>
                </w:tcPr>
                <w:p w14:paraId="5E888092">
                  <w:pPr>
                    <w:pStyle w:val="12"/>
                    <w:ind w:firstLine="0" w:firstLineChars="0"/>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-4.9</w:t>
                  </w:r>
                </w:p>
              </w:tc>
              <w:tc>
                <w:tcPr>
                  <w:tcW w:w="470" w:type="pct"/>
                  <w:shd w:val="clear" w:color="auto" w:fill="FFFFFF"/>
                  <w:vAlign w:val="center"/>
                </w:tcPr>
                <w:p w14:paraId="0C4A2FFD">
                  <w:pPr>
                    <w:pStyle w:val="12"/>
                    <w:ind w:firstLine="0" w:firstLineChars="0"/>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53.8</w:t>
                  </w:r>
                </w:p>
              </w:tc>
              <w:tc>
                <w:tcPr>
                  <w:tcW w:w="527" w:type="pct"/>
                  <w:shd w:val="clear" w:color="auto" w:fill="FFFFFF"/>
                  <w:vAlign w:val="center"/>
                </w:tcPr>
                <w:p w14:paraId="0D8A5826">
                  <w:pPr>
                    <w:pStyle w:val="12"/>
                    <w:ind w:firstLine="0" w:firstLineChars="0"/>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1.2</w:t>
                  </w:r>
                </w:p>
              </w:tc>
              <w:tc>
                <w:tcPr>
                  <w:tcW w:w="526" w:type="pct"/>
                  <w:shd w:val="clear" w:color="auto" w:fill="FFFFFF"/>
                  <w:vAlign w:val="center"/>
                </w:tcPr>
                <w:p w14:paraId="3BE7241C">
                  <w:pPr>
                    <w:pStyle w:val="12"/>
                    <w:rPr>
                      <w:rFonts w:hint="default" w:ascii="Times New Roman" w:hAnsi="Times New Roman" w:cs="Times New Roman"/>
                      <w:sz w:val="21"/>
                      <w:szCs w:val="21"/>
                    </w:rPr>
                  </w:pPr>
                  <w:r>
                    <w:rPr>
                      <w:rFonts w:hint="default" w:ascii="Times New Roman" w:hAnsi="Times New Roman" w:cs="Times New Roman"/>
                      <w:sz w:val="21"/>
                      <w:szCs w:val="21"/>
                      <w:lang w:val="en-US" w:eastAsia="zh-CN"/>
                    </w:rPr>
                    <w:t>夜间</w:t>
                  </w:r>
                </w:p>
              </w:tc>
              <w:tc>
                <w:tcPr>
                  <w:tcW w:w="831" w:type="pct"/>
                  <w:shd w:val="clear" w:color="auto" w:fill="FFFFFF"/>
                  <w:vAlign w:val="center"/>
                </w:tcPr>
                <w:p w14:paraId="533279C1">
                  <w:pPr>
                    <w:ind w:firstLine="420" w:firstLineChars="200"/>
                    <w:rPr>
                      <w:rFonts w:hint="default" w:ascii="Times New Roman" w:hAnsi="Times New Roman" w:cs="Times New Roman"/>
                      <w:sz w:val="21"/>
                      <w:szCs w:val="21"/>
                    </w:rPr>
                  </w:pPr>
                  <w:r>
                    <w:rPr>
                      <w:rFonts w:hint="default" w:ascii="Times New Roman" w:hAnsi="Times New Roman" w:eastAsia="Arial" w:cs="Times New Roman"/>
                      <w:sz w:val="21"/>
                      <w:szCs w:val="21"/>
                    </w:rPr>
                    <w:t>52.8</w:t>
                  </w:r>
                </w:p>
              </w:tc>
              <w:tc>
                <w:tcPr>
                  <w:tcW w:w="831" w:type="pct"/>
                  <w:shd w:val="clear" w:color="auto" w:fill="FFFFFF"/>
                  <w:vAlign w:val="center"/>
                </w:tcPr>
                <w:p w14:paraId="60CFFEF2">
                  <w:pPr>
                    <w:ind w:firstLine="420" w:firstLineChars="200"/>
                    <w:rPr>
                      <w:rFonts w:hint="default" w:ascii="Times New Roman" w:hAnsi="Times New Roman" w:eastAsia="宋体" w:cs="Times New Roman"/>
                      <w:sz w:val="21"/>
                      <w:szCs w:val="21"/>
                      <w:lang w:val="en-US" w:eastAsia="zh-CN"/>
                    </w:rPr>
                  </w:pPr>
                  <w:r>
                    <w:rPr>
                      <w:rFonts w:hint="default" w:ascii="Times New Roman" w:hAnsi="Times New Roman" w:eastAsia="Arial" w:cs="Times New Roman"/>
                      <w:sz w:val="21"/>
                      <w:szCs w:val="21"/>
                    </w:rPr>
                    <w:t>5</w:t>
                  </w:r>
                  <w:r>
                    <w:rPr>
                      <w:rFonts w:hint="default" w:ascii="Times New Roman" w:hAnsi="Times New Roman" w:eastAsia="宋体" w:cs="Times New Roman"/>
                      <w:sz w:val="21"/>
                      <w:szCs w:val="21"/>
                      <w:lang w:val="en-US" w:eastAsia="zh-CN"/>
                    </w:rPr>
                    <w:t>5</w:t>
                  </w:r>
                </w:p>
              </w:tc>
              <w:tc>
                <w:tcPr>
                  <w:tcW w:w="696" w:type="pct"/>
                  <w:shd w:val="clear" w:color="auto" w:fill="FFFFFF"/>
                  <w:vAlign w:val="center"/>
                </w:tcPr>
                <w:p w14:paraId="6FB19555">
                  <w:pPr>
                    <w:pStyle w:val="12"/>
                    <w:rPr>
                      <w:rFonts w:hint="default" w:ascii="Times New Roman" w:hAnsi="Times New Roman" w:cs="Times New Roman"/>
                      <w:sz w:val="21"/>
                      <w:szCs w:val="21"/>
                    </w:rPr>
                  </w:pPr>
                  <w:r>
                    <w:rPr>
                      <w:rFonts w:hint="default" w:ascii="Times New Roman" w:hAnsi="Times New Roman" w:cs="Times New Roman"/>
                      <w:sz w:val="21"/>
                      <w:szCs w:val="21"/>
                    </w:rPr>
                    <w:t>达标</w:t>
                  </w:r>
                </w:p>
              </w:tc>
            </w:tr>
          </w:tbl>
          <w:p w14:paraId="5810D58C">
            <w:pPr>
              <w:ind w:firstLine="480"/>
              <w:rPr>
                <w:rFonts w:hint="default" w:ascii="Times New Roman" w:hAnsi="Times New Roman" w:cs="Times New Roman"/>
              </w:rPr>
            </w:pPr>
            <w:r>
              <w:rPr>
                <w:rFonts w:hint="default" w:ascii="Times New Roman" w:hAnsi="Times New Roman" w:cs="Times New Roman"/>
              </w:rPr>
              <w:t>由上表可知，项目在营运过程中通过采取对设备基础减震、隔声消声等措施后，厂界噪声预测值满足《工业企业厂界环境噪声排放标准》（GB12348-2008）中的3类标准限值要求（即昼间≤65dB(A)</w:t>
            </w:r>
            <w:r>
              <w:rPr>
                <w:rFonts w:hint="default" w:ascii="Times New Roman" w:hAnsi="Times New Roman" w:cs="Times New Roman"/>
                <w:lang w:eastAsia="zh-CN"/>
              </w:rPr>
              <w:t>，</w:t>
            </w:r>
            <w:r>
              <w:rPr>
                <w:rFonts w:hint="default" w:ascii="Times New Roman" w:hAnsi="Times New Roman" w:cs="Times New Roman"/>
                <w:lang w:val="en-US" w:eastAsia="zh-CN"/>
              </w:rPr>
              <w:t>夜间≤55</w:t>
            </w:r>
            <w:r>
              <w:rPr>
                <w:rFonts w:hint="default" w:ascii="Times New Roman" w:hAnsi="Times New Roman" w:cs="Times New Roman"/>
              </w:rPr>
              <w:t>dB(A)），实现达标排放。</w:t>
            </w:r>
          </w:p>
          <w:p w14:paraId="543DEB6F">
            <w:pPr>
              <w:ind w:firstLine="482"/>
              <w:rPr>
                <w:rFonts w:cs="Times New Roman"/>
                <w:b/>
              </w:rPr>
            </w:pPr>
            <w:r>
              <w:rPr>
                <w:rFonts w:cs="Times New Roman"/>
                <w:b/>
              </w:rPr>
              <w:t>（5）监测要求</w:t>
            </w:r>
          </w:p>
          <w:p w14:paraId="121BCD4B">
            <w:pPr>
              <w:ind w:firstLine="480"/>
              <w:rPr>
                <w:rFonts w:cs="Times New Roman"/>
              </w:rPr>
            </w:pPr>
            <w:r>
              <w:rPr>
                <w:rFonts w:cs="Times New Roman"/>
              </w:rPr>
              <w:t>根据《排污单位自行监测技术指南 总则》（HJ 819-2017），项目噪声监测要求见下表。</w:t>
            </w:r>
          </w:p>
          <w:p w14:paraId="4F9F5E55">
            <w:pPr>
              <w:pStyle w:val="11"/>
              <w:rPr>
                <w:rFonts w:cs="Times New Roman"/>
              </w:rPr>
            </w:pPr>
            <w:r>
              <w:rPr>
                <w:rFonts w:cs="Times New Roman"/>
              </w:rPr>
              <w:t>表</w:t>
            </w:r>
            <w:r>
              <w:rPr>
                <w:rFonts w:cs="Times New Roman"/>
              </w:rPr>
              <w:fldChar w:fldCharType="begin"/>
            </w:r>
            <w:r>
              <w:rPr>
                <w:rFonts w:cs="Times New Roman"/>
              </w:rPr>
              <w:instrText xml:space="preserve"> SEQ seq \c </w:instrText>
            </w:r>
            <w:r>
              <w:rPr>
                <w:rFonts w:cs="Times New Roman"/>
              </w:rPr>
              <w:fldChar w:fldCharType="separate"/>
            </w:r>
            <w:r>
              <w:rPr>
                <w:rFonts w:cs="Times New Roman"/>
              </w:rPr>
              <w:t>4</w:t>
            </w:r>
            <w:r>
              <w:rPr>
                <w:rFonts w:cs="Times New Roman"/>
              </w:rPr>
              <w:fldChar w:fldCharType="end"/>
            </w:r>
            <w:r>
              <w:rPr>
                <w:rFonts w:cs="Times New Roman"/>
              </w:rPr>
              <w:noBreakHyphen/>
            </w:r>
            <w:r>
              <w:rPr>
                <w:rFonts w:cs="Times New Roman"/>
              </w:rPr>
              <w:fldChar w:fldCharType="begin"/>
            </w:r>
            <w:r>
              <w:rPr>
                <w:rFonts w:cs="Times New Roman"/>
              </w:rPr>
              <w:instrText xml:space="preserve"> SEQ 表 \* ARABIC \s 1 </w:instrText>
            </w:r>
            <w:r>
              <w:rPr>
                <w:rFonts w:cs="Times New Roman"/>
              </w:rPr>
              <w:fldChar w:fldCharType="separate"/>
            </w:r>
            <w:r>
              <w:rPr>
                <w:rFonts w:cs="Times New Roman"/>
              </w:rPr>
              <w:t>6</w:t>
            </w:r>
            <w:r>
              <w:rPr>
                <w:rFonts w:cs="Times New Roman"/>
              </w:rPr>
              <w:fldChar w:fldCharType="end"/>
            </w:r>
            <w:r>
              <w:rPr>
                <w:rFonts w:cs="Times New Roman"/>
              </w:rPr>
              <w:t xml:space="preserve"> 各预测点噪声贡献值 单位：dB（A）</w:t>
            </w:r>
          </w:p>
          <w:tbl>
            <w:tblPr>
              <w:tblStyle w:val="2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36"/>
              <w:gridCol w:w="3035"/>
              <w:gridCol w:w="3035"/>
            </w:tblGrid>
            <w:tr w14:paraId="41232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554" w:type="pct"/>
                  <w:shd w:val="clear" w:color="auto" w:fill="auto"/>
                  <w:vAlign w:val="center"/>
                </w:tcPr>
                <w:p w14:paraId="2FF2C38A">
                  <w:pPr>
                    <w:pStyle w:val="45"/>
                    <w:rPr>
                      <w:rFonts w:cs="Times New Roman"/>
                    </w:rPr>
                  </w:pPr>
                  <w:r>
                    <w:rPr>
                      <w:rFonts w:cs="Times New Roman"/>
                    </w:rPr>
                    <w:t>监测点位</w:t>
                  </w:r>
                </w:p>
              </w:tc>
              <w:tc>
                <w:tcPr>
                  <w:tcW w:w="1723" w:type="pct"/>
                  <w:shd w:val="clear" w:color="auto" w:fill="auto"/>
                  <w:vAlign w:val="center"/>
                </w:tcPr>
                <w:p w14:paraId="0F4444C0">
                  <w:pPr>
                    <w:pStyle w:val="45"/>
                    <w:rPr>
                      <w:rFonts w:cs="Times New Roman"/>
                    </w:rPr>
                  </w:pPr>
                  <w:r>
                    <w:rPr>
                      <w:rFonts w:cs="Times New Roman"/>
                    </w:rPr>
                    <w:t>监测因子</w:t>
                  </w:r>
                </w:p>
              </w:tc>
              <w:tc>
                <w:tcPr>
                  <w:tcW w:w="1723" w:type="pct"/>
                  <w:shd w:val="clear" w:color="auto" w:fill="auto"/>
                  <w:vAlign w:val="center"/>
                </w:tcPr>
                <w:p w14:paraId="490E3565">
                  <w:pPr>
                    <w:pStyle w:val="45"/>
                    <w:rPr>
                      <w:rFonts w:cs="Times New Roman"/>
                    </w:rPr>
                  </w:pPr>
                  <w:r>
                    <w:rPr>
                      <w:rFonts w:cs="Times New Roman"/>
                    </w:rPr>
                    <w:t>监测频次</w:t>
                  </w:r>
                </w:p>
              </w:tc>
            </w:tr>
            <w:tr w14:paraId="33ABC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554" w:type="pct"/>
                  <w:shd w:val="clear" w:color="auto" w:fill="auto"/>
                  <w:vAlign w:val="center"/>
                </w:tcPr>
                <w:p w14:paraId="7D9AF77E">
                  <w:pPr>
                    <w:pStyle w:val="12"/>
                    <w:rPr>
                      <w:rFonts w:cs="Times New Roman"/>
                    </w:rPr>
                  </w:pPr>
                  <w:r>
                    <w:rPr>
                      <w:rFonts w:cs="Times New Roman"/>
                    </w:rPr>
                    <w:t>项目区域四周外1m处</w:t>
                  </w:r>
                </w:p>
              </w:tc>
              <w:tc>
                <w:tcPr>
                  <w:tcW w:w="1723" w:type="pct"/>
                  <w:shd w:val="clear" w:color="auto" w:fill="auto"/>
                  <w:vAlign w:val="center"/>
                </w:tcPr>
                <w:p w14:paraId="3D1593D6">
                  <w:pPr>
                    <w:pStyle w:val="12"/>
                    <w:rPr>
                      <w:rFonts w:cs="Times New Roman"/>
                    </w:rPr>
                  </w:pPr>
                  <w:r>
                    <w:rPr>
                      <w:rFonts w:cs="Times New Roman"/>
                    </w:rPr>
                    <w:t>Leq（dB（A））（昼间、夜间）</w:t>
                  </w:r>
                </w:p>
              </w:tc>
              <w:tc>
                <w:tcPr>
                  <w:tcW w:w="1723" w:type="pct"/>
                  <w:shd w:val="clear" w:color="auto" w:fill="auto"/>
                  <w:vAlign w:val="center"/>
                </w:tcPr>
                <w:p w14:paraId="7FD54457">
                  <w:pPr>
                    <w:pStyle w:val="12"/>
                    <w:rPr>
                      <w:rFonts w:cs="Times New Roman"/>
                    </w:rPr>
                  </w:pPr>
                  <w:r>
                    <w:rPr>
                      <w:rFonts w:cs="Times New Roman"/>
                    </w:rPr>
                    <w:t>1次/季度</w:t>
                  </w:r>
                </w:p>
              </w:tc>
            </w:tr>
          </w:tbl>
          <w:p w14:paraId="047B244D">
            <w:pPr>
              <w:pStyle w:val="3"/>
              <w:spacing w:before="163"/>
            </w:pPr>
            <w:r>
              <w:t>4、运营期固体废物环境影响分析和保护措施</w:t>
            </w:r>
          </w:p>
          <w:p w14:paraId="62C620D9">
            <w:pPr>
              <w:ind w:firstLine="480"/>
              <w:rPr>
                <w:rFonts w:cs="Times New Roman"/>
              </w:rPr>
            </w:pPr>
            <w:r>
              <w:rPr>
                <w:rFonts w:cs="Times New Roman"/>
              </w:rPr>
              <w:t>本项目产生的固体废物为生活垃圾、一般固废、危险废物。</w:t>
            </w:r>
          </w:p>
          <w:p w14:paraId="65E71F30">
            <w:pPr>
              <w:ind w:firstLine="482"/>
              <w:rPr>
                <w:rFonts w:cs="Times New Roman"/>
                <w:b/>
                <w:bCs/>
              </w:rPr>
            </w:pPr>
            <w:r>
              <w:rPr>
                <w:rFonts w:cs="Times New Roman"/>
                <w:b/>
                <w:bCs/>
              </w:rPr>
              <w:t>（1）生活垃圾</w:t>
            </w:r>
          </w:p>
          <w:p w14:paraId="6EA46607">
            <w:pPr>
              <w:ind w:firstLine="480"/>
              <w:rPr>
                <w:rFonts w:cs="Times New Roman"/>
              </w:rPr>
            </w:pPr>
            <w:r>
              <w:rPr>
                <w:rFonts w:cs="Times New Roman"/>
              </w:rPr>
              <w:t>办公生活垃圾主要为废纸、垃圾袋、清扫垃圾等。厂内工作人员共</w:t>
            </w:r>
            <w:r>
              <w:rPr>
                <w:rFonts w:hint="eastAsia" w:cs="Times New Roman"/>
                <w:lang w:val="en-US" w:eastAsia="zh-CN"/>
              </w:rPr>
              <w:t>20</w:t>
            </w:r>
            <w:r>
              <w:rPr>
                <w:rFonts w:cs="Times New Roman"/>
              </w:rPr>
              <w:t>人，产生垃圾按0.5kg/d·人计，则垃圾产生量为</w:t>
            </w:r>
            <w:r>
              <w:rPr>
                <w:rFonts w:hint="eastAsia" w:cs="Times New Roman"/>
                <w:lang w:val="en-US" w:eastAsia="zh-CN"/>
              </w:rPr>
              <w:t>1</w:t>
            </w:r>
            <w:r>
              <w:rPr>
                <w:rFonts w:cs="Times New Roman"/>
              </w:rPr>
              <w:t>0kg/d，</w:t>
            </w:r>
            <w:r>
              <w:rPr>
                <w:rFonts w:hint="eastAsia" w:cs="Times New Roman"/>
                <w:lang w:val="en-US" w:eastAsia="zh-CN"/>
              </w:rPr>
              <w:t>3.3</w:t>
            </w:r>
            <w:r>
              <w:rPr>
                <w:rFonts w:cs="Times New Roman"/>
              </w:rPr>
              <w:t>t/a；经收集后由环卫部门清运处置。</w:t>
            </w:r>
          </w:p>
          <w:p w14:paraId="6D4FBBCA">
            <w:pPr>
              <w:ind w:firstLine="482"/>
              <w:rPr>
                <w:rFonts w:cs="Times New Roman"/>
                <w:b/>
              </w:rPr>
            </w:pPr>
            <w:r>
              <w:rPr>
                <w:rFonts w:cs="Times New Roman"/>
                <w:b/>
              </w:rPr>
              <w:t>（2）一般固废</w:t>
            </w:r>
          </w:p>
          <w:p w14:paraId="4ECB4827">
            <w:pPr>
              <w:ind w:firstLine="480"/>
              <w:rPr>
                <w:rFonts w:hint="default" w:ascii="Times New Roman" w:hAnsi="Times New Roman" w:eastAsia="宋体" w:cs="Times New Roman"/>
                <w:lang w:eastAsia="zh-CN"/>
              </w:rPr>
            </w:pPr>
            <w:bookmarkStart w:id="73" w:name="OLE_LINK174"/>
            <w:bookmarkStart w:id="74" w:name="OLE_LINK175"/>
            <w:r>
              <w:rPr>
                <w:rFonts w:hint="default" w:ascii="Times New Roman" w:hAnsi="Times New Roman" w:cs="Times New Roman"/>
              </w:rPr>
              <w:t>①</w:t>
            </w:r>
            <w:r>
              <w:rPr>
                <w:rFonts w:hint="default" w:ascii="Times New Roman" w:hAnsi="Times New Roman" w:cs="Times New Roman"/>
                <w:lang w:val="en-US" w:eastAsia="zh-CN"/>
              </w:rPr>
              <w:t>S1废包装</w:t>
            </w:r>
          </w:p>
          <w:p w14:paraId="2BB6EC40">
            <w:pPr>
              <w:spacing w:before="15"/>
              <w:ind w:firstLine="504"/>
              <w:rPr>
                <w:rFonts w:hint="eastAsia" w:cs="Times New Roman"/>
                <w:spacing w:val="6"/>
                <w:lang w:val="en-US" w:eastAsia="zh-CN"/>
              </w:rPr>
            </w:pPr>
            <w:r>
              <w:rPr>
                <w:rFonts w:hint="eastAsia" w:cs="Times New Roman"/>
                <w:spacing w:val="6"/>
                <w:lang w:val="en-US" w:eastAsia="zh-CN"/>
              </w:rPr>
              <w:t>本项目废包装主要来自氧化钙、硫酸亚铁、氢氧化钠、粉末活性炭使用产生的废包装袋，固化剂、生物除臭剂使用产生的废包装桶。</w:t>
            </w:r>
          </w:p>
          <w:p w14:paraId="6768DCCD">
            <w:pPr>
              <w:spacing w:before="15"/>
              <w:ind w:firstLine="504"/>
              <w:rPr>
                <w:rFonts w:hint="eastAsia" w:cs="Times New Roman"/>
                <w:spacing w:val="6"/>
                <w:lang w:val="en-US" w:eastAsia="zh-CN"/>
              </w:rPr>
            </w:pPr>
            <w:r>
              <w:rPr>
                <w:rFonts w:hint="eastAsia" w:cs="Times New Roman"/>
                <w:spacing w:val="6"/>
                <w:lang w:val="en-US" w:eastAsia="zh-CN"/>
              </w:rPr>
              <w:t>氧化钙、硫酸亚铁等包装袋规格为25kg/袋，单个包装袋重量约0.1kg，相关药剂总用量约1260t/a，则废包装袋产生量约1260*10000/25=50400个，约5.04t/a。</w:t>
            </w:r>
          </w:p>
          <w:p w14:paraId="058A4E42">
            <w:pPr>
              <w:spacing w:before="15"/>
              <w:ind w:firstLine="504"/>
              <w:rPr>
                <w:rFonts w:hint="default" w:cs="Times New Roman"/>
                <w:spacing w:val="6"/>
                <w:lang w:val="en-US" w:eastAsia="zh-CN"/>
              </w:rPr>
            </w:pPr>
            <w:r>
              <w:rPr>
                <w:rFonts w:hint="eastAsia" w:cs="Times New Roman"/>
                <w:spacing w:val="6"/>
                <w:lang w:val="en-US" w:eastAsia="zh-CN"/>
              </w:rPr>
              <w:t>固化剂采用25kg桶装，单个桶重约1.5kg；生物除臭剂采用50L桶装，单个桶重约2.5kg。固化剂用量约50t/a，则固化剂废桶产生量约50*1000/25=2000个，3t/a；生物除臭剂用量约50t/a，则生物除臭剂废桶产生量约50*1000/50=1000个，2.5t/a</w:t>
            </w:r>
            <w:r>
              <w:rPr>
                <w:rFonts w:cs="Times New Roman"/>
              </w:rPr>
              <w:t>。</w:t>
            </w:r>
          </w:p>
          <w:p w14:paraId="1D24B22F">
            <w:pPr>
              <w:spacing w:before="15"/>
              <w:ind w:firstLine="504"/>
              <w:rPr>
                <w:rFonts w:cs="Times New Roman"/>
                <w:spacing w:val="6"/>
              </w:rPr>
            </w:pPr>
            <w:r>
              <w:rPr>
                <w:rFonts w:hint="eastAsia" w:cs="Times New Roman"/>
                <w:spacing w:val="6"/>
                <w:lang w:val="en-US" w:eastAsia="zh-CN"/>
              </w:rPr>
              <w:t>则计算废包装产生量总计约10.54t/a。废包装</w:t>
            </w:r>
            <w:r>
              <w:rPr>
                <w:rFonts w:cs="Times New Roman"/>
              </w:rPr>
              <w:t>收集后于</w:t>
            </w:r>
            <w:r>
              <w:rPr>
                <w:rFonts w:cs="Times New Roman"/>
                <w:spacing w:val="-3"/>
              </w:rPr>
              <w:t>一般固废暂存间暂存，定期</w:t>
            </w:r>
            <w:r>
              <w:rPr>
                <w:rFonts w:cs="Times New Roman"/>
              </w:rPr>
              <w:t>交由</w:t>
            </w:r>
            <w:r>
              <w:rPr>
                <w:rFonts w:hint="eastAsia" w:cs="Times New Roman"/>
                <w:lang w:val="en-US" w:eastAsia="zh-CN"/>
              </w:rPr>
              <w:t>外售废品回收站或交由厂家综合利用</w:t>
            </w:r>
            <w:r>
              <w:rPr>
                <w:rFonts w:cs="Times New Roman"/>
              </w:rPr>
              <w:t>。</w:t>
            </w:r>
          </w:p>
          <w:bookmarkEnd w:id="73"/>
          <w:bookmarkEnd w:id="74"/>
          <w:p w14:paraId="3B5D2F2C">
            <w:pPr>
              <w:spacing w:before="15"/>
              <w:ind w:firstLine="504"/>
              <w:rPr>
                <w:rFonts w:hint="default" w:ascii="Times New Roman" w:hAnsi="Times New Roman" w:eastAsia="宋体" w:cs="Times New Roman"/>
                <w:spacing w:val="6"/>
                <w:lang w:val="en-US" w:eastAsia="zh-CN"/>
              </w:rPr>
            </w:pPr>
            <w:r>
              <w:rPr>
                <w:rFonts w:hint="default" w:ascii="Times New Roman" w:hAnsi="Times New Roman" w:cs="Times New Roman"/>
                <w:spacing w:val="6"/>
              </w:rPr>
              <w:t>②</w:t>
            </w:r>
            <w:r>
              <w:rPr>
                <w:rFonts w:hint="default" w:ascii="Times New Roman" w:hAnsi="Times New Roman" w:cs="Times New Roman"/>
                <w:spacing w:val="6"/>
                <w:lang w:val="en-US" w:eastAsia="zh-CN"/>
              </w:rPr>
              <w:t>S2不合格品</w:t>
            </w:r>
          </w:p>
          <w:p w14:paraId="06C5486D">
            <w:pPr>
              <w:keepNext w:val="0"/>
              <w:keepLines w:val="0"/>
              <w:widowControl/>
              <w:suppressLineNumbers w:val="0"/>
              <w:jc w:val="left"/>
              <w:rPr>
                <w:rFonts w:hint="default" w:ascii="Times New Roman" w:hAnsi="Times New Roman"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在</w:t>
            </w:r>
            <w:r>
              <w:rPr>
                <w:rFonts w:hint="eastAsia" w:cs="Times New Roman"/>
                <w:color w:val="000000"/>
                <w:kern w:val="0"/>
                <w:sz w:val="24"/>
                <w:szCs w:val="24"/>
                <w:lang w:val="en-US" w:eastAsia="zh-CN" w:bidi="ar"/>
              </w:rPr>
              <w:t>免烧砌块</w:t>
            </w:r>
            <w:r>
              <w:rPr>
                <w:rFonts w:hint="default" w:ascii="Times New Roman" w:hAnsi="Times New Roman" w:cs="Times New Roman"/>
                <w:color w:val="000000"/>
                <w:kern w:val="0"/>
                <w:sz w:val="24"/>
                <w:szCs w:val="24"/>
                <w:lang w:val="en-US" w:eastAsia="zh-CN" w:bidi="ar"/>
              </w:rPr>
              <w:t>生产中（主要是压制成型工序和蒸养工序）</w:t>
            </w:r>
            <w:r>
              <w:rPr>
                <w:rFonts w:hint="default" w:ascii="Times New Roman" w:hAnsi="Times New Roman" w:eastAsia="宋体" w:cs="Times New Roman"/>
                <w:color w:val="000000"/>
                <w:kern w:val="0"/>
                <w:sz w:val="24"/>
                <w:szCs w:val="24"/>
                <w:lang w:val="en-US" w:eastAsia="zh-CN" w:bidi="ar"/>
              </w:rPr>
              <w:t>，可能会出现不完整成品、开裂成品等不合格品</w:t>
            </w:r>
            <w:r>
              <w:rPr>
                <w:rFonts w:hint="default" w:ascii="Times New Roman" w:hAnsi="Times New Roman" w:cs="Times New Roman"/>
                <w:color w:val="000000"/>
                <w:kern w:val="0"/>
                <w:sz w:val="24"/>
                <w:szCs w:val="24"/>
                <w:lang w:val="en-US" w:eastAsia="zh-CN" w:bidi="ar"/>
              </w:rPr>
              <w:t>半成品</w:t>
            </w:r>
            <w:r>
              <w:rPr>
                <w:rFonts w:hint="default" w:ascii="Times New Roman" w:hAnsi="Times New Roman" w:eastAsia="宋体" w:cs="Times New Roman"/>
                <w:color w:val="000000"/>
                <w:kern w:val="0"/>
                <w:sz w:val="24"/>
                <w:szCs w:val="24"/>
                <w:lang w:val="en-US" w:eastAsia="zh-CN" w:bidi="ar"/>
              </w:rPr>
              <w:t>，产生量约为产量的1%，</w:t>
            </w:r>
            <w:r>
              <w:rPr>
                <w:rFonts w:hint="default" w:ascii="Times New Roman" w:hAnsi="Times New Roman" w:cs="Times New Roman"/>
                <w:color w:val="000000"/>
                <w:kern w:val="0"/>
                <w:sz w:val="24"/>
                <w:szCs w:val="24"/>
                <w:lang w:val="en-US" w:eastAsia="zh-CN" w:bidi="ar"/>
              </w:rPr>
              <w:t>产生量约</w:t>
            </w:r>
            <w:r>
              <w:rPr>
                <w:rFonts w:hint="eastAsia" w:cs="Times New Roman"/>
                <w:color w:val="000000"/>
                <w:kern w:val="0"/>
                <w:sz w:val="24"/>
                <w:szCs w:val="24"/>
                <w:lang w:val="en-US" w:eastAsia="zh-CN" w:bidi="ar"/>
              </w:rPr>
              <w:t>220000*1%=</w:t>
            </w:r>
            <w:r>
              <w:rPr>
                <w:rFonts w:hint="default" w:ascii="Times New Roman" w:hAnsi="Times New Roman" w:cs="Times New Roman"/>
                <w:color w:val="000000"/>
                <w:kern w:val="0"/>
                <w:sz w:val="24"/>
                <w:szCs w:val="24"/>
                <w:lang w:val="en-US" w:eastAsia="zh-CN" w:bidi="ar"/>
              </w:rPr>
              <w:t>2</w:t>
            </w:r>
            <w:r>
              <w:rPr>
                <w:rFonts w:hint="eastAsia" w:cs="Times New Roman"/>
                <w:color w:val="000000"/>
                <w:kern w:val="0"/>
                <w:sz w:val="24"/>
                <w:szCs w:val="24"/>
                <w:lang w:val="en-US" w:eastAsia="zh-CN" w:bidi="ar"/>
              </w:rPr>
              <w:t>2</w:t>
            </w:r>
            <w:r>
              <w:rPr>
                <w:rFonts w:hint="default" w:ascii="Times New Roman" w:hAnsi="Times New Roman" w:cs="Times New Roman"/>
                <w:color w:val="000000"/>
                <w:kern w:val="0"/>
                <w:sz w:val="24"/>
                <w:szCs w:val="24"/>
                <w:lang w:val="en-US" w:eastAsia="zh-CN" w:bidi="ar"/>
              </w:rPr>
              <w:t>00</w:t>
            </w:r>
            <w:r>
              <w:rPr>
                <w:rFonts w:hint="default" w:ascii="Times New Roman" w:hAnsi="Times New Roman" w:eastAsia="宋体" w:cs="Times New Roman"/>
                <w:color w:val="000000"/>
                <w:kern w:val="0"/>
                <w:sz w:val="24"/>
                <w:szCs w:val="24"/>
                <w:lang w:val="en-US" w:eastAsia="zh-CN" w:bidi="ar"/>
              </w:rPr>
              <w:t>t</w:t>
            </w:r>
            <w:r>
              <w:rPr>
                <w:rFonts w:hint="default" w:ascii="Times New Roman" w:hAnsi="Times New Roman" w:cs="Times New Roman"/>
                <w:color w:val="000000"/>
                <w:kern w:val="0"/>
                <w:sz w:val="24"/>
                <w:szCs w:val="24"/>
                <w:lang w:val="en-US" w:eastAsia="zh-CN" w:bidi="ar"/>
              </w:rPr>
              <w:t>/a。</w:t>
            </w:r>
          </w:p>
          <w:p w14:paraId="6B38ADE5">
            <w:pPr>
              <w:keepNext w:val="0"/>
              <w:keepLines w:val="0"/>
              <w:widowControl/>
              <w:suppressLineNumbers w:val="0"/>
              <w:jc w:val="left"/>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不合格品全部收集回到</w:t>
            </w:r>
            <w:r>
              <w:rPr>
                <w:rFonts w:hint="default" w:ascii="Times New Roman" w:hAnsi="Times New Roman" w:cs="Times New Roman"/>
                <w:color w:val="000000"/>
                <w:kern w:val="0"/>
                <w:sz w:val="24"/>
                <w:szCs w:val="24"/>
                <w:lang w:val="en-US" w:eastAsia="zh-CN" w:bidi="ar"/>
              </w:rPr>
              <w:t>轮辊工序</w:t>
            </w:r>
            <w:r>
              <w:rPr>
                <w:rFonts w:hint="default" w:ascii="Times New Roman" w:hAnsi="Times New Roman" w:eastAsia="宋体" w:cs="Times New Roman"/>
                <w:color w:val="000000"/>
                <w:kern w:val="0"/>
                <w:sz w:val="24"/>
                <w:szCs w:val="24"/>
                <w:lang w:val="en-US" w:eastAsia="zh-CN" w:bidi="ar"/>
              </w:rPr>
              <w:t>，重新利用。</w:t>
            </w:r>
          </w:p>
          <w:p w14:paraId="156E75F6">
            <w:pPr>
              <w:spacing w:before="15"/>
              <w:ind w:firstLine="504"/>
              <w:rPr>
                <w:rFonts w:hint="default" w:ascii="Times New Roman" w:hAnsi="Times New Roman" w:cs="Times New Roman"/>
                <w:spacing w:val="6"/>
                <w:lang w:val="en-US" w:eastAsia="zh-CN"/>
              </w:rPr>
            </w:pPr>
            <w:r>
              <w:rPr>
                <w:rFonts w:hint="default" w:ascii="Times New Roman" w:hAnsi="Times New Roman" w:cs="Times New Roman"/>
                <w:spacing w:val="6"/>
              </w:rPr>
              <w:t>③</w:t>
            </w:r>
            <w:r>
              <w:rPr>
                <w:rFonts w:hint="default" w:ascii="Times New Roman" w:hAnsi="Times New Roman" w:cs="Times New Roman"/>
                <w:spacing w:val="6"/>
                <w:lang w:val="en-US" w:eastAsia="zh-CN"/>
              </w:rPr>
              <w:t>S3废模具</w:t>
            </w:r>
          </w:p>
          <w:p w14:paraId="2DB205FA">
            <w:pPr>
              <w:keepNext w:val="0"/>
              <w:keepLines w:val="0"/>
              <w:widowControl/>
              <w:suppressLineNumbers w:val="0"/>
              <w:jc w:val="left"/>
              <w:rPr>
                <w:rFonts w:hint="default" w:ascii="Times New Roman" w:hAnsi="Times New Roman"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建设单位外购压制成型工序所需模具，模具随着使用会产生破损，无法使用，本项目共有20套模具，破损占比按20%考虑，则年破损模具4套，单套模具重量约0.2</w:t>
            </w:r>
            <w:r>
              <w:rPr>
                <w:rFonts w:hint="default" w:ascii="Times New Roman" w:hAnsi="Times New Roman" w:cs="Times New Roman"/>
                <w:color w:val="000000"/>
                <w:kern w:val="0"/>
                <w:sz w:val="24"/>
                <w:szCs w:val="24"/>
                <w:lang w:val="en-US" w:eastAsia="zh-CN" w:bidi="ar"/>
              </w:rPr>
              <w:t>5</w:t>
            </w:r>
            <w:r>
              <w:rPr>
                <w:rFonts w:hint="default" w:ascii="Times New Roman" w:hAnsi="Times New Roman" w:eastAsia="宋体" w:cs="Times New Roman"/>
                <w:color w:val="000000"/>
                <w:kern w:val="0"/>
                <w:sz w:val="24"/>
                <w:szCs w:val="24"/>
                <w:lang w:val="en-US" w:eastAsia="zh-CN" w:bidi="ar"/>
              </w:rPr>
              <w:t>t，则废模具产生量约1t</w:t>
            </w:r>
            <w:r>
              <w:rPr>
                <w:rFonts w:hint="default" w:ascii="Times New Roman" w:hAnsi="Times New Roman" w:cs="Times New Roman"/>
                <w:color w:val="000000"/>
                <w:kern w:val="0"/>
                <w:sz w:val="24"/>
                <w:szCs w:val="24"/>
                <w:lang w:val="en-US" w:eastAsia="zh-CN" w:bidi="ar"/>
              </w:rPr>
              <w:t>/a。</w:t>
            </w:r>
          </w:p>
          <w:p w14:paraId="3FE6625C">
            <w:pPr>
              <w:keepNext w:val="0"/>
              <w:keepLines w:val="0"/>
              <w:widowControl/>
              <w:suppressLineNumbers w:val="0"/>
              <w:jc w:val="left"/>
              <w:rPr>
                <w:rFonts w:hint="default" w:ascii="Times New Roman" w:hAnsi="Times New Roman" w:cs="Times New Roman"/>
              </w:rPr>
            </w:pPr>
            <w:r>
              <w:rPr>
                <w:rFonts w:hint="default" w:ascii="Times New Roman" w:hAnsi="Times New Roman" w:eastAsia="宋体" w:cs="Times New Roman"/>
                <w:color w:val="000000"/>
                <w:kern w:val="0"/>
                <w:sz w:val="24"/>
                <w:szCs w:val="24"/>
                <w:lang w:val="en-US" w:eastAsia="zh-CN" w:bidi="ar"/>
              </w:rPr>
              <w:t>废模具暂存在一般固废暂存间，定期交由厂家回收综合利用。</w:t>
            </w:r>
          </w:p>
          <w:p w14:paraId="52B4E747">
            <w:pPr>
              <w:spacing w:before="15"/>
              <w:ind w:firstLine="504"/>
              <w:rPr>
                <w:rFonts w:hint="default" w:ascii="Times New Roman" w:hAnsi="Times New Roman" w:eastAsia="宋体" w:cs="Times New Roman"/>
                <w:spacing w:val="6"/>
                <w:lang w:val="en-US" w:eastAsia="zh-CN"/>
              </w:rPr>
            </w:pPr>
            <w:r>
              <w:rPr>
                <w:rFonts w:hint="default" w:ascii="Times New Roman" w:hAnsi="Times New Roman" w:cs="Times New Roman"/>
                <w:spacing w:val="6"/>
              </w:rPr>
              <w:t>④</w:t>
            </w:r>
            <w:r>
              <w:rPr>
                <w:rFonts w:hint="default" w:ascii="Times New Roman" w:hAnsi="Times New Roman" w:cs="Times New Roman"/>
                <w:spacing w:val="6"/>
                <w:lang w:val="en-US" w:eastAsia="zh-CN"/>
              </w:rPr>
              <w:t>S4旋风除尘器、布袋除尘器1#集尘</w:t>
            </w:r>
          </w:p>
          <w:p w14:paraId="40D13158">
            <w:pPr>
              <w:keepNext w:val="0"/>
              <w:keepLines w:val="0"/>
              <w:widowControl/>
              <w:suppressLineNumbers w:val="0"/>
              <w:jc w:val="left"/>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本项目</w:t>
            </w:r>
            <w:r>
              <w:rPr>
                <w:rFonts w:hint="default" w:ascii="Times New Roman" w:hAnsi="Times New Roman" w:cs="Times New Roman"/>
                <w:color w:val="000000"/>
                <w:kern w:val="0"/>
                <w:sz w:val="24"/>
                <w:szCs w:val="24"/>
                <w:lang w:val="en-US" w:eastAsia="zh-CN" w:bidi="ar"/>
              </w:rPr>
              <w:t>煅烧</w:t>
            </w:r>
            <w:r>
              <w:rPr>
                <w:rFonts w:hint="default" w:ascii="Times New Roman" w:hAnsi="Times New Roman" w:eastAsia="宋体" w:cs="Times New Roman"/>
                <w:color w:val="000000"/>
                <w:kern w:val="0"/>
                <w:sz w:val="24"/>
                <w:szCs w:val="24"/>
                <w:lang w:val="en-US" w:eastAsia="zh-CN" w:bidi="ar"/>
              </w:rPr>
              <w:t>废气经旋风除尘+</w:t>
            </w:r>
            <w:r>
              <w:rPr>
                <w:rFonts w:hint="default" w:ascii="Times New Roman" w:hAnsi="Times New Roman" w:cs="Times New Roman"/>
                <w:color w:val="000000"/>
                <w:kern w:val="0"/>
                <w:sz w:val="24"/>
                <w:szCs w:val="24"/>
                <w:lang w:val="en-US" w:eastAsia="zh-CN" w:bidi="ar"/>
              </w:rPr>
              <w:t>布袋除尘器1#+喷射活性炭+布袋除尘器2#+</w:t>
            </w:r>
            <w:r>
              <w:rPr>
                <w:rFonts w:hint="eastAsia" w:cs="Times New Roman"/>
                <w:color w:val="000000"/>
                <w:kern w:val="0"/>
                <w:sz w:val="24"/>
                <w:szCs w:val="24"/>
                <w:lang w:val="en-US" w:eastAsia="zh-CN" w:bidi="ar"/>
              </w:rPr>
              <w:t>3座脱酸塔</w:t>
            </w:r>
            <w:r>
              <w:rPr>
                <w:rFonts w:hint="default" w:ascii="Times New Roman" w:hAnsi="Times New Roman" w:eastAsia="宋体" w:cs="Times New Roman"/>
                <w:color w:val="000000"/>
                <w:kern w:val="0"/>
                <w:sz w:val="24"/>
                <w:szCs w:val="24"/>
                <w:lang w:val="en-US" w:eastAsia="zh-CN" w:bidi="ar"/>
              </w:rPr>
              <w:t>处理后排放。定期清理旋风除尘器</w:t>
            </w:r>
            <w:r>
              <w:rPr>
                <w:rFonts w:hint="default" w:ascii="Times New Roman" w:hAnsi="Times New Roman" w:cs="Times New Roman"/>
                <w:color w:val="000000"/>
                <w:kern w:val="0"/>
                <w:sz w:val="24"/>
                <w:szCs w:val="24"/>
                <w:lang w:val="en-US" w:eastAsia="zh-CN" w:bidi="ar"/>
              </w:rPr>
              <w:t>和布袋除尘器1#</w:t>
            </w:r>
            <w:r>
              <w:rPr>
                <w:rFonts w:hint="default" w:ascii="Times New Roman" w:hAnsi="Times New Roman" w:eastAsia="宋体" w:cs="Times New Roman"/>
                <w:color w:val="000000"/>
                <w:kern w:val="0"/>
                <w:sz w:val="24"/>
                <w:szCs w:val="24"/>
                <w:lang w:val="en-US" w:eastAsia="zh-CN" w:bidi="ar"/>
              </w:rPr>
              <w:t>，产生集尘。根据废气章节计算，旋风除尘器集尘</w:t>
            </w:r>
            <w:r>
              <w:rPr>
                <w:rFonts w:hint="default" w:ascii="Times New Roman" w:hAnsi="Times New Roman" w:cs="Times New Roman"/>
                <w:color w:val="000000"/>
                <w:kern w:val="0"/>
                <w:sz w:val="24"/>
                <w:szCs w:val="24"/>
                <w:lang w:val="en-US" w:eastAsia="zh-CN" w:bidi="ar"/>
              </w:rPr>
              <w:t>和布袋除尘器1#集尘</w:t>
            </w:r>
            <w:r>
              <w:rPr>
                <w:rFonts w:hint="default" w:ascii="Times New Roman" w:hAnsi="Times New Roman" w:eastAsia="宋体" w:cs="Times New Roman"/>
                <w:color w:val="000000"/>
                <w:kern w:val="0"/>
                <w:sz w:val="24"/>
                <w:szCs w:val="24"/>
                <w:lang w:val="en-US" w:eastAsia="zh-CN" w:bidi="ar"/>
              </w:rPr>
              <w:t>量约</w:t>
            </w:r>
            <w:r>
              <w:rPr>
                <w:rFonts w:hint="eastAsia" w:cs="Times New Roman"/>
                <w:color w:val="000000"/>
                <w:kern w:val="0"/>
                <w:sz w:val="24"/>
                <w:szCs w:val="24"/>
                <w:lang w:val="en-US" w:eastAsia="zh-CN" w:bidi="ar"/>
              </w:rPr>
              <w:t>48.6298-0.1945=48.4353t/a</w:t>
            </w:r>
            <w:r>
              <w:rPr>
                <w:rFonts w:hint="default" w:ascii="Times New Roman" w:hAnsi="Times New Roman" w:eastAsia="宋体" w:cs="Times New Roman"/>
                <w:color w:val="000000"/>
                <w:kern w:val="0"/>
                <w:sz w:val="24"/>
                <w:szCs w:val="24"/>
                <w:lang w:val="en-US" w:eastAsia="zh-CN" w:bidi="ar"/>
              </w:rPr>
              <w:t>，收集到的粉尘全部作为原料，投加至</w:t>
            </w:r>
            <w:r>
              <w:rPr>
                <w:rFonts w:hint="eastAsia" w:cs="Times New Roman"/>
                <w:color w:val="000000"/>
                <w:kern w:val="0"/>
                <w:sz w:val="24"/>
                <w:szCs w:val="24"/>
                <w:lang w:val="en-US" w:eastAsia="zh-CN" w:bidi="ar"/>
              </w:rPr>
              <w:t>免烧砌块</w:t>
            </w:r>
            <w:r>
              <w:rPr>
                <w:rFonts w:hint="default" w:ascii="Times New Roman" w:hAnsi="Times New Roman" w:eastAsia="宋体" w:cs="Times New Roman"/>
                <w:color w:val="000000"/>
                <w:kern w:val="0"/>
                <w:sz w:val="24"/>
                <w:szCs w:val="24"/>
                <w:lang w:val="en-US" w:eastAsia="zh-CN" w:bidi="ar"/>
              </w:rPr>
              <w:t>生产线</w:t>
            </w:r>
            <w:r>
              <w:rPr>
                <w:rFonts w:hint="default" w:ascii="Times New Roman" w:hAnsi="Times New Roman" w:cs="Times New Roman"/>
                <w:color w:val="000000"/>
                <w:kern w:val="0"/>
                <w:sz w:val="24"/>
                <w:szCs w:val="24"/>
                <w:lang w:val="en-US" w:eastAsia="zh-CN" w:bidi="ar"/>
              </w:rPr>
              <w:t>轮辊机</w:t>
            </w:r>
            <w:r>
              <w:rPr>
                <w:rFonts w:hint="default" w:ascii="Times New Roman" w:hAnsi="Times New Roman" w:eastAsia="宋体" w:cs="Times New Roman"/>
                <w:color w:val="000000"/>
                <w:kern w:val="0"/>
                <w:sz w:val="24"/>
                <w:szCs w:val="24"/>
                <w:lang w:val="en-US" w:eastAsia="zh-CN" w:bidi="ar"/>
              </w:rPr>
              <w:t>内回用。</w:t>
            </w:r>
          </w:p>
          <w:p w14:paraId="61A66A56">
            <w:pPr>
              <w:spacing w:before="15"/>
              <w:ind w:firstLine="504"/>
              <w:rPr>
                <w:rFonts w:hint="default" w:ascii="Times New Roman" w:hAnsi="Times New Roman" w:cs="Times New Roman"/>
                <w:spacing w:val="6"/>
              </w:rPr>
            </w:pPr>
            <w:r>
              <w:rPr>
                <w:rFonts w:hint="default" w:ascii="Times New Roman" w:hAnsi="Times New Roman" w:cs="Times New Roman"/>
                <w:spacing w:val="6"/>
              </w:rPr>
              <w:t>⑤</w:t>
            </w:r>
            <w:r>
              <w:rPr>
                <w:rFonts w:hint="default" w:ascii="Times New Roman" w:hAnsi="Times New Roman" w:cs="Times New Roman"/>
                <w:spacing w:val="6"/>
                <w:lang w:val="en-US" w:eastAsia="zh-CN"/>
              </w:rPr>
              <w:t>S6</w:t>
            </w:r>
            <w:r>
              <w:rPr>
                <w:rFonts w:hint="default" w:ascii="Times New Roman" w:hAnsi="Times New Roman" w:cs="Times New Roman"/>
                <w:spacing w:val="6"/>
              </w:rPr>
              <w:t>废布袋</w:t>
            </w:r>
          </w:p>
          <w:p w14:paraId="76051DB2">
            <w:pPr>
              <w:spacing w:before="15"/>
              <w:ind w:firstLine="504"/>
              <w:rPr>
                <w:rFonts w:hint="default" w:ascii="Times New Roman" w:hAnsi="Times New Roman" w:cs="Times New Roman"/>
                <w:spacing w:val="6"/>
              </w:rPr>
            </w:pPr>
            <w:r>
              <w:rPr>
                <w:rFonts w:cs="Times New Roman"/>
                <w:spacing w:val="6"/>
              </w:rPr>
              <w:t>为确保布袋除尘器处理效果，</w:t>
            </w:r>
            <w:r>
              <w:rPr>
                <w:rFonts w:hint="eastAsia" w:cs="Times New Roman"/>
                <w:spacing w:val="6"/>
                <w:lang w:val="en-US" w:eastAsia="zh-CN"/>
              </w:rPr>
              <w:t>各布袋除尘器的</w:t>
            </w:r>
            <w:r>
              <w:rPr>
                <w:rFonts w:cs="Times New Roman"/>
                <w:spacing w:val="6"/>
              </w:rPr>
              <w:t>布袋定期进行更换。废布袋产生量约0.</w:t>
            </w:r>
            <w:r>
              <w:rPr>
                <w:rFonts w:hint="eastAsia" w:cs="Times New Roman"/>
                <w:spacing w:val="6"/>
                <w:lang w:val="en-US" w:eastAsia="zh-CN"/>
              </w:rPr>
              <w:t>3</w:t>
            </w:r>
            <w:r>
              <w:rPr>
                <w:rFonts w:cs="Times New Roman"/>
                <w:spacing w:val="6"/>
              </w:rPr>
              <w:t>t/a，采用密封桶装</w:t>
            </w:r>
            <w:r>
              <w:rPr>
                <w:rFonts w:cs="Times New Roman"/>
              </w:rPr>
              <w:t>收集后于</w:t>
            </w:r>
            <w:r>
              <w:rPr>
                <w:rFonts w:cs="Times New Roman"/>
                <w:spacing w:val="-3"/>
              </w:rPr>
              <w:t>一般固废暂存间暂存，交由厂家回收利用</w:t>
            </w:r>
            <w:r>
              <w:rPr>
                <w:rFonts w:cs="Times New Roman"/>
                <w:spacing w:val="6"/>
              </w:rPr>
              <w:t>。</w:t>
            </w:r>
          </w:p>
          <w:p w14:paraId="6884DBF1">
            <w:pPr>
              <w:spacing w:line="360" w:lineRule="auto"/>
              <w:ind w:firstLine="480"/>
              <w:rPr>
                <w:rFonts w:hint="eastAsia" w:eastAsia="宋体"/>
                <w:b w:val="0"/>
                <w:bCs w:val="0"/>
                <w:color w:val="000000" w:themeColor="text1"/>
                <w:sz w:val="24"/>
                <w:szCs w:val="32"/>
                <w:lang w:val="en-US" w:eastAsia="zh-CN"/>
                <w14:textFill>
                  <w14:solidFill>
                    <w14:schemeClr w14:val="tx1"/>
                  </w14:solidFill>
                </w14:textFill>
              </w:rPr>
            </w:pPr>
            <w:r>
              <w:rPr>
                <w:rFonts w:hint="default" w:ascii="Times New Roman" w:hAnsi="Times New Roman" w:cs="Times New Roman"/>
                <w:spacing w:val="6"/>
              </w:rPr>
              <w:t>⑥</w:t>
            </w:r>
            <w:r>
              <w:rPr>
                <w:rFonts w:hint="eastAsia"/>
                <w:b w:val="0"/>
                <w:bCs w:val="0"/>
                <w:color w:val="000000" w:themeColor="text1"/>
                <w:sz w:val="24"/>
                <w:szCs w:val="24"/>
                <w14:textFill>
                  <w14:solidFill>
                    <w14:schemeClr w14:val="tx1"/>
                  </w14:solidFill>
                </w14:textFill>
              </w:rPr>
              <w:t>氟化钙</w:t>
            </w:r>
            <w:r>
              <w:rPr>
                <w:rFonts w:hint="eastAsia"/>
                <w:b w:val="0"/>
                <w:bCs w:val="0"/>
                <w:color w:val="000000" w:themeColor="text1"/>
                <w:sz w:val="24"/>
                <w:szCs w:val="24"/>
                <w:lang w:val="en-US" w:eastAsia="zh-CN"/>
                <w14:textFill>
                  <w14:solidFill>
                    <w14:schemeClr w14:val="tx1"/>
                  </w14:solidFill>
                </w14:textFill>
              </w:rPr>
              <w:t>污泥</w:t>
            </w:r>
          </w:p>
          <w:p w14:paraId="10A34D7F">
            <w:pPr>
              <w:spacing w:line="360" w:lineRule="auto"/>
              <w:ind w:firstLine="480"/>
            </w:pPr>
            <w:r>
              <w:rPr>
                <w:rFonts w:hint="eastAsia"/>
                <w:color w:val="000000" w:themeColor="text1"/>
                <w:sz w:val="24"/>
                <w:szCs w:val="32"/>
                <w14:textFill>
                  <w14:solidFill>
                    <w14:schemeClr w14:val="tx1"/>
                  </w14:solidFill>
                </w14:textFill>
              </w:rPr>
              <w:t>本项目</w:t>
            </w:r>
            <w:r>
              <w:rPr>
                <w:rFonts w:hint="eastAsia"/>
                <w:color w:val="000000" w:themeColor="text1"/>
                <w:sz w:val="24"/>
                <w:szCs w:val="32"/>
                <w:lang w:val="en-US" w:eastAsia="zh-CN"/>
                <w14:textFill>
                  <w14:solidFill>
                    <w14:schemeClr w14:val="tx1"/>
                  </w14:solidFill>
                </w14:textFill>
              </w:rPr>
              <w:t>烧结废气</w:t>
            </w:r>
            <w:r>
              <w:rPr>
                <w:rFonts w:hint="eastAsia"/>
                <w:color w:val="000000" w:themeColor="text1"/>
                <w:sz w:val="24"/>
                <w:szCs w:val="32"/>
                <w14:textFill>
                  <w14:solidFill>
                    <w14:schemeClr w14:val="tx1"/>
                  </w14:solidFill>
                </w14:textFill>
              </w:rPr>
              <w:t>经碱洗后的废液主要含NaF和其他金属氟化物（沉淀）等，根据</w:t>
            </w:r>
            <w:r>
              <w:rPr>
                <w:rFonts w:hint="eastAsia"/>
                <w:color w:val="000000" w:themeColor="text1"/>
                <w:sz w:val="24"/>
                <w:szCs w:val="32"/>
                <w:lang w:val="en-US" w:eastAsia="zh-CN"/>
                <w14:textFill>
                  <w14:solidFill>
                    <w14:schemeClr w14:val="tx1"/>
                  </w14:solidFill>
                </w14:textFill>
              </w:rPr>
              <w:t>前文计算</w:t>
            </w:r>
            <w:r>
              <w:rPr>
                <w:rFonts w:hint="eastAsia"/>
                <w:color w:val="000000" w:themeColor="text1"/>
                <w:sz w:val="24"/>
                <w:szCs w:val="32"/>
                <w14:textFill>
                  <w14:solidFill>
                    <w14:schemeClr w14:val="tx1"/>
                  </w14:solidFill>
                </w14:textFill>
              </w:rPr>
              <w:t>，项目</w:t>
            </w:r>
            <w:r>
              <w:rPr>
                <w:rFonts w:hint="eastAsia"/>
                <w:color w:val="000000" w:themeColor="text1"/>
                <w:sz w:val="24"/>
                <w:szCs w:val="32"/>
                <w:lang w:val="en-US" w:eastAsia="zh-CN"/>
                <w14:textFill>
                  <w14:solidFill>
                    <w14:schemeClr w14:val="tx1"/>
                  </w14:solidFill>
                </w14:textFill>
              </w:rPr>
              <w:t>煅烧废气中的</w:t>
            </w:r>
            <w:r>
              <w:rPr>
                <w:rFonts w:hint="eastAsia"/>
                <w:color w:val="000000" w:themeColor="text1"/>
                <w:sz w:val="24"/>
                <w:szCs w:val="32"/>
                <w14:textFill>
                  <w14:solidFill>
                    <w14:schemeClr w14:val="tx1"/>
                  </w14:solidFill>
                </w14:textFill>
              </w:rPr>
              <w:t>氟元素约为</w:t>
            </w:r>
            <w:r>
              <w:rPr>
                <w:rFonts w:hint="eastAsia"/>
                <w:color w:val="000000" w:themeColor="text1"/>
                <w:sz w:val="24"/>
                <w:szCs w:val="32"/>
                <w:lang w:val="en-US" w:eastAsia="zh-CN"/>
                <w14:textFill>
                  <w14:solidFill>
                    <w14:schemeClr w14:val="tx1"/>
                  </w14:solidFill>
                </w14:textFill>
              </w:rPr>
              <w:t>228.4275t</w:t>
            </w:r>
            <w:r>
              <w:rPr>
                <w:rFonts w:hint="eastAsia"/>
                <w:color w:val="000000" w:themeColor="text1"/>
                <w:sz w:val="24"/>
                <w:szCs w:val="32"/>
                <w14:textFill>
                  <w14:solidFill>
                    <w14:schemeClr w14:val="tx1"/>
                  </w14:solidFill>
                </w14:textFill>
              </w:rPr>
              <w:t>/a，9</w:t>
            </w:r>
            <w:r>
              <w:rPr>
                <w:rFonts w:hint="eastAsia"/>
                <w:color w:val="000000" w:themeColor="text1"/>
                <w:sz w:val="24"/>
                <w:szCs w:val="32"/>
                <w:lang w:val="en-US" w:eastAsia="zh-CN"/>
                <w14:textFill>
                  <w14:solidFill>
                    <w14:schemeClr w14:val="tx1"/>
                  </w14:solidFill>
                </w14:textFill>
              </w:rPr>
              <w:t>9.7</w:t>
            </w:r>
            <w:r>
              <w:rPr>
                <w:rFonts w:hint="eastAsia"/>
                <w:color w:val="000000" w:themeColor="text1"/>
                <w:sz w:val="24"/>
                <w:szCs w:val="32"/>
                <w14:textFill>
                  <w14:solidFill>
                    <w14:schemeClr w14:val="tx1"/>
                  </w14:solidFill>
                </w14:textFill>
              </w:rPr>
              <w:t>%被碱洗进入碱洗废水，则</w:t>
            </w:r>
            <w:r>
              <w:rPr>
                <w:rFonts w:hint="eastAsia"/>
                <w:color w:val="000000" w:themeColor="text1"/>
                <w:sz w:val="24"/>
                <w:szCs w:val="32"/>
                <w:lang w:val="en-US" w:eastAsia="zh-CN"/>
                <w14:textFill>
                  <w14:solidFill>
                    <w14:schemeClr w14:val="tx1"/>
                  </w14:solidFill>
                </w14:textFill>
              </w:rPr>
              <w:t>脱酸塔</w:t>
            </w:r>
            <w:r>
              <w:rPr>
                <w:rFonts w:hint="eastAsia"/>
                <w:color w:val="000000" w:themeColor="text1"/>
                <w:sz w:val="24"/>
                <w:szCs w:val="32"/>
                <w14:textFill>
                  <w14:solidFill>
                    <w14:schemeClr w14:val="tx1"/>
                  </w14:solidFill>
                </w14:textFill>
              </w:rPr>
              <w:t>废液中以</w:t>
            </w:r>
            <w:r>
              <w:rPr>
                <w:rFonts w:hint="eastAsia"/>
                <w:color w:val="000000" w:themeColor="text1"/>
                <w:sz w:val="24"/>
                <w:szCs w:val="32"/>
                <w:lang w:val="en-US" w:eastAsia="zh-CN"/>
                <w14:textFill>
                  <w14:solidFill>
                    <w14:schemeClr w14:val="tx1"/>
                  </w14:solidFill>
                </w14:textFill>
              </w:rPr>
              <w:t>氢氧</w:t>
            </w:r>
            <w:r>
              <w:rPr>
                <w:rFonts w:hint="eastAsia"/>
                <w:color w:val="000000" w:themeColor="text1"/>
                <w:sz w:val="24"/>
                <w:szCs w:val="32"/>
                <w14:textFill>
                  <w14:solidFill>
                    <w14:schemeClr w14:val="tx1"/>
                  </w14:solidFill>
                </w14:textFill>
              </w:rPr>
              <w:t>化钠溶液形式存在的氟约为</w:t>
            </w:r>
            <w:r>
              <w:rPr>
                <w:rFonts w:hint="eastAsia"/>
                <w:color w:val="000000" w:themeColor="text1"/>
                <w:sz w:val="24"/>
                <w:szCs w:val="32"/>
                <w:lang w:val="en-US" w:eastAsia="zh-CN"/>
                <w14:textFill>
                  <w14:solidFill>
                    <w14:schemeClr w14:val="tx1"/>
                  </w14:solidFill>
                </w14:textFill>
              </w:rPr>
              <w:t>228.4275*99.7%=227.7422t/a</w:t>
            </w:r>
            <w:r>
              <w:rPr>
                <w:rFonts w:hint="eastAsia"/>
                <w:color w:val="000000" w:themeColor="text1"/>
                <w:sz w:val="24"/>
                <w:szCs w:val="32"/>
                <w14:textFill>
                  <w14:solidFill>
                    <w14:schemeClr w14:val="tx1"/>
                  </w14:solidFill>
                </w14:textFill>
              </w:rPr>
              <w:t>，本项目在</w:t>
            </w:r>
            <w:r>
              <w:rPr>
                <w:rFonts w:hint="eastAsia"/>
                <w:color w:val="000000" w:themeColor="text1"/>
                <w:sz w:val="24"/>
                <w:szCs w:val="32"/>
                <w:lang w:val="en-US" w:eastAsia="zh-CN"/>
                <w14:textFill>
                  <w14:solidFill>
                    <w14:schemeClr w14:val="tx1"/>
                  </w14:solidFill>
                </w14:textFill>
              </w:rPr>
              <w:t>脱酸塔</w:t>
            </w:r>
            <w:r>
              <w:rPr>
                <w:rFonts w:hint="eastAsia"/>
                <w:color w:val="000000" w:themeColor="text1"/>
                <w:sz w:val="24"/>
                <w:szCs w:val="32"/>
                <w14:textFill>
                  <w14:solidFill>
                    <w14:schemeClr w14:val="tx1"/>
                  </w14:solidFill>
                </w14:textFill>
              </w:rPr>
              <w:t>废液中加</w:t>
            </w:r>
            <w:r>
              <w:rPr>
                <w:rFonts w:hint="eastAsia"/>
                <w:color w:val="000000" w:themeColor="text1"/>
                <w:sz w:val="24"/>
                <w:szCs w:val="32"/>
                <w:lang w:val="en-US" w:eastAsia="zh-CN"/>
                <w14:textFill>
                  <w14:solidFill>
                    <w14:schemeClr w14:val="tx1"/>
                  </w14:solidFill>
                </w14:textFill>
              </w:rPr>
              <w:t>氧化钙</w:t>
            </w:r>
            <w:r>
              <w:rPr>
                <w:rFonts w:hint="eastAsia"/>
                <w:color w:val="000000" w:themeColor="text1"/>
                <w:sz w:val="24"/>
                <w:szCs w:val="32"/>
                <w14:textFill>
                  <w14:solidFill>
                    <w14:schemeClr w14:val="tx1"/>
                  </w14:solidFill>
                </w14:textFill>
              </w:rPr>
              <w:t>，使其</w:t>
            </w:r>
            <w:r>
              <w:rPr>
                <w:rFonts w:hint="eastAsia"/>
                <w:color w:val="000000" w:themeColor="text1"/>
                <w:sz w:val="24"/>
                <w:szCs w:val="32"/>
                <w:lang w:val="en-US" w:eastAsia="zh-CN"/>
                <w14:textFill>
                  <w14:solidFill>
                    <w14:schemeClr w14:val="tx1"/>
                  </w14:solidFill>
                </w14:textFill>
              </w:rPr>
              <w:t>与水反应生成氢氧化钙，后与</w:t>
            </w:r>
            <w:r>
              <w:rPr>
                <w:rFonts w:hint="eastAsia"/>
                <w:color w:val="000000" w:themeColor="text1"/>
                <w:sz w:val="24"/>
                <w:szCs w:val="32"/>
                <w14:textFill>
                  <w14:solidFill>
                    <w14:schemeClr w14:val="tx1"/>
                  </w14:solidFill>
                </w14:textFill>
              </w:rPr>
              <w:t>NaF反应生成CaF</w:t>
            </w:r>
            <w:r>
              <w:rPr>
                <w:rFonts w:hint="eastAsia"/>
                <w:color w:val="000000" w:themeColor="text1"/>
                <w:sz w:val="24"/>
                <w:szCs w:val="32"/>
                <w:vertAlign w:val="subscript"/>
                <w14:textFill>
                  <w14:solidFill>
                    <w14:schemeClr w14:val="tx1"/>
                  </w14:solidFill>
                </w14:textFill>
              </w:rPr>
              <w:t>2</w:t>
            </w:r>
            <w:r>
              <w:rPr>
                <w:rFonts w:hint="eastAsia"/>
                <w:color w:val="000000" w:themeColor="text1"/>
                <w:sz w:val="24"/>
                <w:szCs w:val="32"/>
                <w14:textFill>
                  <w14:solidFill>
                    <w14:schemeClr w14:val="tx1"/>
                  </w14:solidFill>
                </w14:textFill>
              </w:rPr>
              <w:t>沉淀和NaOH，沉淀后的碱洗废液（20%的氢氧化钠溶液）循环使用不外排</w:t>
            </w:r>
            <w:r>
              <w:rPr>
                <w:rFonts w:hint="eastAsia"/>
                <w:color w:val="000000" w:themeColor="text1"/>
                <w:sz w:val="24"/>
                <w:szCs w:val="32"/>
                <w:lang w:eastAsia="zh-CN"/>
                <w14:textFill>
                  <w14:solidFill>
                    <w14:schemeClr w14:val="tx1"/>
                  </w14:solidFill>
                </w14:textFill>
              </w:rPr>
              <w:t>。</w:t>
            </w:r>
            <w:r>
              <w:rPr>
                <w:rFonts w:hint="eastAsia"/>
                <w:bCs/>
                <w:color w:val="000000" w:themeColor="text1"/>
                <w:sz w:val="24"/>
                <w:szCs w:val="24"/>
                <w14:textFill>
                  <w14:solidFill>
                    <w14:schemeClr w14:val="tx1"/>
                  </w14:solidFill>
                </w14:textFill>
              </w:rPr>
              <w:t>根据物料守恒，</w:t>
            </w:r>
            <w:r>
              <w:rPr>
                <w:rFonts w:hint="eastAsia"/>
                <w:bCs/>
                <w:color w:val="000000" w:themeColor="text1"/>
                <w:sz w:val="24"/>
                <w:szCs w:val="24"/>
                <w:lang w:val="en-US" w:eastAsia="zh-CN"/>
                <w14:textFill>
                  <w14:solidFill>
                    <w14:schemeClr w14:val="tx1"/>
                  </w14:solidFill>
                </w14:textFill>
              </w:rPr>
              <w:t>经处理后氟元素全部进入</w:t>
            </w:r>
            <w:r>
              <w:rPr>
                <w:rFonts w:hint="eastAsia"/>
                <w:bCs/>
                <w:color w:val="000000" w:themeColor="text1"/>
                <w:sz w:val="24"/>
                <w:szCs w:val="24"/>
                <w14:textFill>
                  <w14:solidFill>
                    <w14:schemeClr w14:val="tx1"/>
                  </w14:solidFill>
                </w14:textFill>
              </w:rPr>
              <w:t>氟化钙</w:t>
            </w:r>
            <w:r>
              <w:rPr>
                <w:rFonts w:hint="eastAsia"/>
                <w:bCs/>
                <w:color w:val="000000" w:themeColor="text1"/>
                <w:sz w:val="24"/>
                <w:szCs w:val="24"/>
                <w:lang w:val="en-US" w:eastAsia="zh-CN"/>
                <w14:textFill>
                  <w14:solidFill>
                    <w14:schemeClr w14:val="tx1"/>
                  </w14:solidFill>
                </w14:textFill>
              </w:rPr>
              <w:t>干基中，干基氟化钙重</w:t>
            </w:r>
            <w:r>
              <w:rPr>
                <w:rFonts w:hint="eastAsia"/>
                <w:bCs/>
                <w:color w:val="000000" w:themeColor="text1"/>
                <w:sz w:val="24"/>
                <w:szCs w:val="24"/>
                <w14:textFill>
                  <w14:solidFill>
                    <w14:schemeClr w14:val="tx1"/>
                  </w14:solidFill>
                </w14:textFill>
              </w:rPr>
              <w:t>量约为</w:t>
            </w:r>
            <w:r>
              <w:rPr>
                <w:rFonts w:hint="eastAsia"/>
                <w:bCs/>
                <w:color w:val="000000" w:themeColor="text1"/>
                <w:sz w:val="24"/>
                <w:szCs w:val="24"/>
                <w:lang w:val="en-US" w:eastAsia="zh-CN"/>
                <w14:textFill>
                  <w14:solidFill>
                    <w14:schemeClr w14:val="tx1"/>
                  </w14:solidFill>
                </w14:textFill>
              </w:rPr>
              <w:t>228.4275/（2*19/（2*19+40））=468.8775t/a</w:t>
            </w:r>
            <w:r>
              <w:rPr>
                <w:rFonts w:hint="eastAsia"/>
                <w:bCs/>
                <w:color w:val="000000" w:themeColor="text1"/>
                <w:sz w:val="24"/>
                <w:szCs w:val="24"/>
                <w14:textFill>
                  <w14:solidFill>
                    <w14:schemeClr w14:val="tx1"/>
                  </w14:solidFill>
                </w14:textFill>
              </w:rPr>
              <w:t>，以氟化钙</w:t>
            </w:r>
            <w:r>
              <w:rPr>
                <w:rFonts w:hint="eastAsia"/>
                <w:bCs/>
                <w:color w:val="000000" w:themeColor="text1"/>
                <w:sz w:val="24"/>
                <w:szCs w:val="24"/>
                <w:lang w:val="en-US" w:eastAsia="zh-CN"/>
                <w14:textFill>
                  <w14:solidFill>
                    <w14:schemeClr w14:val="tx1"/>
                  </w14:solidFill>
                </w14:textFill>
              </w:rPr>
              <w:t>污泥</w:t>
            </w:r>
            <w:r>
              <w:rPr>
                <w:rFonts w:hint="eastAsia"/>
                <w:bCs/>
                <w:color w:val="000000" w:themeColor="text1"/>
                <w:sz w:val="24"/>
                <w:szCs w:val="24"/>
                <w14:textFill>
                  <w14:solidFill>
                    <w14:schemeClr w14:val="tx1"/>
                  </w14:solidFill>
                </w14:textFill>
              </w:rPr>
              <w:t>含水率</w:t>
            </w:r>
            <w:r>
              <w:rPr>
                <w:rFonts w:hint="eastAsia"/>
                <w:bCs/>
                <w:color w:val="000000" w:themeColor="text1"/>
                <w:sz w:val="24"/>
                <w:szCs w:val="24"/>
                <w:lang w:val="en-US" w:eastAsia="zh-CN"/>
                <w14:textFill>
                  <w14:solidFill>
                    <w14:schemeClr w14:val="tx1"/>
                  </w14:solidFill>
                </w14:textFill>
              </w:rPr>
              <w:t>60</w:t>
            </w:r>
            <w:r>
              <w:rPr>
                <w:rFonts w:hint="eastAsia"/>
                <w:bCs/>
                <w:color w:val="000000" w:themeColor="text1"/>
                <w:sz w:val="24"/>
                <w:szCs w:val="24"/>
                <w14:textFill>
                  <w14:solidFill>
                    <w14:schemeClr w14:val="tx1"/>
                  </w14:solidFill>
                </w14:textFill>
              </w:rPr>
              <w:t>%计，则氟化钙污泥产生量约为</w:t>
            </w:r>
            <w:r>
              <w:rPr>
                <w:rFonts w:hint="eastAsia"/>
                <w:bCs/>
                <w:color w:val="000000" w:themeColor="text1"/>
                <w:sz w:val="24"/>
                <w:szCs w:val="24"/>
                <w:lang w:val="en-US" w:eastAsia="zh-CN"/>
                <w14:textFill>
                  <w14:solidFill>
                    <w14:schemeClr w14:val="tx1"/>
                  </w14:solidFill>
                </w14:textFill>
              </w:rPr>
              <w:t>468.8775/0.4≈1172t/a</w:t>
            </w:r>
            <w:r>
              <w:rPr>
                <w:rFonts w:hint="eastAsia"/>
                <w:bCs/>
                <w:color w:val="000000" w:themeColor="text1"/>
                <w:sz w:val="24"/>
                <w:szCs w:val="24"/>
                <w14:textFill>
                  <w14:solidFill>
                    <w14:schemeClr w14:val="tx1"/>
                  </w14:solidFill>
                </w14:textFill>
              </w:rPr>
              <w:t>。</w:t>
            </w:r>
            <w:r>
              <w:rPr>
                <w:rFonts w:hint="eastAsia"/>
                <w:bCs/>
                <w:color w:val="000000" w:themeColor="text1"/>
                <w:sz w:val="24"/>
                <w:szCs w:val="24"/>
                <w:lang w:val="en-US" w:eastAsia="zh-CN"/>
                <w14:textFill>
                  <w14:solidFill>
                    <w14:schemeClr w14:val="tx1"/>
                  </w14:solidFill>
                </w14:textFill>
              </w:rPr>
              <w:t>本次评价建议：建设单位通过鉴定确定氟化钙污泥的危险性质，后按照相应的固废种类进行管理</w:t>
            </w:r>
            <w:r>
              <w:rPr>
                <w:rFonts w:hint="eastAsia"/>
                <w:color w:val="000000" w:themeColor="text1"/>
                <w:sz w:val="24"/>
                <w:szCs w:val="32"/>
                <w14:textFill>
                  <w14:solidFill>
                    <w14:schemeClr w14:val="tx1"/>
                  </w14:solidFill>
                </w14:textFill>
              </w:rPr>
              <w:t>。</w:t>
            </w:r>
          </w:p>
          <w:p w14:paraId="6171F295">
            <w:pPr>
              <w:spacing w:line="360" w:lineRule="auto"/>
              <w:ind w:firstLine="480"/>
              <w:rPr>
                <w:rFonts w:hint="eastAsia"/>
                <w:lang w:val="en-US" w:eastAsia="zh-CN"/>
              </w:rPr>
            </w:pPr>
            <w:r>
              <w:rPr>
                <w:rFonts w:hint="eastAsia"/>
                <w:lang w:eastAsia="zh-CN"/>
              </w:rPr>
              <w:t>⑦</w:t>
            </w:r>
            <w:r>
              <w:rPr>
                <w:rFonts w:hint="eastAsia"/>
                <w:lang w:val="en-US" w:eastAsia="zh-CN"/>
              </w:rPr>
              <w:t>初期雨水池污泥</w:t>
            </w:r>
          </w:p>
          <w:p w14:paraId="4626690C">
            <w:pPr>
              <w:spacing w:line="360" w:lineRule="auto"/>
              <w:ind w:firstLine="480"/>
              <w:rPr>
                <w:rFonts w:hint="default"/>
                <w:lang w:val="en-US" w:eastAsia="zh-CN"/>
              </w:rPr>
            </w:pPr>
            <w:r>
              <w:rPr>
                <w:rFonts w:hint="eastAsia"/>
                <w:lang w:val="en-US" w:eastAsia="zh-CN"/>
              </w:rPr>
              <w:t>本项目拟建设1座200m</w:t>
            </w:r>
            <w:r>
              <w:rPr>
                <w:rFonts w:hint="eastAsia"/>
                <w:vertAlign w:val="superscript"/>
                <w:lang w:val="en-US" w:eastAsia="zh-CN"/>
              </w:rPr>
              <w:t>3</w:t>
            </w:r>
            <w:r>
              <w:rPr>
                <w:rFonts w:hint="eastAsia"/>
                <w:lang w:val="en-US" w:eastAsia="zh-CN"/>
              </w:rPr>
              <w:t>的初期雨水收集池，</w:t>
            </w:r>
            <w:r>
              <w:rPr>
                <w:rFonts w:hint="default" w:cs="Times New Roman"/>
                <w:b w:val="0"/>
                <w:bCs w:val="0"/>
                <w:szCs w:val="24"/>
              </w:rPr>
              <w:t>初期雨水最大收集量为</w:t>
            </w:r>
            <w:r>
              <w:rPr>
                <w:rFonts w:hint="eastAsia" w:cs="Times New Roman"/>
                <w:b w:val="0"/>
                <w:bCs w:val="0"/>
                <w:szCs w:val="24"/>
                <w:lang w:val="en-US" w:eastAsia="zh-CN"/>
              </w:rPr>
              <w:t>2.94</w:t>
            </w:r>
            <w:r>
              <w:rPr>
                <w:rFonts w:hint="default" w:cs="Times New Roman"/>
                <w:b w:val="0"/>
                <w:bCs w:val="0"/>
                <w:szCs w:val="24"/>
              </w:rPr>
              <w:t>m</w:t>
            </w:r>
            <w:r>
              <w:rPr>
                <w:rFonts w:hint="default" w:cs="Times New Roman"/>
                <w:b w:val="0"/>
                <w:bCs w:val="0"/>
                <w:szCs w:val="24"/>
                <w:vertAlign w:val="superscript"/>
              </w:rPr>
              <w:t>3</w:t>
            </w:r>
            <w:r>
              <w:rPr>
                <w:rFonts w:hint="default" w:cs="Times New Roman"/>
                <w:b w:val="0"/>
                <w:bCs w:val="0"/>
                <w:szCs w:val="24"/>
              </w:rPr>
              <w:t>/次（</w:t>
            </w:r>
            <w:r>
              <w:rPr>
                <w:rFonts w:hint="eastAsia" w:cs="Times New Roman"/>
                <w:b w:val="0"/>
                <w:bCs w:val="0"/>
                <w:szCs w:val="24"/>
                <w:lang w:val="en-US" w:eastAsia="zh-CN"/>
              </w:rPr>
              <w:t>11.76m</w:t>
            </w:r>
            <w:r>
              <w:rPr>
                <w:rFonts w:hint="default" w:cs="Times New Roman"/>
                <w:b w:val="0"/>
                <w:bCs w:val="0"/>
                <w:szCs w:val="24"/>
                <w:vertAlign w:val="superscript"/>
              </w:rPr>
              <w:t>3</w:t>
            </w:r>
            <w:r>
              <w:rPr>
                <w:rFonts w:hint="default" w:cs="Times New Roman"/>
                <w:b w:val="0"/>
                <w:bCs w:val="0"/>
                <w:szCs w:val="24"/>
              </w:rPr>
              <w:t>/a（每年4次））</w:t>
            </w:r>
            <w:r>
              <w:rPr>
                <w:rFonts w:hint="eastAsia" w:cs="Times New Roman"/>
                <w:b w:val="0"/>
                <w:bCs w:val="0"/>
                <w:szCs w:val="24"/>
                <w:lang w:eastAsia="zh-CN"/>
              </w:rPr>
              <w:t>，</w:t>
            </w:r>
            <w:r>
              <w:rPr>
                <w:rFonts w:hint="eastAsia"/>
                <w:lang w:val="en-US" w:eastAsia="zh-CN"/>
              </w:rPr>
              <w:t>经过沉淀会产生一定的污泥，初期雨水收集池</w:t>
            </w:r>
            <w:r>
              <w:rPr>
                <w:rFonts w:hint="default" w:ascii="Times New Roman" w:hAnsi="Times New Roman" w:eastAsia="宋体" w:cs="Times New Roman"/>
                <w:color w:val="auto"/>
                <w:sz w:val="24"/>
                <w:szCs w:val="24"/>
              </w:rPr>
              <w:t>产生的污泥量按每立方米污水产泥量0.</w:t>
            </w:r>
            <w:r>
              <w:rPr>
                <w:rFonts w:hint="eastAsia" w:ascii="Times New Roman" w:hAnsi="Times New Roman" w:cs="Times New Roman"/>
                <w:color w:val="auto"/>
                <w:sz w:val="24"/>
                <w:szCs w:val="24"/>
                <w:lang w:val="en-US" w:eastAsia="zh-CN"/>
              </w:rPr>
              <w:t>5</w:t>
            </w:r>
            <w:r>
              <w:rPr>
                <w:rFonts w:hint="default" w:ascii="Times New Roman" w:hAnsi="Times New Roman" w:eastAsia="宋体" w:cs="Times New Roman"/>
                <w:color w:val="auto"/>
                <w:sz w:val="24"/>
                <w:szCs w:val="24"/>
              </w:rPr>
              <w:t>kg计，则污泥产生量约</w:t>
            </w:r>
            <w:r>
              <w:rPr>
                <w:rFonts w:hint="eastAsia" w:ascii="Times New Roman" w:hAnsi="Times New Roman" w:cs="Times New Roman"/>
                <w:color w:val="auto"/>
                <w:sz w:val="24"/>
                <w:szCs w:val="24"/>
                <w:lang w:val="en-US" w:eastAsia="zh-CN"/>
              </w:rPr>
              <w:t>0.</w:t>
            </w:r>
            <w:r>
              <w:rPr>
                <w:rFonts w:hint="eastAsia" w:cs="Times New Roman"/>
                <w:color w:val="auto"/>
                <w:sz w:val="24"/>
                <w:szCs w:val="24"/>
                <w:lang w:val="en-US" w:eastAsia="zh-CN"/>
              </w:rPr>
              <w:t>01</w:t>
            </w:r>
            <w:r>
              <w:rPr>
                <w:rFonts w:hint="default" w:ascii="Times New Roman" w:hAnsi="Times New Roman" w:eastAsia="宋体" w:cs="Times New Roman"/>
                <w:color w:val="auto"/>
                <w:sz w:val="24"/>
                <w:szCs w:val="24"/>
              </w:rPr>
              <w:t>t/a。污泥</w:t>
            </w:r>
            <w:r>
              <w:rPr>
                <w:rFonts w:hint="eastAsia" w:ascii="Times New Roman" w:hAnsi="Times New Roman" w:cs="Times New Roman"/>
                <w:color w:val="auto"/>
                <w:sz w:val="24"/>
                <w:szCs w:val="24"/>
                <w:lang w:val="en-US" w:eastAsia="zh-CN"/>
              </w:rPr>
              <w:t>1年</w:t>
            </w:r>
            <w:r>
              <w:rPr>
                <w:rFonts w:hint="default" w:ascii="Times New Roman" w:hAnsi="Times New Roman" w:eastAsia="宋体" w:cs="Times New Roman"/>
                <w:color w:val="auto"/>
                <w:sz w:val="24"/>
                <w:szCs w:val="24"/>
              </w:rPr>
              <w:t>清掏</w:t>
            </w:r>
            <w:r>
              <w:rPr>
                <w:rFonts w:hint="eastAsia" w:ascii="Times New Roman" w:hAnsi="Times New Roman" w:cs="Times New Roman"/>
                <w:color w:val="auto"/>
                <w:sz w:val="24"/>
                <w:szCs w:val="24"/>
                <w:lang w:val="en-US" w:eastAsia="zh-CN"/>
              </w:rPr>
              <w:t>1次</w:t>
            </w:r>
            <w:r>
              <w:rPr>
                <w:rFonts w:hint="default" w:ascii="Times New Roman" w:hAnsi="Times New Roman" w:eastAsia="宋体" w:cs="Times New Roman"/>
                <w:color w:val="auto"/>
                <w:sz w:val="24"/>
                <w:szCs w:val="24"/>
              </w:rPr>
              <w:t>，并</w:t>
            </w:r>
            <w:r>
              <w:rPr>
                <w:rFonts w:hint="eastAsia" w:cs="Times New Roman"/>
                <w:color w:val="auto"/>
                <w:sz w:val="24"/>
                <w:szCs w:val="24"/>
                <w:lang w:val="en-US" w:eastAsia="zh-CN"/>
              </w:rPr>
              <w:t>委托有资质固废处置单位</w:t>
            </w:r>
            <w:r>
              <w:rPr>
                <w:rFonts w:hint="default" w:ascii="Times New Roman" w:hAnsi="Times New Roman" w:eastAsia="宋体" w:cs="Times New Roman"/>
                <w:color w:val="auto"/>
                <w:sz w:val="24"/>
                <w:szCs w:val="24"/>
              </w:rPr>
              <w:t>统一清运、处理，实现无害化处置</w:t>
            </w:r>
            <w:r>
              <w:rPr>
                <w:rFonts w:hint="eastAsia"/>
                <w:lang w:val="en-US" w:eastAsia="zh-CN"/>
              </w:rPr>
              <w:t>。</w:t>
            </w:r>
          </w:p>
          <w:p w14:paraId="7F44016A">
            <w:pPr>
              <w:spacing w:before="15"/>
              <w:ind w:firstLine="470"/>
              <w:rPr>
                <w:rFonts w:cs="Times New Roman"/>
                <w:b/>
                <w:spacing w:val="-3"/>
              </w:rPr>
            </w:pPr>
            <w:r>
              <w:rPr>
                <w:rFonts w:cs="Times New Roman"/>
                <w:b/>
                <w:spacing w:val="-3"/>
              </w:rPr>
              <w:t>（3）危险废物</w:t>
            </w:r>
          </w:p>
          <w:p w14:paraId="51569D95">
            <w:pPr>
              <w:ind w:firstLine="480"/>
              <w:rPr>
                <w:rFonts w:hint="eastAsia" w:cs="Times New Roman"/>
                <w:lang w:val="en-US" w:eastAsia="zh-CN"/>
              </w:rPr>
            </w:pPr>
            <w:r>
              <w:rPr>
                <w:rFonts w:hint="eastAsia" w:cs="Times New Roman"/>
                <w:lang w:val="en-US" w:eastAsia="zh-CN"/>
              </w:rPr>
              <w:t>①S7废活性炭（布袋除尘器2#集尘）</w:t>
            </w:r>
          </w:p>
          <w:p w14:paraId="6D776B25">
            <w:pPr>
              <w:keepNext w:val="0"/>
              <w:keepLines w:val="0"/>
              <w:widowControl/>
              <w:suppressLineNumbers w:val="0"/>
              <w:jc w:val="left"/>
              <w:rPr>
                <w:rFonts w:hint="default" w:ascii="Times New Roman" w:hAnsi="Times New Roman" w:cs="Times New Roman"/>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本项目</w:t>
            </w:r>
            <w:r>
              <w:rPr>
                <w:rFonts w:hint="eastAsia" w:ascii="宋体" w:hAnsi="宋体" w:cs="宋体"/>
                <w:color w:val="000000"/>
                <w:kern w:val="0"/>
                <w:sz w:val="24"/>
                <w:szCs w:val="24"/>
                <w:lang w:val="en-US" w:eastAsia="zh-CN" w:bidi="ar"/>
              </w:rPr>
              <w:t>煅烧</w:t>
            </w:r>
            <w:r>
              <w:rPr>
                <w:rFonts w:hint="eastAsia" w:ascii="宋体" w:hAnsi="宋体" w:eastAsia="宋体" w:cs="宋体"/>
                <w:color w:val="000000"/>
                <w:kern w:val="0"/>
                <w:sz w:val="24"/>
                <w:szCs w:val="24"/>
                <w:lang w:val="en-US" w:eastAsia="zh-CN" w:bidi="ar"/>
              </w:rPr>
              <w:t>废气经旋风</w:t>
            </w:r>
            <w:r>
              <w:rPr>
                <w:rFonts w:hint="default" w:ascii="Times New Roman" w:hAnsi="Times New Roman" w:eastAsia="宋体" w:cs="Times New Roman"/>
                <w:color w:val="000000"/>
                <w:kern w:val="0"/>
                <w:sz w:val="24"/>
                <w:szCs w:val="24"/>
                <w:lang w:val="en-US" w:eastAsia="zh-CN" w:bidi="ar"/>
              </w:rPr>
              <w:t>除尘+</w:t>
            </w:r>
            <w:r>
              <w:rPr>
                <w:rFonts w:hint="default" w:ascii="Times New Roman" w:hAnsi="Times New Roman" w:cs="Times New Roman"/>
                <w:color w:val="000000"/>
                <w:kern w:val="0"/>
                <w:sz w:val="24"/>
                <w:szCs w:val="24"/>
                <w:lang w:val="en-US" w:eastAsia="zh-CN" w:bidi="ar"/>
              </w:rPr>
              <w:t>布袋除尘器1#+喷射活性炭+布袋除尘器2#+</w:t>
            </w:r>
            <w:r>
              <w:rPr>
                <w:rFonts w:hint="eastAsia" w:cs="Times New Roman"/>
                <w:color w:val="000000"/>
                <w:kern w:val="0"/>
                <w:sz w:val="24"/>
                <w:szCs w:val="24"/>
                <w:lang w:val="en-US" w:eastAsia="zh-CN" w:bidi="ar"/>
              </w:rPr>
              <w:t>3座脱酸塔</w:t>
            </w:r>
            <w:r>
              <w:rPr>
                <w:rFonts w:hint="default" w:ascii="Times New Roman" w:hAnsi="Times New Roman" w:eastAsia="宋体" w:cs="Times New Roman"/>
                <w:color w:val="000000"/>
                <w:kern w:val="0"/>
                <w:sz w:val="24"/>
                <w:szCs w:val="24"/>
                <w:lang w:val="en-US" w:eastAsia="zh-CN" w:bidi="ar"/>
              </w:rPr>
              <w:t>处理后排放。</w:t>
            </w:r>
            <w:r>
              <w:rPr>
                <w:rFonts w:hint="default" w:ascii="Times New Roman" w:hAnsi="Times New Roman" w:cs="Times New Roman"/>
                <w:color w:val="000000"/>
                <w:kern w:val="0"/>
                <w:sz w:val="24"/>
                <w:szCs w:val="24"/>
                <w:lang w:val="en-US" w:eastAsia="zh-CN" w:bidi="ar"/>
              </w:rPr>
              <w:t>布袋除尘器2#收集喷入的活性炭，定期清理，产生废活性炭。</w:t>
            </w:r>
          </w:p>
          <w:p w14:paraId="2650B331">
            <w:pPr>
              <w:keepNext w:val="0"/>
              <w:keepLines w:val="0"/>
              <w:widowControl/>
              <w:suppressLineNumbers w:val="0"/>
              <w:jc w:val="left"/>
              <w:rPr>
                <w:rFonts w:hint="default" w:ascii="宋体" w:hAnsi="宋体" w:eastAsia="宋体" w:cs="宋体"/>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根据废气章节计算，</w:t>
            </w:r>
            <w:r>
              <w:rPr>
                <w:rFonts w:hint="default" w:ascii="Times New Roman" w:hAnsi="Times New Roman" w:cs="Times New Roman"/>
                <w:color w:val="000000"/>
                <w:kern w:val="0"/>
                <w:sz w:val="24"/>
                <w:szCs w:val="24"/>
                <w:lang w:val="en-US" w:eastAsia="zh-CN" w:bidi="ar"/>
              </w:rPr>
              <w:t>收集到的废活性炭和少量布袋除尘器拦截的其他粉尘量</w:t>
            </w:r>
            <w:r>
              <w:rPr>
                <w:rFonts w:hint="default" w:ascii="Times New Roman" w:hAnsi="Times New Roman" w:eastAsia="宋体" w:cs="Times New Roman"/>
                <w:color w:val="000000"/>
                <w:kern w:val="0"/>
                <w:sz w:val="24"/>
                <w:szCs w:val="24"/>
                <w:lang w:val="en-US" w:eastAsia="zh-CN" w:bidi="ar"/>
              </w:rPr>
              <w:t>约</w:t>
            </w:r>
            <w:r>
              <w:rPr>
                <w:rFonts w:hint="default" w:ascii="Times New Roman" w:hAnsi="Times New Roman" w:cs="Times New Roman"/>
                <w:color w:val="000000"/>
                <w:kern w:val="0"/>
                <w:sz w:val="24"/>
                <w:szCs w:val="24"/>
                <w:lang w:val="en-US" w:eastAsia="zh-CN" w:bidi="ar"/>
              </w:rPr>
              <w:t>39.</w:t>
            </w:r>
            <w:r>
              <w:rPr>
                <w:rFonts w:hint="eastAsia" w:cs="Times New Roman"/>
                <w:color w:val="000000"/>
                <w:kern w:val="0"/>
                <w:sz w:val="24"/>
                <w:szCs w:val="24"/>
                <w:lang w:val="en-US" w:eastAsia="zh-CN" w:bidi="ar"/>
              </w:rPr>
              <w:t>6*99%+48.6298*(1-60%)*(1-99%)*0.99=39.3966t/a。</w:t>
            </w:r>
          </w:p>
          <w:p w14:paraId="39F29595">
            <w:pPr>
              <w:keepNext w:val="0"/>
              <w:keepLines w:val="0"/>
              <w:widowControl/>
              <w:suppressLineNumbers w:val="0"/>
              <w:jc w:val="left"/>
              <w:rPr>
                <w:rFonts w:cs="Times New Roman"/>
              </w:rPr>
            </w:pPr>
            <w:r>
              <w:rPr>
                <w:rFonts w:cs="Times New Roman"/>
              </w:rPr>
              <w:t>对照《国家危险废物名录（2025年版）》，</w:t>
            </w:r>
            <w:r>
              <w:rPr>
                <w:rFonts w:hint="eastAsia" w:cs="Times New Roman"/>
                <w:lang w:val="en-US" w:eastAsia="zh-CN"/>
              </w:rPr>
              <w:t>废活性炭</w:t>
            </w:r>
            <w:r>
              <w:rPr>
                <w:rFonts w:cs="Times New Roman"/>
              </w:rPr>
              <w:t>属HW</w:t>
            </w:r>
            <w:r>
              <w:rPr>
                <w:rFonts w:hint="eastAsia" w:cs="Times New Roman"/>
                <w:lang w:val="en-US" w:eastAsia="zh-CN"/>
              </w:rPr>
              <w:t>49</w:t>
            </w:r>
            <w:r>
              <w:rPr>
                <w:rFonts w:hint="eastAsia" w:cs="Times New Roman"/>
                <w:lang w:eastAsia="zh-CN"/>
              </w:rPr>
              <w:t>，</w:t>
            </w:r>
            <w:r>
              <w:rPr>
                <w:rFonts w:cs="Times New Roman"/>
              </w:rPr>
              <w:t>900-</w:t>
            </w:r>
            <w:r>
              <w:rPr>
                <w:rFonts w:hint="eastAsia" w:cs="Times New Roman"/>
                <w:lang w:val="en-US" w:eastAsia="zh-CN"/>
              </w:rPr>
              <w:t>039</w:t>
            </w:r>
            <w:r>
              <w:rPr>
                <w:rFonts w:cs="Times New Roman"/>
              </w:rPr>
              <w:t>-</w:t>
            </w:r>
            <w:r>
              <w:rPr>
                <w:rFonts w:hint="eastAsia" w:cs="Times New Roman"/>
                <w:lang w:val="en-US" w:eastAsia="zh-CN"/>
              </w:rPr>
              <w:t>49</w:t>
            </w:r>
            <w:r>
              <w:rPr>
                <w:rFonts w:hint="eastAsia" w:cs="Times New Roman"/>
                <w:lang w:eastAsia="zh-CN"/>
              </w:rPr>
              <w:t>“</w:t>
            </w:r>
            <w:r>
              <w:rPr>
                <w:rFonts w:hint="eastAsia" w:cs="Times New Roman"/>
                <w:lang w:val="en-US" w:eastAsia="zh-CN"/>
              </w:rPr>
              <w:t>烟气、VOCs治理过程（不包括餐饮行业油烟治理过程）产生的废活性炭，化学原料和化学制品脱色</w:t>
            </w:r>
            <w:r>
              <w:rPr>
                <w:rFonts w:hint="eastAsia" w:cs="Times New Roman"/>
                <w:lang w:eastAsia="zh-CN"/>
              </w:rPr>
              <w:t>”，</w:t>
            </w:r>
            <w:r>
              <w:rPr>
                <w:rFonts w:hint="eastAsia" w:cs="Times New Roman"/>
                <w:lang w:val="en-US" w:eastAsia="zh-CN"/>
              </w:rPr>
              <w:t>危险特性为</w:t>
            </w:r>
            <w:r>
              <w:rPr>
                <w:rFonts w:hint="default" w:ascii="Times New Roman" w:hAnsi="Times New Roman" w:eastAsia="宋体" w:cs="Times New Roman"/>
                <w:color w:val="000000"/>
                <w:kern w:val="0"/>
                <w:sz w:val="24"/>
                <w:szCs w:val="24"/>
                <w:lang w:val="en-US" w:eastAsia="zh-CN" w:bidi="ar"/>
              </w:rPr>
              <w:t>T</w:t>
            </w:r>
            <w:r>
              <w:rPr>
                <w:rFonts w:cs="Times New Roman"/>
              </w:rPr>
              <w:t>。废</w:t>
            </w:r>
            <w:r>
              <w:rPr>
                <w:rFonts w:hint="eastAsia" w:cs="Times New Roman"/>
                <w:lang w:val="en-US" w:eastAsia="zh-CN"/>
              </w:rPr>
              <w:t>活性炭采用密封袋装</w:t>
            </w:r>
            <w:r>
              <w:rPr>
                <w:rFonts w:cs="Times New Roman"/>
                <w:kern w:val="0"/>
                <w:szCs w:val="24"/>
              </w:rPr>
              <w:t>于危险废物暂存间暂存，定期交由有资质单位及时清运处置。</w:t>
            </w:r>
          </w:p>
          <w:p w14:paraId="37189180">
            <w:pPr>
              <w:ind w:firstLine="480"/>
              <w:rPr>
                <w:rFonts w:hint="default" w:eastAsia="宋体" w:cs="Times New Roman"/>
                <w:lang w:val="en-US" w:eastAsia="zh-CN"/>
              </w:rPr>
            </w:pPr>
            <w:r>
              <w:rPr>
                <w:rFonts w:hint="eastAsia" w:cs="Times New Roman"/>
                <w:lang w:val="en-US" w:eastAsia="zh-CN"/>
              </w:rPr>
              <w:t>②S8废液压油</w:t>
            </w:r>
          </w:p>
          <w:p w14:paraId="0FB2FC56">
            <w:pPr>
              <w:autoSpaceDE w:val="0"/>
              <w:autoSpaceDN w:val="0"/>
              <w:adjustRightInd w:val="0"/>
              <w:ind w:firstLine="480"/>
              <w:rPr>
                <w:rFonts w:hint="default" w:cs="Times New Roman"/>
                <w:lang w:val="en-US" w:eastAsia="zh-CN"/>
              </w:rPr>
            </w:pPr>
            <w:r>
              <w:rPr>
                <w:rFonts w:cs="Times New Roman"/>
              </w:rPr>
              <w:t>项目</w:t>
            </w:r>
            <w:r>
              <w:rPr>
                <w:rFonts w:hint="eastAsia" w:cs="Times New Roman"/>
                <w:lang w:val="en-US" w:eastAsia="zh-CN"/>
              </w:rPr>
              <w:t>免烧砌块静压机使用液压油，预处理过程高压压滤机使用液压油。液压油需要定期更换，保障设备正常运行。液压油更换频次约1次/年，单次更换量约400L（重量约0.34t），则废液压油产生量为</w:t>
            </w:r>
            <w:r>
              <w:rPr>
                <w:rFonts w:cs="Times New Roman"/>
              </w:rPr>
              <w:t>0.</w:t>
            </w:r>
            <w:r>
              <w:rPr>
                <w:rFonts w:hint="eastAsia" w:cs="Times New Roman"/>
                <w:lang w:val="en-US" w:eastAsia="zh-CN"/>
              </w:rPr>
              <w:t>34</w:t>
            </w:r>
            <w:r>
              <w:rPr>
                <w:rFonts w:cs="Times New Roman"/>
              </w:rPr>
              <w:t>t/a</w:t>
            </w:r>
            <w:r>
              <w:rPr>
                <w:rFonts w:hint="eastAsia" w:cs="Times New Roman"/>
                <w:lang w:eastAsia="zh-CN"/>
              </w:rPr>
              <w:t>。</w:t>
            </w:r>
            <w:r>
              <w:rPr>
                <w:rFonts w:hint="eastAsia" w:cs="Times New Roman"/>
                <w:lang w:val="en-US" w:eastAsia="zh-CN"/>
              </w:rPr>
              <w:t>液压油不在厂内储存，每年由设备厂家进行更换，更换产生废液压油。</w:t>
            </w:r>
          </w:p>
          <w:p w14:paraId="1F631019">
            <w:pPr>
              <w:autoSpaceDE w:val="0"/>
              <w:autoSpaceDN w:val="0"/>
              <w:adjustRightInd w:val="0"/>
              <w:ind w:firstLine="480"/>
              <w:rPr>
                <w:rFonts w:cs="Times New Roman"/>
              </w:rPr>
            </w:pPr>
            <w:r>
              <w:rPr>
                <w:rFonts w:cs="Times New Roman"/>
              </w:rPr>
              <w:t>对照《国家危险废物名录（2025年版）》，废液压油属HW08</w:t>
            </w:r>
            <w:r>
              <w:rPr>
                <w:rFonts w:hint="eastAsia" w:cs="Times New Roman"/>
                <w:lang w:eastAsia="zh-CN"/>
              </w:rPr>
              <w:t>，</w:t>
            </w:r>
            <w:r>
              <w:rPr>
                <w:rFonts w:cs="Times New Roman"/>
              </w:rPr>
              <w:t>900-218-0</w:t>
            </w:r>
            <w:r>
              <w:rPr>
                <w:rFonts w:hint="eastAsia" w:ascii="宋体" w:hAnsi="宋体" w:eastAsia="宋体" w:cs="宋体"/>
              </w:rPr>
              <w:t>8 “</w:t>
            </w:r>
            <w:r>
              <w:rPr>
                <w:rFonts w:cs="Times New Roman"/>
              </w:rPr>
              <w:t>液压设备维护、更换和拆解过程中产生的废液压</w:t>
            </w:r>
            <w:r>
              <w:rPr>
                <w:rFonts w:hint="eastAsia" w:ascii="宋体" w:hAnsi="宋体" w:eastAsia="宋体" w:cs="宋体"/>
              </w:rPr>
              <w:t>油”</w:t>
            </w:r>
            <w:r>
              <w:rPr>
                <w:rFonts w:hint="eastAsia" w:ascii="宋体" w:hAnsi="宋体" w:eastAsia="宋体" w:cs="宋体"/>
                <w:lang w:eastAsia="zh-CN"/>
              </w:rPr>
              <w:t>，</w:t>
            </w:r>
            <w:r>
              <w:rPr>
                <w:rFonts w:hint="eastAsia" w:cs="Times New Roman"/>
                <w:lang w:val="en-US" w:eastAsia="zh-CN"/>
              </w:rPr>
              <w:t>危险特性为</w:t>
            </w:r>
            <w:r>
              <w:rPr>
                <w:rFonts w:hint="default" w:ascii="Times New Roman" w:hAnsi="Times New Roman" w:eastAsia="宋体" w:cs="Times New Roman"/>
                <w:color w:val="000000"/>
                <w:kern w:val="0"/>
                <w:sz w:val="24"/>
                <w:szCs w:val="24"/>
                <w:lang w:val="en-US" w:eastAsia="zh-CN" w:bidi="ar"/>
              </w:rPr>
              <w:t>T</w:t>
            </w:r>
            <w:r>
              <w:rPr>
                <w:rFonts w:hint="eastAsia" w:ascii="宋体" w:hAnsi="宋体" w:eastAsia="宋体" w:cs="宋体"/>
                <w:color w:val="000000"/>
                <w:kern w:val="0"/>
                <w:sz w:val="24"/>
                <w:szCs w:val="24"/>
                <w:lang w:val="en-US" w:eastAsia="zh-CN" w:bidi="ar"/>
              </w:rPr>
              <w:t>，</w:t>
            </w:r>
            <w:r>
              <w:rPr>
                <w:rFonts w:hint="default" w:ascii="Times New Roman" w:hAnsi="Times New Roman" w:eastAsia="宋体" w:cs="Times New Roman"/>
                <w:color w:val="000000"/>
                <w:kern w:val="0"/>
                <w:sz w:val="24"/>
                <w:szCs w:val="24"/>
                <w:lang w:val="en-US" w:eastAsia="zh-CN" w:bidi="ar"/>
              </w:rPr>
              <w:t>I</w:t>
            </w:r>
            <w:r>
              <w:rPr>
                <w:rFonts w:cs="Times New Roman"/>
              </w:rPr>
              <w:t>。</w:t>
            </w:r>
          </w:p>
          <w:p w14:paraId="49079603">
            <w:pPr>
              <w:spacing w:before="15"/>
              <w:ind w:firstLine="504"/>
              <w:rPr>
                <w:rFonts w:hint="default" w:eastAsia="宋体" w:cs="Times New Roman"/>
                <w:spacing w:val="6"/>
                <w:lang w:val="en-US" w:eastAsia="zh-CN"/>
              </w:rPr>
            </w:pPr>
            <w:r>
              <w:rPr>
                <w:rFonts w:hint="default" w:ascii="Times New Roman" w:hAnsi="Times New Roman" w:cs="Times New Roman"/>
                <w:spacing w:val="6"/>
                <w:lang w:val="en-US" w:eastAsia="zh-CN"/>
              </w:rPr>
              <w:t>③S9废</w:t>
            </w:r>
            <w:r>
              <w:rPr>
                <w:rFonts w:hint="eastAsia" w:ascii="宋体" w:hAnsi="宋体" w:cs="宋体"/>
                <w:spacing w:val="6"/>
                <w:lang w:val="en-US" w:eastAsia="zh-CN"/>
              </w:rPr>
              <w:t>机油</w:t>
            </w:r>
          </w:p>
          <w:p w14:paraId="1B6041BF">
            <w:pPr>
              <w:keepNext w:val="0"/>
              <w:keepLines w:val="0"/>
              <w:widowControl/>
              <w:suppressLineNumbers w:val="0"/>
              <w:jc w:val="left"/>
            </w:pPr>
            <w:r>
              <w:rPr>
                <w:rFonts w:hint="eastAsia" w:ascii="宋体" w:hAnsi="宋体" w:eastAsia="宋体" w:cs="宋体"/>
                <w:color w:val="000000"/>
                <w:kern w:val="0"/>
                <w:sz w:val="24"/>
                <w:szCs w:val="24"/>
                <w:lang w:val="en-US" w:eastAsia="zh-CN" w:bidi="ar"/>
              </w:rPr>
              <w:t>厂区定期对设备进行检修及维护，检修及维护过程会产生少量废机油，约</w:t>
            </w:r>
            <w:r>
              <w:rPr>
                <w:rFonts w:hint="default" w:ascii="Times New Roman" w:hAnsi="Times New Roman" w:eastAsia="宋体" w:cs="Times New Roman"/>
                <w:color w:val="000000"/>
                <w:kern w:val="0"/>
                <w:sz w:val="24"/>
                <w:szCs w:val="24"/>
                <w:lang w:val="en-US" w:eastAsia="zh-CN" w:bidi="ar"/>
              </w:rPr>
              <w:t>0.</w:t>
            </w:r>
            <w:r>
              <w:rPr>
                <w:rFonts w:hint="eastAsia" w:cs="Times New Roman"/>
                <w:color w:val="000000"/>
                <w:kern w:val="0"/>
                <w:sz w:val="24"/>
                <w:szCs w:val="24"/>
                <w:lang w:val="en-US" w:eastAsia="zh-CN" w:bidi="ar"/>
              </w:rPr>
              <w:t>4</w:t>
            </w:r>
            <w:r>
              <w:rPr>
                <w:rFonts w:hint="default" w:ascii="Times New Roman" w:hAnsi="Times New Roman" w:eastAsia="宋体" w:cs="Times New Roman"/>
                <w:color w:val="000000"/>
                <w:kern w:val="0"/>
                <w:sz w:val="24"/>
                <w:szCs w:val="24"/>
                <w:lang w:val="en-US" w:eastAsia="zh-CN" w:bidi="ar"/>
              </w:rPr>
              <w:t>t</w:t>
            </w:r>
            <w:r>
              <w:rPr>
                <w:rFonts w:hint="eastAsia" w:ascii="宋体" w:hAnsi="宋体" w:eastAsia="宋体" w:cs="宋体"/>
                <w:color w:val="000000"/>
                <w:kern w:val="0"/>
                <w:sz w:val="24"/>
                <w:szCs w:val="24"/>
                <w:lang w:val="en-US" w:eastAsia="zh-CN" w:bidi="ar"/>
              </w:rPr>
              <w:t>。根据《国家危险废物名录（</w:t>
            </w:r>
            <w:r>
              <w:rPr>
                <w:rFonts w:hint="default" w:ascii="Times New Roman" w:hAnsi="Times New Roman" w:eastAsia="宋体" w:cs="Times New Roman"/>
                <w:color w:val="000000"/>
                <w:kern w:val="0"/>
                <w:sz w:val="24"/>
                <w:szCs w:val="24"/>
                <w:lang w:val="en-US" w:eastAsia="zh-CN" w:bidi="ar"/>
              </w:rPr>
              <w:t>202</w:t>
            </w:r>
            <w:r>
              <w:rPr>
                <w:rFonts w:hint="eastAsia" w:ascii="Times New Roman" w:hAnsi="Times New Roman" w:eastAsia="宋体" w:cs="Times New Roman"/>
                <w:color w:val="000000"/>
                <w:kern w:val="0"/>
                <w:sz w:val="24"/>
                <w:szCs w:val="24"/>
                <w:lang w:val="en-US" w:eastAsia="zh-CN" w:bidi="ar"/>
              </w:rPr>
              <w:t>5</w:t>
            </w:r>
            <w:r>
              <w:rPr>
                <w:rFonts w:hint="eastAsia" w:ascii="宋体" w:hAnsi="宋体" w:eastAsia="宋体" w:cs="宋体"/>
                <w:color w:val="000000"/>
                <w:kern w:val="0"/>
                <w:sz w:val="24"/>
                <w:szCs w:val="24"/>
                <w:lang w:val="en-US" w:eastAsia="zh-CN" w:bidi="ar"/>
              </w:rPr>
              <w:t>年版）》规定，废机油属于</w:t>
            </w:r>
            <w:r>
              <w:rPr>
                <w:rFonts w:hint="default" w:ascii="Times New Roman" w:hAnsi="Times New Roman" w:eastAsia="宋体" w:cs="Times New Roman"/>
                <w:color w:val="000000"/>
                <w:kern w:val="0"/>
                <w:sz w:val="24"/>
                <w:szCs w:val="24"/>
                <w:lang w:val="en-US" w:eastAsia="zh-CN" w:bidi="ar"/>
              </w:rPr>
              <w:t>HW08</w:t>
            </w:r>
            <w:r>
              <w:rPr>
                <w:rFonts w:hint="eastAsia" w:ascii="Times New Roman" w:hAnsi="Times New Roman" w:eastAsia="宋体" w:cs="Times New Roman"/>
                <w:color w:val="000000"/>
                <w:kern w:val="0"/>
                <w:sz w:val="24"/>
                <w:szCs w:val="24"/>
                <w:lang w:val="en-US" w:eastAsia="zh-CN" w:bidi="ar"/>
              </w:rPr>
              <w:t>，</w:t>
            </w:r>
            <w:r>
              <w:rPr>
                <w:rFonts w:hint="default" w:ascii="Times New Roman" w:hAnsi="Times New Roman" w:eastAsia="宋体" w:cs="Times New Roman"/>
                <w:color w:val="000000"/>
                <w:kern w:val="0"/>
                <w:sz w:val="24"/>
                <w:szCs w:val="24"/>
                <w:lang w:val="en-US" w:eastAsia="zh-CN" w:bidi="ar"/>
              </w:rPr>
              <w:t>900-214-08</w:t>
            </w:r>
            <w:r>
              <w:rPr>
                <w:rFonts w:hint="eastAsia" w:ascii="宋体" w:hAnsi="宋体" w:eastAsia="宋体" w:cs="宋体"/>
                <w:color w:val="000000"/>
                <w:kern w:val="0"/>
                <w:sz w:val="24"/>
                <w:szCs w:val="24"/>
                <w:lang w:val="en-US" w:eastAsia="zh-CN" w:bidi="ar"/>
              </w:rPr>
              <w:t>，</w:t>
            </w:r>
            <w:r>
              <w:rPr>
                <w:rFonts w:cs="Times New Roman"/>
              </w:rPr>
              <w:t>“</w:t>
            </w:r>
            <w:r>
              <w:rPr>
                <w:rFonts w:ascii="宋体" w:hAnsi="宋体" w:eastAsia="宋体" w:cs="宋体"/>
                <w:sz w:val="24"/>
                <w:szCs w:val="24"/>
              </w:rPr>
              <w:t>车辆、轮船及其它机械维修过程中产生的废发动机油、制动器油、自动变速器油、齿轮油等废润滑油</w:t>
            </w:r>
            <w:r>
              <w:rPr>
                <w:rFonts w:cs="Times New Roman"/>
              </w:rPr>
              <w:t>”</w:t>
            </w:r>
            <w:r>
              <w:rPr>
                <w:rFonts w:hint="eastAsia" w:cs="Times New Roman"/>
                <w:lang w:eastAsia="zh-CN"/>
              </w:rPr>
              <w:t>，</w:t>
            </w:r>
            <w:r>
              <w:rPr>
                <w:rFonts w:hint="eastAsia" w:ascii="宋体" w:hAnsi="宋体" w:eastAsia="宋体" w:cs="宋体"/>
                <w:color w:val="000000"/>
                <w:kern w:val="0"/>
                <w:sz w:val="24"/>
                <w:szCs w:val="24"/>
                <w:lang w:val="en-US" w:eastAsia="zh-CN" w:bidi="ar"/>
              </w:rPr>
              <w:t>危险特性为</w:t>
            </w:r>
            <w:r>
              <w:rPr>
                <w:rFonts w:hint="default" w:ascii="Times New Roman" w:hAnsi="Times New Roman" w:eastAsia="宋体" w:cs="Times New Roman"/>
                <w:color w:val="000000"/>
                <w:kern w:val="0"/>
                <w:sz w:val="24"/>
                <w:szCs w:val="24"/>
                <w:lang w:val="en-US" w:eastAsia="zh-CN" w:bidi="ar"/>
              </w:rPr>
              <w:t>T</w:t>
            </w:r>
            <w:r>
              <w:rPr>
                <w:rFonts w:hint="eastAsia" w:ascii="宋体" w:hAnsi="宋体" w:eastAsia="宋体" w:cs="宋体"/>
                <w:color w:val="000000"/>
                <w:kern w:val="0"/>
                <w:sz w:val="24"/>
                <w:szCs w:val="24"/>
                <w:lang w:val="en-US" w:eastAsia="zh-CN" w:bidi="ar"/>
              </w:rPr>
              <w:t>，</w:t>
            </w:r>
            <w:r>
              <w:rPr>
                <w:rFonts w:hint="default" w:ascii="Times New Roman" w:hAnsi="Times New Roman" w:eastAsia="宋体" w:cs="Times New Roman"/>
                <w:color w:val="000000"/>
                <w:kern w:val="0"/>
                <w:sz w:val="24"/>
                <w:szCs w:val="24"/>
                <w:lang w:val="en-US" w:eastAsia="zh-CN" w:bidi="ar"/>
              </w:rPr>
              <w:t>I</w:t>
            </w:r>
            <w:r>
              <w:rPr>
                <w:rFonts w:hint="eastAsia" w:ascii="宋体" w:hAnsi="宋体" w:eastAsia="宋体" w:cs="宋体"/>
                <w:color w:val="000000"/>
                <w:kern w:val="0"/>
                <w:sz w:val="24"/>
                <w:szCs w:val="24"/>
                <w:lang w:val="en-US" w:eastAsia="zh-CN" w:bidi="ar"/>
              </w:rPr>
              <w:t>，废机油暂存在危废暂存间，定期交由资质单位处理。</w:t>
            </w:r>
          </w:p>
          <w:p w14:paraId="54318777">
            <w:pPr>
              <w:ind w:firstLine="504"/>
              <w:rPr>
                <w:rFonts w:hint="default" w:eastAsia="宋体" w:cs="Times New Roman"/>
                <w:spacing w:val="6"/>
                <w:lang w:val="en-US" w:eastAsia="zh-CN"/>
              </w:rPr>
            </w:pPr>
            <w:r>
              <w:rPr>
                <w:rFonts w:hint="eastAsia" w:ascii="宋体" w:hAnsi="宋体" w:cs="宋体"/>
                <w:spacing w:val="6"/>
                <w:lang w:val="en-US" w:eastAsia="zh-CN"/>
              </w:rPr>
              <w:t>④</w:t>
            </w:r>
            <w:r>
              <w:rPr>
                <w:rFonts w:hint="eastAsia" w:cs="Times New Roman"/>
                <w:spacing w:val="6"/>
                <w:lang w:val="en-US" w:eastAsia="zh-CN"/>
              </w:rPr>
              <w:t>S10废机油桶</w:t>
            </w:r>
          </w:p>
          <w:p w14:paraId="32E76ACF">
            <w:pPr>
              <w:keepNext w:val="0"/>
              <w:keepLines w:val="0"/>
              <w:widowControl/>
              <w:suppressLineNumbers w:val="0"/>
              <w:jc w:val="left"/>
            </w:pPr>
            <w:r>
              <w:rPr>
                <w:rFonts w:hint="eastAsia" w:ascii="宋体" w:hAnsi="宋体" w:eastAsia="宋体" w:cs="宋体"/>
                <w:color w:val="000000"/>
                <w:kern w:val="0"/>
                <w:sz w:val="24"/>
                <w:szCs w:val="24"/>
                <w:lang w:val="en-US" w:eastAsia="zh-CN" w:bidi="ar"/>
              </w:rPr>
              <w:t>废机油桶主要为机油包装桶，其产生量约</w:t>
            </w:r>
            <w:r>
              <w:rPr>
                <w:rFonts w:hint="eastAsia" w:cs="Times New Roman"/>
                <w:color w:val="000000"/>
                <w:kern w:val="0"/>
                <w:sz w:val="24"/>
                <w:szCs w:val="24"/>
                <w:lang w:val="en-US" w:eastAsia="zh-CN" w:bidi="ar"/>
              </w:rPr>
              <w:t>8</w:t>
            </w:r>
            <w:r>
              <w:rPr>
                <w:rFonts w:hint="eastAsia" w:ascii="宋体" w:hAnsi="宋体" w:eastAsia="宋体" w:cs="宋体"/>
                <w:color w:val="000000"/>
                <w:kern w:val="0"/>
                <w:sz w:val="24"/>
                <w:szCs w:val="24"/>
                <w:lang w:val="en-US" w:eastAsia="zh-CN" w:bidi="ar"/>
              </w:rPr>
              <w:t>个</w:t>
            </w:r>
            <w:r>
              <w:rPr>
                <w:rFonts w:hint="default" w:ascii="Times New Roman" w:hAnsi="Times New Roman" w:eastAsia="宋体" w:cs="Times New Roman"/>
                <w:color w:val="000000"/>
                <w:kern w:val="0"/>
                <w:sz w:val="24"/>
                <w:szCs w:val="24"/>
                <w:lang w:val="en-US" w:eastAsia="zh-CN" w:bidi="ar"/>
              </w:rPr>
              <w:t>/a</w:t>
            </w:r>
            <w:r>
              <w:rPr>
                <w:rFonts w:hint="eastAsia" w:ascii="宋体" w:hAnsi="宋体" w:eastAsia="宋体" w:cs="宋体"/>
                <w:color w:val="000000"/>
                <w:kern w:val="0"/>
                <w:sz w:val="24"/>
                <w:szCs w:val="24"/>
                <w:lang w:val="en-US" w:eastAsia="zh-CN" w:bidi="ar"/>
              </w:rPr>
              <w:t>，单个质量约</w:t>
            </w:r>
            <w:r>
              <w:rPr>
                <w:rFonts w:hint="eastAsia" w:cs="Times New Roman"/>
                <w:color w:val="000000"/>
                <w:kern w:val="0"/>
                <w:sz w:val="24"/>
                <w:szCs w:val="24"/>
                <w:lang w:val="en-US" w:eastAsia="zh-CN" w:bidi="ar"/>
              </w:rPr>
              <w:t>2.5</w:t>
            </w:r>
            <w:r>
              <w:rPr>
                <w:rFonts w:hint="default" w:ascii="Times New Roman" w:hAnsi="Times New Roman" w:eastAsia="宋体" w:cs="Times New Roman"/>
                <w:color w:val="000000"/>
                <w:kern w:val="0"/>
                <w:sz w:val="24"/>
                <w:szCs w:val="24"/>
                <w:lang w:val="en-US" w:eastAsia="zh-CN" w:bidi="ar"/>
              </w:rPr>
              <w:t>kg</w:t>
            </w:r>
            <w:r>
              <w:rPr>
                <w:rFonts w:hint="eastAsia" w:ascii="宋体" w:hAnsi="宋体" w:eastAsia="宋体" w:cs="宋体"/>
                <w:color w:val="000000"/>
                <w:kern w:val="0"/>
                <w:sz w:val="24"/>
                <w:szCs w:val="24"/>
                <w:lang w:val="en-US" w:eastAsia="zh-CN" w:bidi="ar"/>
              </w:rPr>
              <w:t>，则年产生量为</w:t>
            </w:r>
            <w:r>
              <w:rPr>
                <w:rFonts w:hint="default" w:ascii="Times New Roman" w:hAnsi="Times New Roman" w:eastAsia="宋体" w:cs="Times New Roman"/>
                <w:color w:val="000000"/>
                <w:kern w:val="0"/>
                <w:sz w:val="24"/>
                <w:szCs w:val="24"/>
                <w:lang w:val="en-US" w:eastAsia="zh-CN" w:bidi="ar"/>
              </w:rPr>
              <w:t>0.0</w:t>
            </w:r>
            <w:r>
              <w:rPr>
                <w:rFonts w:hint="eastAsia" w:cs="Times New Roman"/>
                <w:color w:val="000000"/>
                <w:kern w:val="0"/>
                <w:sz w:val="24"/>
                <w:szCs w:val="24"/>
                <w:lang w:val="en-US" w:eastAsia="zh-CN" w:bidi="ar"/>
              </w:rPr>
              <w:t>2</w:t>
            </w:r>
            <w:r>
              <w:rPr>
                <w:rFonts w:hint="default" w:ascii="Times New Roman" w:hAnsi="Times New Roman" w:eastAsia="宋体" w:cs="Times New Roman"/>
                <w:color w:val="000000"/>
                <w:kern w:val="0"/>
                <w:sz w:val="24"/>
                <w:szCs w:val="24"/>
                <w:lang w:val="en-US" w:eastAsia="zh-CN" w:bidi="ar"/>
              </w:rPr>
              <w:t>t/a</w:t>
            </w:r>
            <w:r>
              <w:rPr>
                <w:rFonts w:hint="eastAsia" w:ascii="宋体" w:hAnsi="宋体" w:eastAsia="宋体" w:cs="宋体"/>
                <w:color w:val="000000"/>
                <w:kern w:val="0"/>
                <w:sz w:val="24"/>
                <w:szCs w:val="24"/>
                <w:lang w:val="en-US" w:eastAsia="zh-CN" w:bidi="ar"/>
              </w:rPr>
              <w:t>。根据《国家危险废物名录（</w:t>
            </w:r>
            <w:r>
              <w:rPr>
                <w:rFonts w:hint="default" w:ascii="Times New Roman" w:hAnsi="Times New Roman" w:eastAsia="宋体" w:cs="Times New Roman"/>
                <w:color w:val="000000"/>
                <w:kern w:val="0"/>
                <w:sz w:val="24"/>
                <w:szCs w:val="24"/>
                <w:lang w:val="en-US" w:eastAsia="zh-CN" w:bidi="ar"/>
              </w:rPr>
              <w:t>202</w:t>
            </w:r>
            <w:r>
              <w:rPr>
                <w:rFonts w:hint="eastAsia" w:ascii="Times New Roman" w:hAnsi="Times New Roman" w:eastAsia="宋体" w:cs="Times New Roman"/>
                <w:color w:val="000000"/>
                <w:kern w:val="0"/>
                <w:sz w:val="24"/>
                <w:szCs w:val="24"/>
                <w:lang w:val="en-US" w:eastAsia="zh-CN" w:bidi="ar"/>
              </w:rPr>
              <w:t>5</w:t>
            </w:r>
            <w:r>
              <w:rPr>
                <w:rFonts w:hint="eastAsia" w:ascii="宋体" w:hAnsi="宋体" w:eastAsia="宋体" w:cs="宋体"/>
                <w:color w:val="000000"/>
                <w:kern w:val="0"/>
                <w:sz w:val="24"/>
                <w:szCs w:val="24"/>
                <w:lang w:val="en-US" w:eastAsia="zh-CN" w:bidi="ar"/>
              </w:rPr>
              <w:t>年版）》，废机油桶属于</w:t>
            </w:r>
            <w:r>
              <w:rPr>
                <w:rFonts w:hint="default" w:ascii="Times New Roman" w:hAnsi="Times New Roman" w:eastAsia="宋体" w:cs="Times New Roman"/>
                <w:color w:val="000000"/>
                <w:kern w:val="0"/>
                <w:sz w:val="24"/>
                <w:szCs w:val="24"/>
                <w:lang w:val="en-US" w:eastAsia="zh-CN" w:bidi="ar"/>
              </w:rPr>
              <w:t>HW08</w:t>
            </w:r>
            <w:r>
              <w:rPr>
                <w:rFonts w:hint="eastAsia" w:ascii="Times New Roman" w:hAnsi="Times New Roman" w:eastAsia="宋体" w:cs="Times New Roman"/>
                <w:color w:val="000000"/>
                <w:kern w:val="0"/>
                <w:sz w:val="24"/>
                <w:szCs w:val="24"/>
                <w:lang w:val="en-US" w:eastAsia="zh-CN" w:bidi="ar"/>
              </w:rPr>
              <w:t>，</w:t>
            </w:r>
            <w:r>
              <w:rPr>
                <w:rFonts w:hint="default" w:ascii="Times New Roman" w:hAnsi="Times New Roman" w:eastAsia="宋体" w:cs="Times New Roman"/>
                <w:color w:val="000000"/>
                <w:kern w:val="0"/>
                <w:sz w:val="24"/>
                <w:szCs w:val="24"/>
                <w:lang w:val="en-US" w:eastAsia="zh-CN" w:bidi="ar"/>
              </w:rPr>
              <w:t>900-249-08</w:t>
            </w:r>
            <w:r>
              <w:rPr>
                <w:rFonts w:hint="eastAsia" w:ascii="Times New Roman" w:hAnsi="Times New Roman" w:eastAsia="宋体" w:cs="Times New Roman"/>
                <w:color w:val="000000"/>
                <w:kern w:val="0"/>
                <w:sz w:val="24"/>
                <w:szCs w:val="24"/>
                <w:lang w:val="en-US" w:eastAsia="zh-CN" w:bidi="ar"/>
              </w:rPr>
              <w:t>“</w:t>
            </w:r>
            <w:r>
              <w:rPr>
                <w:rFonts w:ascii="宋体" w:hAnsi="宋体" w:eastAsia="宋体" w:cs="宋体"/>
                <w:sz w:val="24"/>
                <w:szCs w:val="24"/>
              </w:rPr>
              <w:t>其他生产、销售、使用过程中产生的废矿物油及沾染矿物油的废弃包装物</w:t>
            </w:r>
            <w:r>
              <w:rPr>
                <w:rFonts w:hint="eastAsia" w:ascii="Times New Roman" w:hAnsi="Times New Roman" w:eastAsia="宋体" w:cs="Times New Roman"/>
                <w:color w:val="000000"/>
                <w:kern w:val="0"/>
                <w:sz w:val="24"/>
                <w:szCs w:val="24"/>
                <w:lang w:val="en-US" w:eastAsia="zh-CN" w:bidi="ar"/>
              </w:rPr>
              <w:t>”</w:t>
            </w:r>
            <w:r>
              <w:rPr>
                <w:rFonts w:hint="eastAsia" w:ascii="宋体" w:hAnsi="宋体" w:eastAsia="宋体" w:cs="宋体"/>
                <w:color w:val="000000"/>
                <w:kern w:val="0"/>
                <w:sz w:val="24"/>
                <w:szCs w:val="24"/>
                <w:lang w:val="en-US" w:eastAsia="zh-CN" w:bidi="ar"/>
              </w:rPr>
              <w:t>，危险特性为</w:t>
            </w:r>
            <w:r>
              <w:rPr>
                <w:rFonts w:hint="default" w:ascii="Times New Roman" w:hAnsi="Times New Roman" w:eastAsia="宋体" w:cs="Times New Roman"/>
                <w:color w:val="000000"/>
                <w:kern w:val="0"/>
                <w:sz w:val="24"/>
                <w:szCs w:val="24"/>
                <w:lang w:val="en-US" w:eastAsia="zh-CN" w:bidi="ar"/>
              </w:rPr>
              <w:t>T</w:t>
            </w:r>
            <w:r>
              <w:rPr>
                <w:rFonts w:hint="eastAsia" w:ascii="宋体" w:hAnsi="宋体" w:eastAsia="宋体" w:cs="宋体"/>
                <w:color w:val="000000"/>
                <w:kern w:val="0"/>
                <w:sz w:val="24"/>
                <w:szCs w:val="24"/>
                <w:lang w:val="en-US" w:eastAsia="zh-CN" w:bidi="ar"/>
              </w:rPr>
              <w:t>，</w:t>
            </w:r>
            <w:r>
              <w:rPr>
                <w:rFonts w:hint="default" w:ascii="Times New Roman" w:hAnsi="Times New Roman" w:eastAsia="宋体" w:cs="Times New Roman"/>
                <w:color w:val="000000"/>
                <w:kern w:val="0"/>
                <w:sz w:val="24"/>
                <w:szCs w:val="24"/>
                <w:lang w:val="en-US" w:eastAsia="zh-CN" w:bidi="ar"/>
              </w:rPr>
              <w:t>I</w:t>
            </w:r>
            <w:r>
              <w:rPr>
                <w:rFonts w:hint="eastAsia" w:ascii="宋体" w:hAnsi="宋体" w:eastAsia="宋体" w:cs="宋体"/>
                <w:color w:val="000000"/>
                <w:kern w:val="0"/>
                <w:sz w:val="24"/>
                <w:szCs w:val="24"/>
                <w:lang w:val="en-US" w:eastAsia="zh-CN" w:bidi="ar"/>
              </w:rPr>
              <w:t>，废机油暂存在危废暂存间，定期交由资质单位处理。</w:t>
            </w:r>
          </w:p>
          <w:p w14:paraId="3EBA1A0B">
            <w:pPr>
              <w:spacing w:before="15"/>
              <w:ind w:firstLine="504"/>
              <w:rPr>
                <w:rFonts w:hint="default" w:ascii="Times New Roman" w:hAnsi="Times New Roman" w:cs="Times New Roman"/>
                <w:spacing w:val="6"/>
                <w:lang w:val="en-US" w:eastAsia="zh-CN"/>
              </w:rPr>
            </w:pPr>
            <w:r>
              <w:rPr>
                <w:rFonts w:hint="default" w:ascii="Times New Roman" w:hAnsi="Times New Roman" w:cs="Times New Roman"/>
                <w:spacing w:val="6"/>
                <w:lang w:val="en-US" w:eastAsia="zh-CN"/>
              </w:rPr>
              <w:t>⑤S11沾油废物</w:t>
            </w:r>
          </w:p>
          <w:p w14:paraId="4052E304">
            <w:pPr>
              <w:keepNext w:val="0"/>
              <w:keepLines w:val="0"/>
              <w:widowControl/>
              <w:suppressLineNumbers w:val="0"/>
              <w:jc w:val="left"/>
            </w:pPr>
            <w:r>
              <w:rPr>
                <w:rFonts w:hint="eastAsia" w:ascii="宋体" w:hAnsi="宋体" w:eastAsia="宋体" w:cs="宋体"/>
                <w:color w:val="000000"/>
                <w:kern w:val="0"/>
                <w:sz w:val="24"/>
                <w:szCs w:val="24"/>
                <w:lang w:val="en-US" w:eastAsia="zh-CN" w:bidi="ar"/>
              </w:rPr>
              <w:t>厂区在运营过程中将对设备进行检修、润滑，过程中会产生被油污污染的抹布纱、手套，产生量为</w:t>
            </w:r>
            <w:r>
              <w:rPr>
                <w:rFonts w:hint="default" w:ascii="Times New Roman" w:hAnsi="Times New Roman" w:eastAsia="宋体" w:cs="Times New Roman"/>
                <w:color w:val="000000"/>
                <w:kern w:val="0"/>
                <w:sz w:val="24"/>
                <w:szCs w:val="24"/>
                <w:lang w:val="en-US" w:eastAsia="zh-CN" w:bidi="ar"/>
              </w:rPr>
              <w:t>0.</w:t>
            </w:r>
            <w:r>
              <w:rPr>
                <w:rFonts w:hint="eastAsia" w:cs="Times New Roman"/>
                <w:color w:val="000000"/>
                <w:kern w:val="0"/>
                <w:sz w:val="24"/>
                <w:szCs w:val="24"/>
                <w:lang w:val="en-US" w:eastAsia="zh-CN" w:bidi="ar"/>
              </w:rPr>
              <w:t>02</w:t>
            </w:r>
            <w:r>
              <w:rPr>
                <w:rFonts w:hint="default" w:ascii="Times New Roman" w:hAnsi="Times New Roman" w:eastAsia="宋体" w:cs="Times New Roman"/>
                <w:color w:val="000000"/>
                <w:kern w:val="0"/>
                <w:sz w:val="24"/>
                <w:szCs w:val="24"/>
                <w:lang w:val="en-US" w:eastAsia="zh-CN" w:bidi="ar"/>
              </w:rPr>
              <w:t>t/a</w:t>
            </w:r>
            <w:r>
              <w:rPr>
                <w:rFonts w:hint="eastAsia" w:ascii="宋体" w:hAnsi="宋体" w:eastAsia="宋体" w:cs="宋体"/>
                <w:color w:val="000000"/>
                <w:kern w:val="0"/>
                <w:sz w:val="24"/>
                <w:szCs w:val="24"/>
                <w:lang w:val="en-US" w:eastAsia="zh-CN" w:bidi="ar"/>
              </w:rPr>
              <w:t>。根据《国家危险废物名录（</w:t>
            </w:r>
            <w:r>
              <w:rPr>
                <w:rFonts w:hint="default" w:ascii="Times New Roman" w:hAnsi="Times New Roman" w:eastAsia="宋体" w:cs="Times New Roman"/>
                <w:color w:val="000000"/>
                <w:kern w:val="0"/>
                <w:sz w:val="24"/>
                <w:szCs w:val="24"/>
                <w:lang w:val="en-US" w:eastAsia="zh-CN" w:bidi="ar"/>
              </w:rPr>
              <w:t>202</w:t>
            </w:r>
            <w:r>
              <w:rPr>
                <w:rFonts w:hint="eastAsia" w:ascii="Times New Roman" w:hAnsi="Times New Roman" w:eastAsia="宋体" w:cs="Times New Roman"/>
                <w:color w:val="000000"/>
                <w:kern w:val="0"/>
                <w:sz w:val="24"/>
                <w:szCs w:val="24"/>
                <w:lang w:val="en-US" w:eastAsia="zh-CN" w:bidi="ar"/>
              </w:rPr>
              <w:t>5</w:t>
            </w:r>
            <w:r>
              <w:rPr>
                <w:rFonts w:hint="eastAsia" w:ascii="宋体" w:hAnsi="宋体" w:eastAsia="宋体" w:cs="宋体"/>
                <w:color w:val="000000"/>
                <w:kern w:val="0"/>
                <w:sz w:val="24"/>
                <w:szCs w:val="24"/>
                <w:lang w:val="en-US" w:eastAsia="zh-CN" w:bidi="ar"/>
              </w:rPr>
              <w:t>年版）》规定，该类沾油废物属于</w:t>
            </w:r>
            <w:r>
              <w:rPr>
                <w:rFonts w:hint="default" w:ascii="Times New Roman" w:hAnsi="Times New Roman" w:eastAsia="宋体" w:cs="Times New Roman"/>
                <w:color w:val="000000"/>
                <w:kern w:val="0"/>
                <w:sz w:val="24"/>
                <w:szCs w:val="24"/>
                <w:lang w:val="en-US" w:eastAsia="zh-CN" w:bidi="ar"/>
              </w:rPr>
              <w:t>HW49</w:t>
            </w:r>
            <w:r>
              <w:rPr>
                <w:rFonts w:hint="eastAsia" w:ascii="宋体" w:hAnsi="宋体" w:eastAsia="宋体" w:cs="宋体"/>
                <w:color w:val="000000"/>
                <w:kern w:val="0"/>
                <w:sz w:val="24"/>
                <w:szCs w:val="24"/>
                <w:lang w:val="en-US" w:eastAsia="zh-CN" w:bidi="ar"/>
              </w:rPr>
              <w:t>，</w:t>
            </w:r>
            <w:r>
              <w:rPr>
                <w:rFonts w:hint="default" w:ascii="Times New Roman" w:hAnsi="Times New Roman" w:eastAsia="宋体" w:cs="Times New Roman"/>
                <w:color w:val="000000"/>
                <w:kern w:val="0"/>
                <w:sz w:val="24"/>
                <w:szCs w:val="24"/>
                <w:lang w:val="en-US" w:eastAsia="zh-CN" w:bidi="ar"/>
              </w:rPr>
              <w:t>900-041-49</w:t>
            </w:r>
            <w:r>
              <w:rPr>
                <w:rFonts w:hint="eastAsia" w:ascii="宋体" w:hAnsi="宋体" w:eastAsia="宋体" w:cs="宋体"/>
                <w:color w:val="000000"/>
                <w:kern w:val="0"/>
                <w:sz w:val="24"/>
                <w:szCs w:val="24"/>
                <w:lang w:val="en-US" w:eastAsia="zh-CN" w:bidi="ar"/>
              </w:rPr>
              <w:t>“</w:t>
            </w:r>
            <w:r>
              <w:rPr>
                <w:rFonts w:ascii="宋体" w:hAnsi="宋体" w:eastAsia="宋体" w:cs="宋体"/>
                <w:sz w:val="24"/>
                <w:szCs w:val="24"/>
              </w:rPr>
              <w:t>含有或者沾染毒性、感染性危险废物的废弃的包装物、容器、过滤吸附介质</w:t>
            </w:r>
            <w:r>
              <w:rPr>
                <w:rFonts w:hint="eastAsia" w:ascii="宋体" w:hAnsi="宋体" w:eastAsia="宋体" w:cs="宋体"/>
                <w:color w:val="000000"/>
                <w:kern w:val="0"/>
                <w:sz w:val="24"/>
                <w:szCs w:val="24"/>
                <w:lang w:val="en-US" w:eastAsia="zh-CN" w:bidi="ar"/>
              </w:rPr>
              <w:t>”，危险特性为</w:t>
            </w:r>
            <w:r>
              <w:rPr>
                <w:rFonts w:hint="default" w:ascii="Times New Roman" w:hAnsi="Times New Roman" w:eastAsia="宋体" w:cs="Times New Roman"/>
                <w:color w:val="000000"/>
                <w:kern w:val="0"/>
                <w:sz w:val="24"/>
                <w:szCs w:val="24"/>
                <w:lang w:val="en-US" w:eastAsia="zh-CN" w:bidi="ar"/>
              </w:rPr>
              <w:t>T/In</w:t>
            </w:r>
            <w:r>
              <w:rPr>
                <w:rFonts w:hint="eastAsia" w:ascii="宋体" w:hAnsi="宋体" w:eastAsia="宋体" w:cs="宋体"/>
                <w:color w:val="000000"/>
                <w:kern w:val="0"/>
                <w:sz w:val="24"/>
                <w:szCs w:val="24"/>
                <w:lang w:val="en-US" w:eastAsia="zh-CN" w:bidi="ar"/>
              </w:rPr>
              <w:t>，经收集后暂存在危废暂存间，交由资质单位处理。</w:t>
            </w:r>
          </w:p>
          <w:p w14:paraId="17CA5C7D">
            <w:pPr>
              <w:autoSpaceDE w:val="0"/>
              <w:autoSpaceDN w:val="0"/>
              <w:adjustRightInd w:val="0"/>
              <w:ind w:firstLine="482"/>
              <w:rPr>
                <w:rFonts w:cs="Times New Roman"/>
                <w:b/>
              </w:rPr>
            </w:pPr>
            <w:r>
              <w:rPr>
                <w:rFonts w:cs="Times New Roman"/>
                <w:b/>
              </w:rPr>
              <w:t>（4）治理措施</w:t>
            </w:r>
          </w:p>
          <w:p w14:paraId="2EC4CA58">
            <w:pPr>
              <w:spacing w:before="15"/>
              <w:ind w:firstLine="480"/>
              <w:rPr>
                <w:rFonts w:cs="Times New Roman"/>
                <w:szCs w:val="24"/>
              </w:rPr>
            </w:pPr>
            <w:r>
              <w:rPr>
                <w:rFonts w:cs="Times New Roman"/>
                <w:szCs w:val="24"/>
              </w:rPr>
              <w:t>本项目车间设置一般固废暂存间，位于</w:t>
            </w:r>
            <w:r>
              <w:rPr>
                <w:rFonts w:hint="eastAsia" w:cs="Times New Roman"/>
                <w:szCs w:val="24"/>
                <w:lang w:val="en-US" w:eastAsia="zh-CN"/>
              </w:rPr>
              <w:t>3号厂房东北侧</w:t>
            </w:r>
            <w:r>
              <w:rPr>
                <w:rFonts w:cs="Times New Roman"/>
                <w:szCs w:val="24"/>
              </w:rPr>
              <w:t>，单独房间，面积约10m</w:t>
            </w:r>
            <w:r>
              <w:rPr>
                <w:rFonts w:cs="Times New Roman"/>
                <w:szCs w:val="24"/>
                <w:vertAlign w:val="superscript"/>
              </w:rPr>
              <w:t>2</w:t>
            </w:r>
            <w:r>
              <w:rPr>
                <w:rFonts w:cs="Times New Roman"/>
                <w:szCs w:val="24"/>
              </w:rPr>
              <w:t>。一般固废分类收集后在一般固废暂存间内暂存</w:t>
            </w:r>
            <w:r>
              <w:rPr>
                <w:rFonts w:hint="eastAsia" w:cs="Times New Roman"/>
                <w:szCs w:val="24"/>
                <w:lang w:eastAsia="zh-CN"/>
              </w:rPr>
              <w:t>。</w:t>
            </w:r>
            <w:r>
              <w:rPr>
                <w:rFonts w:hint="eastAsia" w:cs="Times New Roman"/>
                <w:szCs w:val="24"/>
                <w:lang w:val="en-US" w:eastAsia="zh-CN"/>
              </w:rPr>
              <w:t>废包装外售废品回收站或交由厂家回收利用；废模具、废布袋厂家回收综合利用；不合格品、旋风除尘器及布袋除尘器1#集尘作为原料回用于免烧砌块生产。</w:t>
            </w:r>
            <w:r>
              <w:rPr>
                <w:rFonts w:cs="Times New Roman"/>
                <w:szCs w:val="24"/>
              </w:rPr>
              <w:t>生活垃圾</w:t>
            </w:r>
            <w:r>
              <w:rPr>
                <w:rFonts w:hint="eastAsia" w:cs="Times New Roman"/>
                <w:szCs w:val="24"/>
                <w:lang w:val="en-US" w:eastAsia="zh-CN"/>
              </w:rPr>
              <w:t>袋装手机后</w:t>
            </w:r>
            <w:r>
              <w:rPr>
                <w:rFonts w:cs="Times New Roman"/>
                <w:szCs w:val="24"/>
              </w:rPr>
              <w:t>交由环卫部门统一清运处理。</w:t>
            </w:r>
          </w:p>
          <w:p w14:paraId="4E935F85">
            <w:pPr>
              <w:bidi w:val="0"/>
            </w:pPr>
            <w:r>
              <w:t>危险废物：本项目车间设置危废暂存间，位于</w:t>
            </w:r>
            <w:r>
              <w:rPr>
                <w:rFonts w:hint="eastAsia" w:cs="Times New Roman"/>
                <w:szCs w:val="24"/>
                <w:lang w:val="en-US" w:eastAsia="zh-CN"/>
              </w:rPr>
              <w:t>3号厂房东北侧</w:t>
            </w:r>
            <w:r>
              <w:t>，单独房间，面积约10m</w:t>
            </w:r>
            <w:r>
              <w:rPr>
                <w:vertAlign w:val="superscript"/>
              </w:rPr>
              <w:t>2</w:t>
            </w:r>
            <w:r>
              <w:t>。危险废物经分类收集后暂存于危废暂存间。危险废物暂存应做到暂存间地面进行防腐、防渗处理防止危险废物发生泄漏造成地下水污染；并设置明显的警示标识，由专人管理；厂方应及时、妥善清运危险废物，尽量减少危险废物临时贮存量；项目厂方应与有危险废物处置资质的单位</w:t>
            </w:r>
            <w:r>
              <w:rPr>
                <w:rFonts w:hint="eastAsia"/>
                <w:lang w:eastAsia="zh-CN"/>
              </w:rPr>
              <w:t>签订</w:t>
            </w:r>
            <w:r>
              <w:t>危废委托处理协议，项目验收时提供危废协议，危险废物集中分类收集后定期交由有资质的单位处置；建立危废处置台账。</w:t>
            </w:r>
          </w:p>
          <w:p w14:paraId="593B4DA8">
            <w:pPr>
              <w:keepNext w:val="0"/>
              <w:keepLines w:val="0"/>
              <w:widowControl/>
              <w:suppressLineNumbers w:val="0"/>
              <w:jc w:val="left"/>
            </w:pPr>
            <w:r>
              <w:rPr>
                <w:rFonts w:hint="eastAsia" w:ascii="宋体" w:hAnsi="宋体" w:eastAsia="宋体" w:cs="宋体"/>
                <w:color w:val="000000"/>
                <w:kern w:val="0"/>
                <w:sz w:val="24"/>
                <w:szCs w:val="24"/>
                <w:lang w:val="en-US" w:eastAsia="zh-CN" w:bidi="ar"/>
              </w:rPr>
              <w:t>危废暂存间应严格按照《危险废物贮存污染控制标准》（</w:t>
            </w:r>
            <w:r>
              <w:rPr>
                <w:rFonts w:hint="default" w:ascii="Times New Roman" w:hAnsi="Times New Roman" w:eastAsia="宋体" w:cs="Times New Roman"/>
                <w:color w:val="000000"/>
                <w:kern w:val="0"/>
                <w:sz w:val="24"/>
                <w:szCs w:val="24"/>
                <w:lang w:val="en-US" w:eastAsia="zh-CN" w:bidi="ar"/>
              </w:rPr>
              <w:t>GB18597-2023</w:t>
            </w:r>
            <w:r>
              <w:rPr>
                <w:rFonts w:hint="eastAsia" w:ascii="宋体" w:hAnsi="宋体" w:eastAsia="宋体" w:cs="宋体"/>
                <w:color w:val="000000"/>
                <w:kern w:val="0"/>
                <w:sz w:val="24"/>
                <w:szCs w:val="24"/>
                <w:lang w:val="en-US" w:eastAsia="zh-CN" w:bidi="ar"/>
              </w:rPr>
              <w:t>）的要求设计，做好防风、防晒、防雨、防漏、防渗、防腐措施，防止二次污染。本项目固废产生及处置情况如下表：</w:t>
            </w:r>
          </w:p>
          <w:p w14:paraId="0399BD99">
            <w:pPr>
              <w:pStyle w:val="11"/>
              <w:rPr>
                <w:rFonts w:cs="Times New Roman"/>
              </w:rPr>
            </w:pPr>
            <w:r>
              <w:rPr>
                <w:rFonts w:cs="Times New Roman"/>
              </w:rPr>
              <w:t>表</w:t>
            </w:r>
            <w:r>
              <w:rPr>
                <w:rFonts w:cs="Times New Roman"/>
              </w:rPr>
              <w:fldChar w:fldCharType="begin"/>
            </w:r>
            <w:r>
              <w:rPr>
                <w:rFonts w:cs="Times New Roman"/>
              </w:rPr>
              <w:instrText xml:space="preserve"> SEQ seq \c </w:instrText>
            </w:r>
            <w:r>
              <w:rPr>
                <w:rFonts w:cs="Times New Roman"/>
              </w:rPr>
              <w:fldChar w:fldCharType="separate"/>
            </w:r>
            <w:r>
              <w:rPr>
                <w:rFonts w:cs="Times New Roman"/>
              </w:rPr>
              <w:t>4</w:t>
            </w:r>
            <w:r>
              <w:rPr>
                <w:rFonts w:cs="Times New Roman"/>
              </w:rPr>
              <w:fldChar w:fldCharType="end"/>
            </w:r>
            <w:r>
              <w:rPr>
                <w:rFonts w:cs="Times New Roman"/>
              </w:rPr>
              <w:noBreakHyphen/>
            </w:r>
            <w:r>
              <w:rPr>
                <w:rFonts w:cs="Times New Roman"/>
              </w:rPr>
              <w:fldChar w:fldCharType="begin"/>
            </w:r>
            <w:r>
              <w:rPr>
                <w:rFonts w:cs="Times New Roman"/>
              </w:rPr>
              <w:instrText xml:space="preserve"> SEQ 表 \* ARABIC \s 1 </w:instrText>
            </w:r>
            <w:r>
              <w:rPr>
                <w:rFonts w:cs="Times New Roman"/>
              </w:rPr>
              <w:fldChar w:fldCharType="separate"/>
            </w:r>
            <w:r>
              <w:rPr>
                <w:rFonts w:cs="Times New Roman"/>
              </w:rPr>
              <w:t>7</w:t>
            </w:r>
            <w:r>
              <w:rPr>
                <w:rFonts w:cs="Times New Roman"/>
              </w:rPr>
              <w:fldChar w:fldCharType="end"/>
            </w:r>
            <w:r>
              <w:rPr>
                <w:rFonts w:cs="Times New Roman"/>
              </w:rPr>
              <w:t xml:space="preserve"> 本项目建成后运营期固废产生及处置情况一览表</w:t>
            </w:r>
          </w:p>
          <w:tbl>
            <w:tblPr>
              <w:tblStyle w:val="26"/>
              <w:tblW w:w="4998" w:type="pct"/>
              <w:tblInd w:w="0" w:type="dxa"/>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Layout w:type="autofit"/>
              <w:tblCellMar>
                <w:top w:w="0" w:type="dxa"/>
                <w:left w:w="0" w:type="dxa"/>
                <w:bottom w:w="0" w:type="dxa"/>
                <w:right w:w="0" w:type="dxa"/>
              </w:tblCellMar>
            </w:tblPr>
            <w:tblGrid>
              <w:gridCol w:w="1827"/>
              <w:gridCol w:w="1138"/>
              <w:gridCol w:w="966"/>
              <w:gridCol w:w="1346"/>
              <w:gridCol w:w="596"/>
              <w:gridCol w:w="2934"/>
            </w:tblGrid>
            <w:tr w14:paraId="6D36C578">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1037" w:type="pct"/>
                  <w:tcBorders>
                    <w:tl2br w:val="nil"/>
                    <w:tr2bl w:val="nil"/>
                  </w:tcBorders>
                  <w:vAlign w:val="center"/>
                </w:tcPr>
                <w:p w14:paraId="3C0B52AD">
                  <w:pPr>
                    <w:pStyle w:val="45"/>
                    <w:rPr>
                      <w:rFonts w:cs="Times New Roman"/>
                    </w:rPr>
                  </w:pPr>
                  <w:r>
                    <w:rPr>
                      <w:rFonts w:cs="Times New Roman"/>
                    </w:rPr>
                    <w:t>废物名称</w:t>
                  </w:r>
                </w:p>
              </w:tc>
              <w:tc>
                <w:tcPr>
                  <w:tcW w:w="646" w:type="pct"/>
                  <w:tcBorders>
                    <w:tl2br w:val="nil"/>
                    <w:tr2bl w:val="nil"/>
                  </w:tcBorders>
                  <w:vAlign w:val="center"/>
                </w:tcPr>
                <w:p w14:paraId="196F8440">
                  <w:pPr>
                    <w:pStyle w:val="45"/>
                    <w:rPr>
                      <w:rFonts w:cs="Times New Roman"/>
                    </w:rPr>
                  </w:pPr>
                  <w:r>
                    <w:rPr>
                      <w:rFonts w:cs="Times New Roman"/>
                    </w:rPr>
                    <w:t>属性</w:t>
                  </w:r>
                </w:p>
              </w:tc>
              <w:tc>
                <w:tcPr>
                  <w:tcW w:w="548" w:type="pct"/>
                  <w:tcBorders>
                    <w:tl2br w:val="nil"/>
                    <w:tr2bl w:val="nil"/>
                  </w:tcBorders>
                  <w:vAlign w:val="center"/>
                </w:tcPr>
                <w:p w14:paraId="66315713">
                  <w:pPr>
                    <w:pStyle w:val="45"/>
                    <w:rPr>
                      <w:rFonts w:cs="Times New Roman"/>
                    </w:rPr>
                  </w:pPr>
                  <w:r>
                    <w:rPr>
                      <w:rFonts w:cs="Times New Roman"/>
                    </w:rPr>
                    <w:t>产生量（t/a）</w:t>
                  </w:r>
                </w:p>
              </w:tc>
              <w:tc>
                <w:tcPr>
                  <w:tcW w:w="764" w:type="pct"/>
                  <w:tcBorders>
                    <w:tl2br w:val="nil"/>
                    <w:tr2bl w:val="nil"/>
                  </w:tcBorders>
                  <w:vAlign w:val="center"/>
                </w:tcPr>
                <w:p w14:paraId="0DE66D37">
                  <w:pPr>
                    <w:pStyle w:val="45"/>
                    <w:rPr>
                      <w:rFonts w:cs="Times New Roman"/>
                    </w:rPr>
                  </w:pPr>
                  <w:r>
                    <w:rPr>
                      <w:rFonts w:cs="Times New Roman"/>
                    </w:rPr>
                    <w:t>产生工序</w:t>
                  </w:r>
                </w:p>
              </w:tc>
              <w:tc>
                <w:tcPr>
                  <w:tcW w:w="338" w:type="pct"/>
                  <w:tcBorders>
                    <w:tl2br w:val="nil"/>
                    <w:tr2bl w:val="nil"/>
                  </w:tcBorders>
                  <w:vAlign w:val="center"/>
                </w:tcPr>
                <w:p w14:paraId="5BF88D61">
                  <w:pPr>
                    <w:pStyle w:val="45"/>
                    <w:rPr>
                      <w:rFonts w:cs="Times New Roman"/>
                    </w:rPr>
                  </w:pPr>
                  <w:r>
                    <w:rPr>
                      <w:rFonts w:cs="Times New Roman"/>
                    </w:rPr>
                    <w:t>形态</w:t>
                  </w:r>
                </w:p>
              </w:tc>
              <w:tc>
                <w:tcPr>
                  <w:tcW w:w="1665" w:type="pct"/>
                  <w:tcBorders>
                    <w:tl2br w:val="nil"/>
                    <w:tr2bl w:val="nil"/>
                  </w:tcBorders>
                  <w:vAlign w:val="center"/>
                </w:tcPr>
                <w:p w14:paraId="69549721">
                  <w:pPr>
                    <w:pStyle w:val="45"/>
                    <w:rPr>
                      <w:rFonts w:cs="Times New Roman"/>
                    </w:rPr>
                  </w:pPr>
                  <w:r>
                    <w:rPr>
                      <w:rFonts w:cs="Times New Roman"/>
                    </w:rPr>
                    <w:t>处置方式</w:t>
                  </w:r>
                </w:p>
              </w:tc>
            </w:tr>
            <w:tr w14:paraId="3F58D141">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1037" w:type="pct"/>
                  <w:tcBorders>
                    <w:tl2br w:val="nil"/>
                    <w:tr2bl w:val="nil"/>
                  </w:tcBorders>
                  <w:vAlign w:val="center"/>
                </w:tcPr>
                <w:p w14:paraId="69428FCA">
                  <w:pPr>
                    <w:pStyle w:val="12"/>
                    <w:rPr>
                      <w:rFonts w:cs="Times New Roman"/>
                      <w:bCs/>
                    </w:rPr>
                  </w:pPr>
                  <w:bookmarkStart w:id="75" w:name="_Hlk207723139"/>
                  <w:r>
                    <w:rPr>
                      <w:rFonts w:cs="Times New Roman"/>
                      <w:bCs/>
                    </w:rPr>
                    <w:t>生活垃圾</w:t>
                  </w:r>
                </w:p>
              </w:tc>
              <w:tc>
                <w:tcPr>
                  <w:tcW w:w="646" w:type="pct"/>
                  <w:tcBorders>
                    <w:tl2br w:val="nil"/>
                    <w:tr2bl w:val="nil"/>
                  </w:tcBorders>
                  <w:vAlign w:val="center"/>
                </w:tcPr>
                <w:p w14:paraId="39933AAF">
                  <w:pPr>
                    <w:pStyle w:val="12"/>
                    <w:rPr>
                      <w:rFonts w:cs="Times New Roman"/>
                      <w:bCs/>
                    </w:rPr>
                  </w:pPr>
                  <w:r>
                    <w:rPr>
                      <w:rFonts w:cs="Times New Roman"/>
                      <w:bCs/>
                    </w:rPr>
                    <w:t>/</w:t>
                  </w:r>
                </w:p>
              </w:tc>
              <w:tc>
                <w:tcPr>
                  <w:tcW w:w="548" w:type="pct"/>
                  <w:tcBorders>
                    <w:tl2br w:val="nil"/>
                    <w:tr2bl w:val="nil"/>
                  </w:tcBorders>
                  <w:vAlign w:val="center"/>
                </w:tcPr>
                <w:p w14:paraId="603F208B">
                  <w:pPr>
                    <w:pStyle w:val="12"/>
                    <w:rPr>
                      <w:rFonts w:hint="default" w:eastAsia="宋体" w:cs="Times New Roman"/>
                      <w:bCs/>
                      <w:lang w:val="en-US" w:eastAsia="zh-CN"/>
                    </w:rPr>
                  </w:pPr>
                  <w:r>
                    <w:rPr>
                      <w:rFonts w:hint="eastAsia" w:cs="Times New Roman"/>
                      <w:bCs/>
                      <w:lang w:val="en-US" w:eastAsia="zh-CN"/>
                    </w:rPr>
                    <w:t>3.3</w:t>
                  </w:r>
                </w:p>
              </w:tc>
              <w:tc>
                <w:tcPr>
                  <w:tcW w:w="764" w:type="pct"/>
                  <w:tcBorders>
                    <w:tl2br w:val="nil"/>
                    <w:tr2bl w:val="nil"/>
                  </w:tcBorders>
                  <w:vAlign w:val="center"/>
                </w:tcPr>
                <w:p w14:paraId="70D04D95">
                  <w:pPr>
                    <w:pStyle w:val="12"/>
                    <w:rPr>
                      <w:rFonts w:cs="Times New Roman"/>
                      <w:bCs/>
                    </w:rPr>
                  </w:pPr>
                  <w:r>
                    <w:rPr>
                      <w:rFonts w:cs="Times New Roman"/>
                      <w:bCs/>
                    </w:rPr>
                    <w:t>生活办公</w:t>
                  </w:r>
                </w:p>
              </w:tc>
              <w:tc>
                <w:tcPr>
                  <w:tcW w:w="338" w:type="pct"/>
                  <w:tcBorders>
                    <w:tl2br w:val="nil"/>
                    <w:tr2bl w:val="nil"/>
                  </w:tcBorders>
                  <w:vAlign w:val="center"/>
                </w:tcPr>
                <w:p w14:paraId="023D4C36">
                  <w:pPr>
                    <w:pStyle w:val="12"/>
                    <w:rPr>
                      <w:rFonts w:cs="Times New Roman"/>
                      <w:bCs/>
                    </w:rPr>
                  </w:pPr>
                  <w:r>
                    <w:rPr>
                      <w:rFonts w:cs="Times New Roman"/>
                      <w:bCs/>
                    </w:rPr>
                    <w:t>固态</w:t>
                  </w:r>
                </w:p>
              </w:tc>
              <w:tc>
                <w:tcPr>
                  <w:tcW w:w="1665" w:type="pct"/>
                  <w:tcBorders>
                    <w:tl2br w:val="nil"/>
                    <w:tr2bl w:val="nil"/>
                  </w:tcBorders>
                  <w:vAlign w:val="center"/>
                </w:tcPr>
                <w:p w14:paraId="04A1697F">
                  <w:pPr>
                    <w:pStyle w:val="12"/>
                    <w:rPr>
                      <w:rFonts w:cs="Times New Roman"/>
                      <w:bCs/>
                    </w:rPr>
                  </w:pPr>
                  <w:r>
                    <w:rPr>
                      <w:rFonts w:cs="Times New Roman"/>
                      <w:bCs/>
                    </w:rPr>
                    <w:t>袋装收集，交由环卫部门清运处理</w:t>
                  </w:r>
                </w:p>
              </w:tc>
            </w:tr>
            <w:tr w14:paraId="20D7126F">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389" w:hRule="atLeast"/>
              </w:trPr>
              <w:tc>
                <w:tcPr>
                  <w:tcW w:w="1037" w:type="pct"/>
                  <w:tcBorders>
                    <w:tl2br w:val="nil"/>
                    <w:tr2bl w:val="nil"/>
                  </w:tcBorders>
                  <w:vAlign w:val="center"/>
                </w:tcPr>
                <w:p w14:paraId="4D608A36">
                  <w:pPr>
                    <w:pStyle w:val="12"/>
                    <w:rPr>
                      <w:rFonts w:hint="default" w:eastAsia="宋体" w:cs="Times New Roman"/>
                      <w:lang w:val="en-US" w:eastAsia="zh-CN"/>
                    </w:rPr>
                  </w:pPr>
                  <w:r>
                    <w:rPr>
                      <w:rFonts w:hint="eastAsia" w:cs="Times New Roman"/>
                      <w:lang w:val="en-US" w:eastAsia="zh-CN"/>
                    </w:rPr>
                    <w:t>废包装</w:t>
                  </w:r>
                </w:p>
              </w:tc>
              <w:tc>
                <w:tcPr>
                  <w:tcW w:w="646" w:type="pct"/>
                  <w:vMerge w:val="restart"/>
                  <w:tcBorders>
                    <w:tl2br w:val="nil"/>
                    <w:tr2bl w:val="nil"/>
                  </w:tcBorders>
                  <w:vAlign w:val="center"/>
                </w:tcPr>
                <w:p w14:paraId="0BA321D9">
                  <w:pPr>
                    <w:pStyle w:val="12"/>
                    <w:rPr>
                      <w:rFonts w:cs="Times New Roman"/>
                    </w:rPr>
                  </w:pPr>
                  <w:r>
                    <w:rPr>
                      <w:rFonts w:cs="Times New Roman"/>
                    </w:rPr>
                    <w:t>一般固废</w:t>
                  </w:r>
                </w:p>
              </w:tc>
              <w:tc>
                <w:tcPr>
                  <w:tcW w:w="548" w:type="pct"/>
                  <w:tcBorders>
                    <w:tl2br w:val="nil"/>
                    <w:tr2bl w:val="nil"/>
                  </w:tcBorders>
                  <w:vAlign w:val="center"/>
                </w:tcPr>
                <w:p w14:paraId="0C562859">
                  <w:pPr>
                    <w:pStyle w:val="12"/>
                    <w:rPr>
                      <w:rFonts w:hint="default" w:eastAsia="宋体" w:cs="Times New Roman"/>
                      <w:lang w:val="en-US" w:eastAsia="zh-CN"/>
                    </w:rPr>
                  </w:pPr>
                  <w:r>
                    <w:rPr>
                      <w:rFonts w:hint="eastAsia" w:cs="Times New Roman"/>
                      <w:lang w:val="en-US" w:eastAsia="zh-CN"/>
                    </w:rPr>
                    <w:t>10.54</w:t>
                  </w:r>
                </w:p>
              </w:tc>
              <w:tc>
                <w:tcPr>
                  <w:tcW w:w="764" w:type="pct"/>
                  <w:tcBorders>
                    <w:tl2br w:val="nil"/>
                    <w:tr2bl w:val="nil"/>
                  </w:tcBorders>
                  <w:vAlign w:val="center"/>
                </w:tcPr>
                <w:p w14:paraId="60569FBE">
                  <w:pPr>
                    <w:pStyle w:val="12"/>
                    <w:rPr>
                      <w:rFonts w:hint="default" w:eastAsia="宋体" w:cs="Times New Roman"/>
                      <w:bCs/>
                      <w:lang w:val="en-US" w:eastAsia="zh-CN"/>
                    </w:rPr>
                  </w:pPr>
                  <w:r>
                    <w:rPr>
                      <w:rFonts w:hint="eastAsia" w:cs="Times New Roman"/>
                      <w:bCs/>
                      <w:lang w:val="en-US" w:eastAsia="zh-CN"/>
                    </w:rPr>
                    <w:t>原料包装袋</w:t>
                  </w:r>
                </w:p>
              </w:tc>
              <w:tc>
                <w:tcPr>
                  <w:tcW w:w="338" w:type="pct"/>
                  <w:tcBorders>
                    <w:tl2br w:val="nil"/>
                    <w:tr2bl w:val="nil"/>
                  </w:tcBorders>
                  <w:vAlign w:val="center"/>
                </w:tcPr>
                <w:p w14:paraId="763B2BD0">
                  <w:pPr>
                    <w:pStyle w:val="12"/>
                    <w:rPr>
                      <w:rFonts w:cs="Times New Roman"/>
                      <w:bCs/>
                    </w:rPr>
                  </w:pPr>
                  <w:r>
                    <w:rPr>
                      <w:rFonts w:cs="Times New Roman"/>
                      <w:bCs/>
                    </w:rPr>
                    <w:t>固态</w:t>
                  </w:r>
                </w:p>
              </w:tc>
              <w:tc>
                <w:tcPr>
                  <w:tcW w:w="1665" w:type="pct"/>
                  <w:tcBorders>
                    <w:tl2br w:val="nil"/>
                    <w:tr2bl w:val="nil"/>
                  </w:tcBorders>
                  <w:vAlign w:val="center"/>
                </w:tcPr>
                <w:p w14:paraId="570CCB10">
                  <w:pPr>
                    <w:pStyle w:val="12"/>
                    <w:rPr>
                      <w:rFonts w:hint="default" w:eastAsia="宋体" w:cs="Times New Roman"/>
                      <w:bCs/>
                      <w:lang w:val="en-US" w:eastAsia="zh-CN"/>
                    </w:rPr>
                  </w:pPr>
                  <w:r>
                    <w:rPr>
                      <w:rFonts w:hint="eastAsia" w:cs="Times New Roman"/>
                      <w:bCs/>
                      <w:lang w:val="en-US" w:eastAsia="zh-CN"/>
                    </w:rPr>
                    <w:t>厂家回收利用；外售废品站</w:t>
                  </w:r>
                </w:p>
              </w:tc>
            </w:tr>
            <w:tr w14:paraId="6573C52C">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1037" w:type="pct"/>
                  <w:tcBorders>
                    <w:tl2br w:val="nil"/>
                    <w:tr2bl w:val="nil"/>
                  </w:tcBorders>
                  <w:vAlign w:val="center"/>
                </w:tcPr>
                <w:p w14:paraId="75EAFC32">
                  <w:pPr>
                    <w:pStyle w:val="12"/>
                    <w:ind w:firstLine="0" w:firstLineChars="0"/>
                    <w:rPr>
                      <w:rFonts w:hint="eastAsia" w:eastAsia="宋体" w:cs="Times New Roman"/>
                      <w:bCs/>
                      <w:lang w:val="en-US" w:eastAsia="zh-CN"/>
                    </w:rPr>
                  </w:pPr>
                  <w:r>
                    <w:rPr>
                      <w:rFonts w:hint="eastAsia" w:cs="Times New Roman"/>
                      <w:lang w:val="en-US" w:eastAsia="zh-CN"/>
                    </w:rPr>
                    <w:t>不合格品</w:t>
                  </w:r>
                </w:p>
              </w:tc>
              <w:tc>
                <w:tcPr>
                  <w:tcW w:w="646" w:type="pct"/>
                  <w:vMerge w:val="continue"/>
                  <w:tcBorders>
                    <w:tl2br w:val="nil"/>
                    <w:tr2bl w:val="nil"/>
                  </w:tcBorders>
                  <w:vAlign w:val="center"/>
                </w:tcPr>
                <w:p w14:paraId="52D9FC21">
                  <w:pPr>
                    <w:pStyle w:val="12"/>
                    <w:rPr>
                      <w:rFonts w:cs="Times New Roman"/>
                    </w:rPr>
                  </w:pPr>
                </w:p>
              </w:tc>
              <w:tc>
                <w:tcPr>
                  <w:tcW w:w="548" w:type="pct"/>
                  <w:tcBorders>
                    <w:tl2br w:val="nil"/>
                    <w:tr2bl w:val="nil"/>
                  </w:tcBorders>
                  <w:vAlign w:val="center"/>
                </w:tcPr>
                <w:p w14:paraId="0FAA6278">
                  <w:pPr>
                    <w:pStyle w:val="12"/>
                    <w:rPr>
                      <w:rFonts w:hint="default" w:eastAsia="宋体" w:cs="Times New Roman"/>
                      <w:bCs/>
                      <w:lang w:val="en-US" w:eastAsia="zh-CN"/>
                    </w:rPr>
                  </w:pPr>
                  <w:r>
                    <w:rPr>
                      <w:rFonts w:hint="eastAsia" w:cs="Times New Roman"/>
                      <w:bCs/>
                      <w:lang w:val="en-US" w:eastAsia="zh-CN"/>
                    </w:rPr>
                    <w:t>2200</w:t>
                  </w:r>
                </w:p>
              </w:tc>
              <w:tc>
                <w:tcPr>
                  <w:tcW w:w="764" w:type="pct"/>
                  <w:tcBorders>
                    <w:tl2br w:val="nil"/>
                    <w:tr2bl w:val="nil"/>
                  </w:tcBorders>
                  <w:vAlign w:val="center"/>
                </w:tcPr>
                <w:p w14:paraId="16905F53">
                  <w:pPr>
                    <w:pStyle w:val="12"/>
                    <w:rPr>
                      <w:rFonts w:hint="default" w:eastAsia="宋体" w:cs="Times New Roman"/>
                      <w:lang w:val="en-US" w:eastAsia="zh-CN"/>
                    </w:rPr>
                  </w:pPr>
                  <w:r>
                    <w:rPr>
                      <w:rFonts w:hint="eastAsia" w:cs="Times New Roman"/>
                      <w:lang w:val="en-US" w:eastAsia="zh-CN"/>
                    </w:rPr>
                    <w:t>压制成型</w:t>
                  </w:r>
                </w:p>
              </w:tc>
              <w:tc>
                <w:tcPr>
                  <w:tcW w:w="338" w:type="pct"/>
                  <w:tcBorders>
                    <w:tl2br w:val="nil"/>
                    <w:tr2bl w:val="nil"/>
                  </w:tcBorders>
                  <w:vAlign w:val="center"/>
                </w:tcPr>
                <w:p w14:paraId="3BA5C2CD">
                  <w:pPr>
                    <w:pStyle w:val="12"/>
                    <w:rPr>
                      <w:rFonts w:cs="Times New Roman"/>
                      <w:bCs/>
                    </w:rPr>
                  </w:pPr>
                  <w:r>
                    <w:rPr>
                      <w:rFonts w:cs="Times New Roman"/>
                      <w:bCs/>
                    </w:rPr>
                    <w:t>固态</w:t>
                  </w:r>
                </w:p>
              </w:tc>
              <w:tc>
                <w:tcPr>
                  <w:tcW w:w="1665" w:type="pct"/>
                  <w:tcBorders>
                    <w:tl2br w:val="nil"/>
                    <w:tr2bl w:val="nil"/>
                  </w:tcBorders>
                  <w:vAlign w:val="center"/>
                </w:tcPr>
                <w:p w14:paraId="612F0F88">
                  <w:pPr>
                    <w:pStyle w:val="12"/>
                    <w:rPr>
                      <w:rFonts w:hint="default" w:eastAsia="宋体" w:cs="Times New Roman"/>
                      <w:bCs/>
                      <w:lang w:val="en-US" w:eastAsia="zh-CN"/>
                    </w:rPr>
                  </w:pPr>
                  <w:r>
                    <w:rPr>
                      <w:rFonts w:hint="eastAsia" w:cs="Times New Roman"/>
                      <w:bCs/>
                      <w:lang w:val="en-US" w:eastAsia="zh-CN"/>
                    </w:rPr>
                    <w:t>回用于免烧砌块生产</w:t>
                  </w:r>
                </w:p>
              </w:tc>
            </w:tr>
            <w:tr w14:paraId="55083C73">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1037" w:type="pct"/>
                  <w:tcBorders>
                    <w:tl2br w:val="nil"/>
                    <w:tr2bl w:val="nil"/>
                  </w:tcBorders>
                  <w:vAlign w:val="center"/>
                </w:tcPr>
                <w:p w14:paraId="256010FD">
                  <w:pPr>
                    <w:pStyle w:val="12"/>
                    <w:ind w:firstLine="0" w:firstLineChars="0"/>
                    <w:rPr>
                      <w:rFonts w:hint="default" w:eastAsia="宋体" w:cs="Times New Roman"/>
                      <w:lang w:val="en-US" w:eastAsia="zh-CN"/>
                    </w:rPr>
                  </w:pPr>
                  <w:r>
                    <w:rPr>
                      <w:rFonts w:hint="eastAsia" w:cs="Times New Roman"/>
                      <w:bCs/>
                      <w:lang w:val="en-US" w:eastAsia="zh-CN"/>
                    </w:rPr>
                    <w:t>废模具</w:t>
                  </w:r>
                </w:p>
              </w:tc>
              <w:tc>
                <w:tcPr>
                  <w:tcW w:w="646" w:type="pct"/>
                  <w:vMerge w:val="continue"/>
                  <w:tcBorders>
                    <w:tl2br w:val="nil"/>
                    <w:tr2bl w:val="nil"/>
                  </w:tcBorders>
                  <w:vAlign w:val="center"/>
                </w:tcPr>
                <w:p w14:paraId="717871E1">
                  <w:pPr>
                    <w:pStyle w:val="12"/>
                    <w:rPr>
                      <w:rFonts w:cs="Times New Roman"/>
                    </w:rPr>
                  </w:pPr>
                </w:p>
              </w:tc>
              <w:tc>
                <w:tcPr>
                  <w:tcW w:w="548" w:type="pct"/>
                  <w:tcBorders>
                    <w:tl2br w:val="nil"/>
                    <w:tr2bl w:val="nil"/>
                  </w:tcBorders>
                  <w:vAlign w:val="center"/>
                </w:tcPr>
                <w:p w14:paraId="34B5B8E1">
                  <w:pPr>
                    <w:pStyle w:val="12"/>
                    <w:rPr>
                      <w:rFonts w:hint="default" w:eastAsia="宋体" w:cs="Times New Roman"/>
                      <w:lang w:val="en-US" w:eastAsia="zh-CN"/>
                    </w:rPr>
                  </w:pPr>
                  <w:r>
                    <w:rPr>
                      <w:rFonts w:hint="eastAsia" w:cs="Times New Roman"/>
                      <w:lang w:val="en-US" w:eastAsia="zh-CN"/>
                    </w:rPr>
                    <w:t>1</w:t>
                  </w:r>
                </w:p>
              </w:tc>
              <w:tc>
                <w:tcPr>
                  <w:tcW w:w="764" w:type="pct"/>
                  <w:tcBorders>
                    <w:tl2br w:val="nil"/>
                    <w:tr2bl w:val="nil"/>
                  </w:tcBorders>
                  <w:vAlign w:val="center"/>
                </w:tcPr>
                <w:p w14:paraId="3A825832">
                  <w:pPr>
                    <w:pStyle w:val="12"/>
                    <w:rPr>
                      <w:rFonts w:cs="Times New Roman"/>
                    </w:rPr>
                  </w:pPr>
                  <w:r>
                    <w:rPr>
                      <w:rFonts w:hint="eastAsia" w:cs="Times New Roman"/>
                      <w:lang w:val="en-US" w:eastAsia="zh-CN"/>
                    </w:rPr>
                    <w:t>压制成型</w:t>
                  </w:r>
                </w:p>
              </w:tc>
              <w:tc>
                <w:tcPr>
                  <w:tcW w:w="338" w:type="pct"/>
                  <w:tcBorders>
                    <w:tl2br w:val="nil"/>
                    <w:tr2bl w:val="nil"/>
                  </w:tcBorders>
                  <w:vAlign w:val="center"/>
                </w:tcPr>
                <w:p w14:paraId="357E4271">
                  <w:pPr>
                    <w:pStyle w:val="12"/>
                    <w:rPr>
                      <w:rFonts w:cs="Times New Roman"/>
                    </w:rPr>
                  </w:pPr>
                  <w:r>
                    <w:rPr>
                      <w:rFonts w:cs="Times New Roman"/>
                    </w:rPr>
                    <w:t>固态</w:t>
                  </w:r>
                </w:p>
              </w:tc>
              <w:tc>
                <w:tcPr>
                  <w:tcW w:w="1665" w:type="pct"/>
                  <w:tcBorders>
                    <w:tl2br w:val="nil"/>
                    <w:tr2bl w:val="nil"/>
                  </w:tcBorders>
                  <w:vAlign w:val="center"/>
                </w:tcPr>
                <w:p w14:paraId="47C7BF71">
                  <w:pPr>
                    <w:pStyle w:val="12"/>
                    <w:rPr>
                      <w:rFonts w:cs="Times New Roman"/>
                      <w:bCs/>
                    </w:rPr>
                  </w:pPr>
                  <w:r>
                    <w:rPr>
                      <w:rFonts w:cs="Times New Roman"/>
                      <w:bCs/>
                    </w:rPr>
                    <w:t>厂家回收</w:t>
                  </w:r>
                  <w:r>
                    <w:rPr>
                      <w:rFonts w:hint="eastAsia" w:cs="Times New Roman"/>
                      <w:bCs/>
                      <w:lang w:val="en-US" w:eastAsia="zh-CN"/>
                    </w:rPr>
                    <w:t>利用</w:t>
                  </w:r>
                </w:p>
              </w:tc>
            </w:tr>
            <w:tr w14:paraId="1BAF6B1E">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1037" w:type="pct"/>
                  <w:tcBorders>
                    <w:tl2br w:val="nil"/>
                    <w:tr2bl w:val="nil"/>
                  </w:tcBorders>
                  <w:vAlign w:val="center"/>
                </w:tcPr>
                <w:p w14:paraId="3803DEEB">
                  <w:pPr>
                    <w:pStyle w:val="12"/>
                    <w:ind w:firstLine="0" w:firstLineChars="0"/>
                    <w:rPr>
                      <w:rFonts w:hint="default" w:eastAsia="宋体" w:cs="Times New Roman"/>
                      <w:lang w:val="en-US" w:eastAsia="zh-CN"/>
                    </w:rPr>
                  </w:pPr>
                  <w:r>
                    <w:rPr>
                      <w:rFonts w:hint="eastAsia" w:cs="Times New Roman"/>
                      <w:lang w:val="en-US" w:eastAsia="zh-CN"/>
                    </w:rPr>
                    <w:t>旋风除尘器集尘+布袋除尘器1#集尘</w:t>
                  </w:r>
                </w:p>
              </w:tc>
              <w:tc>
                <w:tcPr>
                  <w:tcW w:w="646" w:type="pct"/>
                  <w:vMerge w:val="continue"/>
                  <w:tcBorders>
                    <w:tl2br w:val="nil"/>
                    <w:tr2bl w:val="nil"/>
                  </w:tcBorders>
                  <w:vAlign w:val="center"/>
                </w:tcPr>
                <w:p w14:paraId="078BC0BB">
                  <w:pPr>
                    <w:pStyle w:val="12"/>
                    <w:rPr>
                      <w:rFonts w:cs="Times New Roman"/>
                    </w:rPr>
                  </w:pPr>
                </w:p>
              </w:tc>
              <w:tc>
                <w:tcPr>
                  <w:tcW w:w="548" w:type="pct"/>
                  <w:tcBorders>
                    <w:tl2br w:val="nil"/>
                    <w:tr2bl w:val="nil"/>
                  </w:tcBorders>
                  <w:vAlign w:val="center"/>
                </w:tcPr>
                <w:p w14:paraId="176D73DE">
                  <w:pPr>
                    <w:pStyle w:val="12"/>
                    <w:rPr>
                      <w:rFonts w:hint="default" w:eastAsia="宋体" w:cs="Times New Roman"/>
                      <w:lang w:val="en-US" w:eastAsia="zh-CN"/>
                    </w:rPr>
                  </w:pPr>
                  <w:r>
                    <w:rPr>
                      <w:rFonts w:hint="eastAsia" w:cs="Times New Roman"/>
                      <w:lang w:val="en-US" w:eastAsia="zh-CN"/>
                    </w:rPr>
                    <w:t>48.4353</w:t>
                  </w:r>
                </w:p>
              </w:tc>
              <w:tc>
                <w:tcPr>
                  <w:tcW w:w="764" w:type="pct"/>
                  <w:tcBorders>
                    <w:tl2br w:val="nil"/>
                    <w:tr2bl w:val="nil"/>
                  </w:tcBorders>
                  <w:vAlign w:val="center"/>
                </w:tcPr>
                <w:p w14:paraId="5D02CC63">
                  <w:pPr>
                    <w:pStyle w:val="12"/>
                    <w:rPr>
                      <w:rFonts w:hint="default" w:eastAsia="宋体" w:cs="Times New Roman"/>
                      <w:lang w:val="en-US" w:eastAsia="zh-CN"/>
                    </w:rPr>
                  </w:pPr>
                  <w:r>
                    <w:rPr>
                      <w:rFonts w:hint="eastAsia" w:cs="Times New Roman"/>
                      <w:lang w:val="en-US" w:eastAsia="zh-CN"/>
                    </w:rPr>
                    <w:t>废气处理</w:t>
                  </w:r>
                </w:p>
              </w:tc>
              <w:tc>
                <w:tcPr>
                  <w:tcW w:w="338" w:type="pct"/>
                  <w:tcBorders>
                    <w:tl2br w:val="nil"/>
                    <w:tr2bl w:val="nil"/>
                  </w:tcBorders>
                  <w:vAlign w:val="center"/>
                </w:tcPr>
                <w:p w14:paraId="4F67C968">
                  <w:pPr>
                    <w:pStyle w:val="12"/>
                    <w:rPr>
                      <w:rFonts w:cs="Times New Roman"/>
                    </w:rPr>
                  </w:pPr>
                  <w:r>
                    <w:rPr>
                      <w:rFonts w:cs="Times New Roman"/>
                    </w:rPr>
                    <w:t>固态</w:t>
                  </w:r>
                </w:p>
              </w:tc>
              <w:tc>
                <w:tcPr>
                  <w:tcW w:w="1665" w:type="pct"/>
                  <w:tcBorders>
                    <w:tl2br w:val="nil"/>
                    <w:tr2bl w:val="nil"/>
                  </w:tcBorders>
                  <w:vAlign w:val="center"/>
                </w:tcPr>
                <w:p w14:paraId="5BA673A5">
                  <w:pPr>
                    <w:pStyle w:val="12"/>
                    <w:rPr>
                      <w:rFonts w:cs="Times New Roman"/>
                      <w:bCs/>
                    </w:rPr>
                  </w:pPr>
                  <w:r>
                    <w:rPr>
                      <w:rFonts w:hint="eastAsia" w:cs="Times New Roman"/>
                      <w:bCs/>
                      <w:lang w:val="en-US" w:eastAsia="zh-CN"/>
                    </w:rPr>
                    <w:t>回用于免烧砌块生产</w:t>
                  </w:r>
                </w:p>
              </w:tc>
            </w:tr>
            <w:tr w14:paraId="502A7882">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441" w:hRule="atLeast"/>
              </w:trPr>
              <w:tc>
                <w:tcPr>
                  <w:tcW w:w="1037" w:type="pct"/>
                  <w:tcBorders>
                    <w:tl2br w:val="nil"/>
                    <w:tr2bl w:val="nil"/>
                  </w:tcBorders>
                  <w:vAlign w:val="center"/>
                </w:tcPr>
                <w:p w14:paraId="528F4C22">
                  <w:pPr>
                    <w:pStyle w:val="12"/>
                    <w:ind w:firstLine="0" w:firstLineChars="0"/>
                    <w:rPr>
                      <w:rFonts w:cs="Times New Roman"/>
                    </w:rPr>
                  </w:pPr>
                  <w:r>
                    <w:rPr>
                      <w:rFonts w:hint="eastAsia" w:cs="Times New Roman"/>
                      <w:lang w:val="en-US" w:eastAsia="zh-CN"/>
                    </w:rPr>
                    <w:t>废布袋</w:t>
                  </w:r>
                </w:p>
              </w:tc>
              <w:tc>
                <w:tcPr>
                  <w:tcW w:w="646" w:type="pct"/>
                  <w:vMerge w:val="continue"/>
                  <w:tcBorders>
                    <w:tl2br w:val="nil"/>
                    <w:tr2bl w:val="nil"/>
                  </w:tcBorders>
                  <w:vAlign w:val="center"/>
                </w:tcPr>
                <w:p w14:paraId="6B352A34">
                  <w:pPr>
                    <w:pStyle w:val="12"/>
                    <w:rPr>
                      <w:rFonts w:cs="Times New Roman"/>
                    </w:rPr>
                  </w:pPr>
                </w:p>
              </w:tc>
              <w:tc>
                <w:tcPr>
                  <w:tcW w:w="548" w:type="pct"/>
                  <w:tcBorders>
                    <w:tl2br w:val="nil"/>
                    <w:tr2bl w:val="nil"/>
                  </w:tcBorders>
                  <w:vAlign w:val="center"/>
                </w:tcPr>
                <w:p w14:paraId="71A1096B">
                  <w:pPr>
                    <w:pStyle w:val="12"/>
                    <w:rPr>
                      <w:rFonts w:hint="default" w:eastAsia="宋体" w:cs="Times New Roman"/>
                      <w:lang w:val="en-US" w:eastAsia="zh-CN"/>
                    </w:rPr>
                  </w:pPr>
                  <w:r>
                    <w:rPr>
                      <w:rFonts w:hint="eastAsia" w:cs="Times New Roman"/>
                      <w:lang w:val="en-US" w:eastAsia="zh-CN"/>
                    </w:rPr>
                    <w:t>0.3</w:t>
                  </w:r>
                </w:p>
              </w:tc>
              <w:tc>
                <w:tcPr>
                  <w:tcW w:w="764" w:type="pct"/>
                  <w:tcBorders>
                    <w:tl2br w:val="nil"/>
                    <w:tr2bl w:val="nil"/>
                  </w:tcBorders>
                  <w:vAlign w:val="center"/>
                </w:tcPr>
                <w:p w14:paraId="49F349E1">
                  <w:pPr>
                    <w:pStyle w:val="12"/>
                    <w:rPr>
                      <w:rFonts w:cs="Times New Roman"/>
                    </w:rPr>
                  </w:pPr>
                  <w:r>
                    <w:rPr>
                      <w:rFonts w:cs="Times New Roman"/>
                    </w:rPr>
                    <w:t>废气处理</w:t>
                  </w:r>
                </w:p>
              </w:tc>
              <w:tc>
                <w:tcPr>
                  <w:tcW w:w="338" w:type="pct"/>
                  <w:tcBorders>
                    <w:tl2br w:val="nil"/>
                    <w:tr2bl w:val="nil"/>
                  </w:tcBorders>
                  <w:vAlign w:val="center"/>
                </w:tcPr>
                <w:p w14:paraId="156607E5">
                  <w:pPr>
                    <w:pStyle w:val="12"/>
                    <w:rPr>
                      <w:rFonts w:cs="Times New Roman"/>
                    </w:rPr>
                  </w:pPr>
                  <w:r>
                    <w:rPr>
                      <w:rFonts w:cs="Times New Roman"/>
                    </w:rPr>
                    <w:t>固态</w:t>
                  </w:r>
                </w:p>
              </w:tc>
              <w:tc>
                <w:tcPr>
                  <w:tcW w:w="1665" w:type="pct"/>
                  <w:tcBorders>
                    <w:tl2br w:val="nil"/>
                    <w:tr2bl w:val="nil"/>
                  </w:tcBorders>
                  <w:vAlign w:val="center"/>
                </w:tcPr>
                <w:p w14:paraId="064996CA">
                  <w:pPr>
                    <w:pStyle w:val="12"/>
                    <w:rPr>
                      <w:rFonts w:cs="Times New Roman"/>
                      <w:bCs/>
                    </w:rPr>
                  </w:pPr>
                  <w:r>
                    <w:rPr>
                      <w:rFonts w:cs="Times New Roman"/>
                      <w:bCs/>
                    </w:rPr>
                    <w:t>厂家回收</w:t>
                  </w:r>
                  <w:r>
                    <w:rPr>
                      <w:rFonts w:hint="eastAsia" w:cs="Times New Roman"/>
                      <w:bCs/>
                      <w:lang w:val="en-US" w:eastAsia="zh-CN"/>
                    </w:rPr>
                    <w:t>利用</w:t>
                  </w:r>
                </w:p>
              </w:tc>
            </w:tr>
            <w:tr w14:paraId="0B096F8B">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441" w:hRule="atLeast"/>
              </w:trPr>
              <w:tc>
                <w:tcPr>
                  <w:tcW w:w="1037" w:type="pct"/>
                  <w:tcBorders>
                    <w:tl2br w:val="nil"/>
                    <w:tr2bl w:val="nil"/>
                  </w:tcBorders>
                  <w:vAlign w:val="center"/>
                </w:tcPr>
                <w:p w14:paraId="0336E217">
                  <w:pPr>
                    <w:pStyle w:val="12"/>
                    <w:ind w:firstLine="0" w:firstLineChars="0"/>
                    <w:rPr>
                      <w:rFonts w:hint="default" w:cs="Times New Roman"/>
                      <w:lang w:val="en-US" w:eastAsia="zh-CN"/>
                    </w:rPr>
                  </w:pPr>
                  <w:r>
                    <w:rPr>
                      <w:rFonts w:hint="eastAsia" w:cs="Times New Roman"/>
                      <w:lang w:val="en-US" w:eastAsia="zh-CN"/>
                    </w:rPr>
                    <w:t>氟化钙污泥</w:t>
                  </w:r>
                </w:p>
              </w:tc>
              <w:tc>
                <w:tcPr>
                  <w:tcW w:w="646" w:type="pct"/>
                  <w:vMerge w:val="continue"/>
                  <w:tcBorders>
                    <w:tl2br w:val="nil"/>
                    <w:tr2bl w:val="nil"/>
                  </w:tcBorders>
                  <w:vAlign w:val="center"/>
                </w:tcPr>
                <w:p w14:paraId="40F30BDE">
                  <w:pPr>
                    <w:pStyle w:val="12"/>
                    <w:rPr>
                      <w:rFonts w:cs="Times New Roman"/>
                    </w:rPr>
                  </w:pPr>
                </w:p>
              </w:tc>
              <w:tc>
                <w:tcPr>
                  <w:tcW w:w="548" w:type="pct"/>
                  <w:tcBorders>
                    <w:tl2br w:val="nil"/>
                    <w:tr2bl w:val="nil"/>
                  </w:tcBorders>
                  <w:vAlign w:val="center"/>
                </w:tcPr>
                <w:p w14:paraId="55A996B2">
                  <w:pPr>
                    <w:pStyle w:val="12"/>
                    <w:rPr>
                      <w:rFonts w:hint="default" w:cs="Times New Roman"/>
                      <w:lang w:val="en-US" w:eastAsia="zh-CN"/>
                    </w:rPr>
                  </w:pPr>
                  <w:r>
                    <w:rPr>
                      <w:rFonts w:hint="eastAsia" w:cs="Times New Roman"/>
                      <w:lang w:val="en-US" w:eastAsia="zh-CN"/>
                    </w:rPr>
                    <w:t>1172</w:t>
                  </w:r>
                </w:p>
              </w:tc>
              <w:tc>
                <w:tcPr>
                  <w:tcW w:w="764" w:type="pct"/>
                  <w:tcBorders>
                    <w:tl2br w:val="nil"/>
                    <w:tr2bl w:val="nil"/>
                  </w:tcBorders>
                  <w:vAlign w:val="center"/>
                </w:tcPr>
                <w:p w14:paraId="7606BD56">
                  <w:pPr>
                    <w:pStyle w:val="12"/>
                    <w:rPr>
                      <w:rFonts w:hint="default" w:eastAsia="宋体" w:cs="Times New Roman"/>
                      <w:lang w:val="en-US" w:eastAsia="zh-CN"/>
                    </w:rPr>
                  </w:pPr>
                  <w:r>
                    <w:rPr>
                      <w:rFonts w:hint="eastAsia" w:cs="Times New Roman"/>
                      <w:lang w:val="en-US" w:eastAsia="zh-CN"/>
                    </w:rPr>
                    <w:t>废气处理</w:t>
                  </w:r>
                </w:p>
              </w:tc>
              <w:tc>
                <w:tcPr>
                  <w:tcW w:w="338" w:type="pct"/>
                  <w:tcBorders>
                    <w:tl2br w:val="nil"/>
                    <w:tr2bl w:val="nil"/>
                  </w:tcBorders>
                  <w:vAlign w:val="center"/>
                </w:tcPr>
                <w:p w14:paraId="1AEF36F8">
                  <w:pPr>
                    <w:pStyle w:val="12"/>
                    <w:rPr>
                      <w:rFonts w:hint="eastAsia" w:eastAsia="宋体" w:cs="Times New Roman"/>
                      <w:lang w:val="en-US" w:eastAsia="zh-CN"/>
                    </w:rPr>
                  </w:pPr>
                  <w:r>
                    <w:rPr>
                      <w:rFonts w:hint="eastAsia" w:cs="Times New Roman"/>
                      <w:lang w:val="en-US" w:eastAsia="zh-CN"/>
                    </w:rPr>
                    <w:t>固态</w:t>
                  </w:r>
                </w:p>
              </w:tc>
              <w:tc>
                <w:tcPr>
                  <w:tcW w:w="1665" w:type="pct"/>
                  <w:tcBorders>
                    <w:tl2br w:val="nil"/>
                    <w:tr2bl w:val="nil"/>
                  </w:tcBorders>
                  <w:vAlign w:val="center"/>
                </w:tcPr>
                <w:p w14:paraId="3E362900">
                  <w:pPr>
                    <w:pStyle w:val="12"/>
                    <w:rPr>
                      <w:rFonts w:hint="default" w:eastAsia="宋体" w:cs="Times New Roman"/>
                      <w:bCs/>
                      <w:lang w:val="en-US" w:eastAsia="zh-CN"/>
                    </w:rPr>
                  </w:pPr>
                  <w:r>
                    <w:rPr>
                      <w:rFonts w:hint="eastAsia" w:cs="Times New Roman"/>
                      <w:bCs/>
                      <w:lang w:val="en-US" w:eastAsia="zh-CN"/>
                    </w:rPr>
                    <w:t>外售水泥厂制水泥</w:t>
                  </w:r>
                </w:p>
              </w:tc>
            </w:tr>
            <w:tr w14:paraId="3FC56D18">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441" w:hRule="atLeast"/>
              </w:trPr>
              <w:tc>
                <w:tcPr>
                  <w:tcW w:w="1037" w:type="pct"/>
                  <w:tcBorders>
                    <w:tl2br w:val="nil"/>
                    <w:tr2bl w:val="nil"/>
                  </w:tcBorders>
                  <w:vAlign w:val="center"/>
                </w:tcPr>
                <w:p w14:paraId="6D15C283">
                  <w:pPr>
                    <w:pStyle w:val="12"/>
                    <w:ind w:firstLine="0" w:firstLineChars="0"/>
                    <w:rPr>
                      <w:rFonts w:hint="default" w:cs="Times New Roman"/>
                      <w:lang w:val="en-US" w:eastAsia="zh-CN"/>
                    </w:rPr>
                  </w:pPr>
                  <w:r>
                    <w:rPr>
                      <w:rFonts w:hint="eastAsia" w:cs="Times New Roman"/>
                      <w:lang w:val="en-US" w:eastAsia="zh-CN"/>
                    </w:rPr>
                    <w:t>初期雨水池污泥</w:t>
                  </w:r>
                </w:p>
              </w:tc>
              <w:tc>
                <w:tcPr>
                  <w:tcW w:w="646" w:type="pct"/>
                  <w:vMerge w:val="continue"/>
                  <w:tcBorders>
                    <w:tl2br w:val="nil"/>
                    <w:tr2bl w:val="nil"/>
                  </w:tcBorders>
                  <w:vAlign w:val="center"/>
                </w:tcPr>
                <w:p w14:paraId="0BCBA939">
                  <w:pPr>
                    <w:pStyle w:val="12"/>
                    <w:rPr>
                      <w:rFonts w:cs="Times New Roman"/>
                    </w:rPr>
                  </w:pPr>
                </w:p>
              </w:tc>
              <w:tc>
                <w:tcPr>
                  <w:tcW w:w="548" w:type="pct"/>
                  <w:tcBorders>
                    <w:tl2br w:val="nil"/>
                    <w:tr2bl w:val="nil"/>
                  </w:tcBorders>
                  <w:vAlign w:val="center"/>
                </w:tcPr>
                <w:p w14:paraId="74BE3059">
                  <w:pPr>
                    <w:pStyle w:val="12"/>
                    <w:rPr>
                      <w:rFonts w:hint="default" w:cs="Times New Roman"/>
                      <w:lang w:val="en-US" w:eastAsia="zh-CN"/>
                    </w:rPr>
                  </w:pPr>
                  <w:r>
                    <w:rPr>
                      <w:rFonts w:hint="eastAsia" w:cs="Times New Roman"/>
                      <w:lang w:val="en-US" w:eastAsia="zh-CN"/>
                    </w:rPr>
                    <w:t>0.01</w:t>
                  </w:r>
                </w:p>
              </w:tc>
              <w:tc>
                <w:tcPr>
                  <w:tcW w:w="764" w:type="pct"/>
                  <w:tcBorders>
                    <w:tl2br w:val="nil"/>
                    <w:tr2bl w:val="nil"/>
                  </w:tcBorders>
                  <w:vAlign w:val="center"/>
                </w:tcPr>
                <w:p w14:paraId="792B73A1">
                  <w:pPr>
                    <w:pStyle w:val="12"/>
                    <w:rPr>
                      <w:rFonts w:hint="default" w:cs="Times New Roman"/>
                      <w:lang w:val="en-US" w:eastAsia="zh-CN"/>
                    </w:rPr>
                  </w:pPr>
                  <w:r>
                    <w:rPr>
                      <w:rFonts w:hint="eastAsia" w:cs="Times New Roman"/>
                      <w:lang w:val="en-US" w:eastAsia="zh-CN"/>
                    </w:rPr>
                    <w:t>初期雨水处理</w:t>
                  </w:r>
                </w:p>
              </w:tc>
              <w:tc>
                <w:tcPr>
                  <w:tcW w:w="338" w:type="pct"/>
                  <w:tcBorders>
                    <w:tl2br w:val="nil"/>
                    <w:tr2bl w:val="nil"/>
                  </w:tcBorders>
                  <w:vAlign w:val="center"/>
                </w:tcPr>
                <w:p w14:paraId="02E688DC">
                  <w:pPr>
                    <w:pStyle w:val="12"/>
                    <w:rPr>
                      <w:rFonts w:hint="default" w:cs="Times New Roman"/>
                      <w:lang w:val="en-US" w:eastAsia="zh-CN"/>
                    </w:rPr>
                  </w:pPr>
                  <w:r>
                    <w:rPr>
                      <w:rFonts w:hint="eastAsia" w:cs="Times New Roman"/>
                      <w:lang w:val="en-US" w:eastAsia="zh-CN"/>
                    </w:rPr>
                    <w:t>固态</w:t>
                  </w:r>
                </w:p>
              </w:tc>
              <w:tc>
                <w:tcPr>
                  <w:tcW w:w="1665" w:type="pct"/>
                  <w:tcBorders>
                    <w:tl2br w:val="nil"/>
                    <w:tr2bl w:val="nil"/>
                  </w:tcBorders>
                  <w:vAlign w:val="center"/>
                </w:tcPr>
                <w:p w14:paraId="6FFBAADA">
                  <w:pPr>
                    <w:pStyle w:val="12"/>
                    <w:rPr>
                      <w:rFonts w:hint="default" w:cs="Times New Roman"/>
                      <w:bCs/>
                      <w:lang w:val="en-US" w:eastAsia="zh-CN"/>
                    </w:rPr>
                  </w:pPr>
                  <w:r>
                    <w:rPr>
                      <w:rFonts w:hint="eastAsia" w:cs="Times New Roman"/>
                      <w:color w:val="auto"/>
                      <w:sz w:val="21"/>
                      <w:szCs w:val="21"/>
                      <w:lang w:val="en-US" w:eastAsia="zh-CN"/>
                    </w:rPr>
                    <w:t>委托有资质固废处置单位</w:t>
                  </w:r>
                  <w:r>
                    <w:rPr>
                      <w:rFonts w:hint="default" w:ascii="Times New Roman" w:hAnsi="Times New Roman" w:eastAsia="宋体" w:cs="Times New Roman"/>
                      <w:color w:val="auto"/>
                      <w:sz w:val="21"/>
                      <w:szCs w:val="21"/>
                    </w:rPr>
                    <w:t>统一清运处理</w:t>
                  </w:r>
                </w:p>
              </w:tc>
            </w:tr>
            <w:tr w14:paraId="2AE30EDE">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329" w:hRule="atLeast"/>
              </w:trPr>
              <w:tc>
                <w:tcPr>
                  <w:tcW w:w="1037" w:type="pct"/>
                  <w:tcBorders>
                    <w:tl2br w:val="nil"/>
                    <w:tr2bl w:val="nil"/>
                  </w:tcBorders>
                  <w:vAlign w:val="center"/>
                </w:tcPr>
                <w:p w14:paraId="649C87C2">
                  <w:pPr>
                    <w:pStyle w:val="12"/>
                    <w:rPr>
                      <w:rFonts w:hint="default" w:cs="Times New Roman"/>
                      <w:lang w:val="en-US" w:eastAsia="zh-CN"/>
                    </w:rPr>
                  </w:pPr>
                  <w:r>
                    <w:rPr>
                      <w:rFonts w:hint="eastAsia" w:cs="Times New Roman"/>
                      <w:lang w:val="en-US" w:eastAsia="zh-CN"/>
                    </w:rPr>
                    <w:t>废活性炭</w:t>
                  </w:r>
                </w:p>
              </w:tc>
              <w:tc>
                <w:tcPr>
                  <w:tcW w:w="646" w:type="pct"/>
                  <w:vMerge w:val="restart"/>
                  <w:tcBorders>
                    <w:tl2br w:val="nil"/>
                    <w:tr2bl w:val="nil"/>
                  </w:tcBorders>
                  <w:vAlign w:val="center"/>
                </w:tcPr>
                <w:p w14:paraId="4538A7A9">
                  <w:pPr>
                    <w:pStyle w:val="12"/>
                    <w:rPr>
                      <w:rFonts w:cs="Times New Roman"/>
                    </w:rPr>
                  </w:pPr>
                  <w:r>
                    <w:rPr>
                      <w:rFonts w:cs="Times New Roman"/>
                    </w:rPr>
                    <w:t>危险</w:t>
                  </w:r>
                </w:p>
                <w:p w14:paraId="2DBA20B6">
                  <w:pPr>
                    <w:pStyle w:val="12"/>
                    <w:rPr>
                      <w:rFonts w:cs="Times New Roman"/>
                    </w:rPr>
                  </w:pPr>
                  <w:r>
                    <w:rPr>
                      <w:rFonts w:cs="Times New Roman"/>
                    </w:rPr>
                    <w:t>废物</w:t>
                  </w:r>
                </w:p>
              </w:tc>
              <w:tc>
                <w:tcPr>
                  <w:tcW w:w="548" w:type="pct"/>
                  <w:tcBorders>
                    <w:tl2br w:val="nil"/>
                    <w:tr2bl w:val="nil"/>
                  </w:tcBorders>
                  <w:vAlign w:val="center"/>
                </w:tcPr>
                <w:p w14:paraId="45BF3D36">
                  <w:pPr>
                    <w:pStyle w:val="12"/>
                    <w:rPr>
                      <w:rFonts w:hint="default" w:eastAsia="宋体" w:cs="Times New Roman"/>
                      <w:lang w:val="en-US" w:eastAsia="zh-CN"/>
                    </w:rPr>
                  </w:pPr>
                  <w:r>
                    <w:rPr>
                      <w:rFonts w:hint="eastAsia" w:cs="Times New Roman"/>
                      <w:lang w:val="en-US" w:eastAsia="zh-CN"/>
                    </w:rPr>
                    <w:t>39.3966</w:t>
                  </w:r>
                </w:p>
              </w:tc>
              <w:tc>
                <w:tcPr>
                  <w:tcW w:w="764" w:type="pct"/>
                  <w:tcBorders>
                    <w:tl2br w:val="nil"/>
                    <w:tr2bl w:val="nil"/>
                  </w:tcBorders>
                  <w:vAlign w:val="center"/>
                </w:tcPr>
                <w:p w14:paraId="6BE8262C">
                  <w:pPr>
                    <w:pStyle w:val="12"/>
                    <w:rPr>
                      <w:rFonts w:hint="default" w:eastAsia="宋体" w:cs="Times New Roman"/>
                      <w:lang w:val="en-US" w:eastAsia="zh-CN"/>
                    </w:rPr>
                  </w:pPr>
                  <w:r>
                    <w:rPr>
                      <w:rFonts w:hint="eastAsia" w:cs="Times New Roman"/>
                      <w:lang w:val="en-US" w:eastAsia="zh-CN"/>
                    </w:rPr>
                    <w:t>废气处理</w:t>
                  </w:r>
                </w:p>
              </w:tc>
              <w:tc>
                <w:tcPr>
                  <w:tcW w:w="338" w:type="pct"/>
                  <w:tcBorders>
                    <w:tl2br w:val="nil"/>
                    <w:tr2bl w:val="nil"/>
                  </w:tcBorders>
                  <w:vAlign w:val="center"/>
                </w:tcPr>
                <w:p w14:paraId="567E6DDC">
                  <w:pPr>
                    <w:pStyle w:val="12"/>
                    <w:rPr>
                      <w:rFonts w:cs="Times New Roman"/>
                    </w:rPr>
                  </w:pPr>
                  <w:r>
                    <w:rPr>
                      <w:rFonts w:hint="eastAsia" w:cs="Times New Roman"/>
                      <w:lang w:val="en-US" w:eastAsia="zh-CN"/>
                    </w:rPr>
                    <w:t>固态</w:t>
                  </w:r>
                </w:p>
              </w:tc>
              <w:tc>
                <w:tcPr>
                  <w:tcW w:w="1665" w:type="pct"/>
                  <w:tcBorders>
                    <w:tl2br w:val="nil"/>
                    <w:tr2bl w:val="nil"/>
                  </w:tcBorders>
                  <w:vAlign w:val="center"/>
                </w:tcPr>
                <w:p w14:paraId="11A08E27">
                  <w:pPr>
                    <w:pStyle w:val="12"/>
                    <w:rPr>
                      <w:rFonts w:cs="Times New Roman"/>
                      <w:bCs/>
                    </w:rPr>
                  </w:pPr>
                  <w:r>
                    <w:rPr>
                      <w:rFonts w:hint="eastAsia" w:cs="Times New Roman"/>
                      <w:bCs/>
                      <w:lang w:val="en-US" w:eastAsia="zh-CN"/>
                    </w:rPr>
                    <w:t>分类分区</w:t>
                  </w:r>
                  <w:r>
                    <w:rPr>
                      <w:rFonts w:cs="Times New Roman"/>
                      <w:bCs/>
                    </w:rPr>
                    <w:t>暂存于危废暂存间，定期交由资质单位处置</w:t>
                  </w:r>
                </w:p>
              </w:tc>
            </w:tr>
            <w:tr w14:paraId="365BDD1A">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329" w:hRule="atLeast"/>
              </w:trPr>
              <w:tc>
                <w:tcPr>
                  <w:tcW w:w="1037" w:type="pct"/>
                  <w:tcBorders>
                    <w:tl2br w:val="nil"/>
                    <w:tr2bl w:val="nil"/>
                  </w:tcBorders>
                  <w:vAlign w:val="center"/>
                </w:tcPr>
                <w:p w14:paraId="3B80E456">
                  <w:pPr>
                    <w:pStyle w:val="12"/>
                    <w:rPr>
                      <w:rFonts w:hint="eastAsia" w:eastAsia="宋体" w:cs="Times New Roman"/>
                      <w:lang w:val="en-US" w:eastAsia="zh-CN"/>
                    </w:rPr>
                  </w:pPr>
                  <w:r>
                    <w:rPr>
                      <w:rFonts w:hint="eastAsia" w:cs="Times New Roman"/>
                      <w:lang w:val="en-US" w:eastAsia="zh-CN"/>
                    </w:rPr>
                    <w:t>废液压油</w:t>
                  </w:r>
                </w:p>
              </w:tc>
              <w:tc>
                <w:tcPr>
                  <w:tcW w:w="646" w:type="pct"/>
                  <w:vMerge w:val="continue"/>
                  <w:tcBorders>
                    <w:tl2br w:val="nil"/>
                    <w:tr2bl w:val="nil"/>
                  </w:tcBorders>
                  <w:vAlign w:val="center"/>
                </w:tcPr>
                <w:p w14:paraId="5AC4908E">
                  <w:pPr>
                    <w:pStyle w:val="12"/>
                    <w:rPr>
                      <w:rFonts w:cs="Times New Roman"/>
                    </w:rPr>
                  </w:pPr>
                </w:p>
              </w:tc>
              <w:tc>
                <w:tcPr>
                  <w:tcW w:w="548" w:type="pct"/>
                  <w:tcBorders>
                    <w:tl2br w:val="nil"/>
                    <w:tr2bl w:val="nil"/>
                  </w:tcBorders>
                  <w:vAlign w:val="center"/>
                </w:tcPr>
                <w:p w14:paraId="41EA8535">
                  <w:pPr>
                    <w:pStyle w:val="12"/>
                    <w:rPr>
                      <w:rFonts w:hint="default" w:eastAsia="宋体" w:cs="Times New Roman"/>
                      <w:lang w:val="en-US" w:eastAsia="zh-CN"/>
                    </w:rPr>
                  </w:pPr>
                  <w:r>
                    <w:rPr>
                      <w:rFonts w:hint="eastAsia" w:cs="Times New Roman"/>
                      <w:lang w:val="en-US" w:eastAsia="zh-CN"/>
                    </w:rPr>
                    <w:t>0.34</w:t>
                  </w:r>
                </w:p>
              </w:tc>
              <w:tc>
                <w:tcPr>
                  <w:tcW w:w="764" w:type="pct"/>
                  <w:tcBorders>
                    <w:tl2br w:val="nil"/>
                    <w:tr2bl w:val="nil"/>
                  </w:tcBorders>
                  <w:vAlign w:val="center"/>
                </w:tcPr>
                <w:p w14:paraId="5D051220">
                  <w:pPr>
                    <w:pStyle w:val="12"/>
                    <w:rPr>
                      <w:rFonts w:cs="Times New Roman"/>
                    </w:rPr>
                  </w:pPr>
                  <w:r>
                    <w:rPr>
                      <w:rFonts w:cs="Times New Roman"/>
                    </w:rPr>
                    <w:t>设备维护</w:t>
                  </w:r>
                </w:p>
              </w:tc>
              <w:tc>
                <w:tcPr>
                  <w:tcW w:w="338" w:type="pct"/>
                  <w:tcBorders>
                    <w:tl2br w:val="nil"/>
                    <w:tr2bl w:val="nil"/>
                  </w:tcBorders>
                  <w:vAlign w:val="center"/>
                </w:tcPr>
                <w:p w14:paraId="26954798">
                  <w:pPr>
                    <w:pStyle w:val="12"/>
                    <w:rPr>
                      <w:rFonts w:cs="Times New Roman"/>
                    </w:rPr>
                  </w:pPr>
                  <w:r>
                    <w:rPr>
                      <w:rFonts w:cs="Times New Roman"/>
                    </w:rPr>
                    <w:t>液态</w:t>
                  </w:r>
                </w:p>
              </w:tc>
              <w:tc>
                <w:tcPr>
                  <w:tcW w:w="1665" w:type="pct"/>
                  <w:tcBorders>
                    <w:tl2br w:val="nil"/>
                    <w:tr2bl w:val="nil"/>
                  </w:tcBorders>
                  <w:vAlign w:val="center"/>
                </w:tcPr>
                <w:p w14:paraId="47E85042">
                  <w:pPr>
                    <w:pStyle w:val="12"/>
                    <w:rPr>
                      <w:rFonts w:hint="default" w:eastAsia="宋体" w:cs="Times New Roman"/>
                      <w:bCs/>
                      <w:lang w:val="en-US" w:eastAsia="zh-CN"/>
                    </w:rPr>
                  </w:pPr>
                  <w:r>
                    <w:rPr>
                      <w:rFonts w:hint="eastAsia" w:cs="Times New Roman"/>
                      <w:bCs/>
                      <w:lang w:val="en-US" w:eastAsia="zh-CN"/>
                    </w:rPr>
                    <w:t>厂家更换后带走，不在厂内暂存</w:t>
                  </w:r>
                </w:p>
              </w:tc>
            </w:tr>
            <w:tr w14:paraId="5C9D121A">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329" w:hRule="atLeast"/>
              </w:trPr>
              <w:tc>
                <w:tcPr>
                  <w:tcW w:w="1037" w:type="pct"/>
                  <w:tcBorders>
                    <w:tl2br w:val="nil"/>
                    <w:tr2bl w:val="nil"/>
                  </w:tcBorders>
                  <w:vAlign w:val="center"/>
                </w:tcPr>
                <w:p w14:paraId="7D3E0236">
                  <w:pPr>
                    <w:pStyle w:val="12"/>
                    <w:rPr>
                      <w:rFonts w:hint="eastAsia" w:eastAsia="宋体" w:cs="Times New Roman"/>
                      <w:lang w:val="en-US" w:eastAsia="zh-CN"/>
                    </w:rPr>
                  </w:pPr>
                  <w:r>
                    <w:rPr>
                      <w:rFonts w:hint="eastAsia" w:cs="Times New Roman"/>
                      <w:lang w:val="en-US" w:eastAsia="zh-CN"/>
                    </w:rPr>
                    <w:t>废机油</w:t>
                  </w:r>
                </w:p>
              </w:tc>
              <w:tc>
                <w:tcPr>
                  <w:tcW w:w="646" w:type="pct"/>
                  <w:vMerge w:val="continue"/>
                  <w:tcBorders>
                    <w:tl2br w:val="nil"/>
                    <w:tr2bl w:val="nil"/>
                  </w:tcBorders>
                  <w:vAlign w:val="center"/>
                </w:tcPr>
                <w:p w14:paraId="4EE7D4AB">
                  <w:pPr>
                    <w:pStyle w:val="12"/>
                    <w:rPr>
                      <w:rFonts w:cs="Times New Roman"/>
                    </w:rPr>
                  </w:pPr>
                </w:p>
              </w:tc>
              <w:tc>
                <w:tcPr>
                  <w:tcW w:w="548" w:type="pct"/>
                  <w:tcBorders>
                    <w:tl2br w:val="nil"/>
                    <w:tr2bl w:val="nil"/>
                  </w:tcBorders>
                  <w:vAlign w:val="center"/>
                </w:tcPr>
                <w:p w14:paraId="2ED6721F">
                  <w:pPr>
                    <w:pStyle w:val="12"/>
                    <w:rPr>
                      <w:rFonts w:hint="default" w:eastAsia="宋体" w:cs="Times New Roman"/>
                      <w:lang w:val="en-US" w:eastAsia="zh-CN"/>
                    </w:rPr>
                  </w:pPr>
                  <w:r>
                    <w:rPr>
                      <w:rFonts w:hint="eastAsia" w:cs="Times New Roman"/>
                      <w:lang w:val="en-US" w:eastAsia="zh-CN"/>
                    </w:rPr>
                    <w:t>0.4</w:t>
                  </w:r>
                </w:p>
              </w:tc>
              <w:tc>
                <w:tcPr>
                  <w:tcW w:w="764" w:type="pct"/>
                  <w:tcBorders>
                    <w:tl2br w:val="nil"/>
                    <w:tr2bl w:val="nil"/>
                  </w:tcBorders>
                  <w:vAlign w:val="center"/>
                </w:tcPr>
                <w:p w14:paraId="73E4EC78">
                  <w:pPr>
                    <w:pStyle w:val="12"/>
                    <w:rPr>
                      <w:rFonts w:cs="Times New Roman"/>
                    </w:rPr>
                  </w:pPr>
                  <w:r>
                    <w:rPr>
                      <w:rFonts w:cs="Times New Roman"/>
                    </w:rPr>
                    <w:t>设备维护</w:t>
                  </w:r>
                </w:p>
              </w:tc>
              <w:tc>
                <w:tcPr>
                  <w:tcW w:w="338" w:type="pct"/>
                  <w:tcBorders>
                    <w:tl2br w:val="nil"/>
                    <w:tr2bl w:val="nil"/>
                  </w:tcBorders>
                  <w:vAlign w:val="center"/>
                </w:tcPr>
                <w:p w14:paraId="3050B64C">
                  <w:pPr>
                    <w:pStyle w:val="12"/>
                    <w:rPr>
                      <w:rFonts w:hint="eastAsia" w:eastAsia="宋体" w:cs="Times New Roman"/>
                      <w:lang w:eastAsia="zh-CN"/>
                    </w:rPr>
                  </w:pPr>
                  <w:r>
                    <w:rPr>
                      <w:rFonts w:hint="eastAsia" w:cs="Times New Roman"/>
                      <w:lang w:val="en-US" w:eastAsia="zh-CN"/>
                    </w:rPr>
                    <w:t>液态</w:t>
                  </w:r>
                </w:p>
              </w:tc>
              <w:tc>
                <w:tcPr>
                  <w:tcW w:w="1665" w:type="pct"/>
                  <w:vMerge w:val="restart"/>
                  <w:tcBorders>
                    <w:tl2br w:val="nil"/>
                    <w:tr2bl w:val="nil"/>
                  </w:tcBorders>
                  <w:vAlign w:val="center"/>
                </w:tcPr>
                <w:p w14:paraId="236E6172">
                  <w:pPr>
                    <w:pStyle w:val="12"/>
                    <w:rPr>
                      <w:rFonts w:cs="Times New Roman"/>
                      <w:bCs/>
                    </w:rPr>
                  </w:pPr>
                  <w:r>
                    <w:rPr>
                      <w:rFonts w:hint="eastAsia" w:cs="Times New Roman"/>
                      <w:bCs/>
                      <w:lang w:val="en-US" w:eastAsia="zh-CN"/>
                    </w:rPr>
                    <w:t>分类分区</w:t>
                  </w:r>
                  <w:r>
                    <w:rPr>
                      <w:rFonts w:cs="Times New Roman"/>
                      <w:bCs/>
                    </w:rPr>
                    <w:t>暂存于危废暂存间，定期交由资质单位处置</w:t>
                  </w:r>
                </w:p>
              </w:tc>
            </w:tr>
            <w:tr w14:paraId="74A2D044">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329" w:hRule="atLeast"/>
              </w:trPr>
              <w:tc>
                <w:tcPr>
                  <w:tcW w:w="1037" w:type="pct"/>
                  <w:tcBorders>
                    <w:tl2br w:val="nil"/>
                    <w:tr2bl w:val="nil"/>
                  </w:tcBorders>
                  <w:vAlign w:val="center"/>
                </w:tcPr>
                <w:p w14:paraId="301DBB57">
                  <w:pPr>
                    <w:pStyle w:val="12"/>
                    <w:rPr>
                      <w:rFonts w:hint="default" w:eastAsia="宋体" w:cs="Times New Roman"/>
                      <w:kern w:val="21"/>
                      <w:lang w:val="en-US" w:eastAsia="zh-CN"/>
                    </w:rPr>
                  </w:pPr>
                  <w:r>
                    <w:rPr>
                      <w:rFonts w:hint="eastAsia" w:cs="Times New Roman"/>
                      <w:kern w:val="21"/>
                      <w:lang w:val="en-US" w:eastAsia="zh-CN"/>
                    </w:rPr>
                    <w:t>废机油桶</w:t>
                  </w:r>
                </w:p>
              </w:tc>
              <w:tc>
                <w:tcPr>
                  <w:tcW w:w="646" w:type="pct"/>
                  <w:vMerge w:val="continue"/>
                  <w:tcBorders>
                    <w:tl2br w:val="nil"/>
                    <w:tr2bl w:val="nil"/>
                  </w:tcBorders>
                  <w:vAlign w:val="center"/>
                </w:tcPr>
                <w:p w14:paraId="7FA8BC90">
                  <w:pPr>
                    <w:pStyle w:val="12"/>
                    <w:rPr>
                      <w:rFonts w:cs="Times New Roman"/>
                    </w:rPr>
                  </w:pPr>
                </w:p>
              </w:tc>
              <w:tc>
                <w:tcPr>
                  <w:tcW w:w="548" w:type="pct"/>
                  <w:tcBorders>
                    <w:tl2br w:val="nil"/>
                    <w:tr2bl w:val="nil"/>
                  </w:tcBorders>
                  <w:vAlign w:val="center"/>
                </w:tcPr>
                <w:p w14:paraId="0756D6DA">
                  <w:pPr>
                    <w:pStyle w:val="12"/>
                    <w:rPr>
                      <w:rFonts w:hint="default" w:eastAsia="宋体" w:cs="Times New Roman"/>
                      <w:lang w:val="en-US" w:eastAsia="zh-CN"/>
                    </w:rPr>
                  </w:pPr>
                  <w:r>
                    <w:rPr>
                      <w:rFonts w:hint="eastAsia" w:cs="Times New Roman"/>
                      <w:lang w:val="en-US" w:eastAsia="zh-CN"/>
                    </w:rPr>
                    <w:t>0.02</w:t>
                  </w:r>
                </w:p>
              </w:tc>
              <w:tc>
                <w:tcPr>
                  <w:tcW w:w="764" w:type="pct"/>
                  <w:tcBorders>
                    <w:tl2br w:val="nil"/>
                    <w:tr2bl w:val="nil"/>
                  </w:tcBorders>
                  <w:vAlign w:val="center"/>
                </w:tcPr>
                <w:p w14:paraId="297D2A76">
                  <w:pPr>
                    <w:pStyle w:val="12"/>
                    <w:rPr>
                      <w:rFonts w:cs="Times New Roman"/>
                    </w:rPr>
                  </w:pPr>
                  <w:r>
                    <w:rPr>
                      <w:rFonts w:cs="Times New Roman"/>
                    </w:rPr>
                    <w:t>设备维护</w:t>
                  </w:r>
                </w:p>
              </w:tc>
              <w:tc>
                <w:tcPr>
                  <w:tcW w:w="338" w:type="pct"/>
                  <w:tcBorders>
                    <w:tl2br w:val="nil"/>
                    <w:tr2bl w:val="nil"/>
                  </w:tcBorders>
                  <w:vAlign w:val="center"/>
                </w:tcPr>
                <w:p w14:paraId="41D2AC5C">
                  <w:pPr>
                    <w:pStyle w:val="12"/>
                    <w:rPr>
                      <w:rFonts w:hint="eastAsia" w:eastAsia="宋体" w:cs="Times New Roman"/>
                      <w:lang w:eastAsia="zh-CN"/>
                    </w:rPr>
                  </w:pPr>
                  <w:r>
                    <w:rPr>
                      <w:rFonts w:hint="eastAsia" w:cs="Times New Roman"/>
                      <w:lang w:val="en-US" w:eastAsia="zh-CN"/>
                    </w:rPr>
                    <w:t>固态</w:t>
                  </w:r>
                </w:p>
              </w:tc>
              <w:tc>
                <w:tcPr>
                  <w:tcW w:w="1665" w:type="pct"/>
                  <w:vMerge w:val="continue"/>
                  <w:tcBorders>
                    <w:tl2br w:val="nil"/>
                    <w:tr2bl w:val="nil"/>
                  </w:tcBorders>
                  <w:vAlign w:val="center"/>
                </w:tcPr>
                <w:p w14:paraId="4A2B27CD">
                  <w:pPr>
                    <w:pStyle w:val="12"/>
                    <w:rPr>
                      <w:rFonts w:cs="Times New Roman"/>
                      <w:bCs/>
                    </w:rPr>
                  </w:pPr>
                </w:p>
              </w:tc>
            </w:tr>
            <w:tr w14:paraId="02041B37">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329" w:hRule="atLeast"/>
              </w:trPr>
              <w:tc>
                <w:tcPr>
                  <w:tcW w:w="1037" w:type="pct"/>
                  <w:tcBorders>
                    <w:tl2br w:val="nil"/>
                    <w:tr2bl w:val="nil"/>
                  </w:tcBorders>
                  <w:vAlign w:val="center"/>
                </w:tcPr>
                <w:p w14:paraId="5BF71FDC">
                  <w:pPr>
                    <w:pStyle w:val="12"/>
                    <w:rPr>
                      <w:rFonts w:hint="default" w:eastAsia="宋体" w:cs="Times New Roman"/>
                      <w:kern w:val="21"/>
                      <w:lang w:val="en-US" w:eastAsia="zh-CN"/>
                    </w:rPr>
                  </w:pPr>
                  <w:r>
                    <w:rPr>
                      <w:rFonts w:hint="eastAsia" w:cs="Times New Roman"/>
                      <w:kern w:val="21"/>
                      <w:lang w:val="en-US" w:eastAsia="zh-CN"/>
                    </w:rPr>
                    <w:t>沾油废物</w:t>
                  </w:r>
                </w:p>
              </w:tc>
              <w:tc>
                <w:tcPr>
                  <w:tcW w:w="646" w:type="pct"/>
                  <w:vMerge w:val="continue"/>
                  <w:tcBorders>
                    <w:tl2br w:val="nil"/>
                    <w:tr2bl w:val="nil"/>
                  </w:tcBorders>
                  <w:vAlign w:val="center"/>
                </w:tcPr>
                <w:p w14:paraId="328E1F54">
                  <w:pPr>
                    <w:pStyle w:val="12"/>
                    <w:rPr>
                      <w:rFonts w:cs="Times New Roman"/>
                    </w:rPr>
                  </w:pPr>
                </w:p>
              </w:tc>
              <w:tc>
                <w:tcPr>
                  <w:tcW w:w="548" w:type="pct"/>
                  <w:tcBorders>
                    <w:tl2br w:val="nil"/>
                    <w:tr2bl w:val="nil"/>
                  </w:tcBorders>
                  <w:vAlign w:val="center"/>
                </w:tcPr>
                <w:p w14:paraId="11549C48">
                  <w:pPr>
                    <w:pStyle w:val="12"/>
                    <w:rPr>
                      <w:rFonts w:hint="default" w:eastAsia="宋体" w:cs="Times New Roman"/>
                      <w:lang w:val="en-US" w:eastAsia="zh-CN"/>
                    </w:rPr>
                  </w:pPr>
                  <w:r>
                    <w:rPr>
                      <w:rFonts w:hint="eastAsia" w:cs="Times New Roman"/>
                      <w:lang w:val="en-US" w:eastAsia="zh-CN"/>
                    </w:rPr>
                    <w:t>0.02</w:t>
                  </w:r>
                </w:p>
              </w:tc>
              <w:tc>
                <w:tcPr>
                  <w:tcW w:w="764" w:type="pct"/>
                  <w:tcBorders>
                    <w:tl2br w:val="nil"/>
                    <w:tr2bl w:val="nil"/>
                  </w:tcBorders>
                  <w:vAlign w:val="center"/>
                </w:tcPr>
                <w:p w14:paraId="75FC238F">
                  <w:pPr>
                    <w:pStyle w:val="12"/>
                    <w:rPr>
                      <w:rFonts w:cs="Times New Roman"/>
                    </w:rPr>
                  </w:pPr>
                  <w:r>
                    <w:rPr>
                      <w:rFonts w:cs="Times New Roman"/>
                    </w:rPr>
                    <w:t>设备维护</w:t>
                  </w:r>
                </w:p>
              </w:tc>
              <w:tc>
                <w:tcPr>
                  <w:tcW w:w="338" w:type="pct"/>
                  <w:tcBorders>
                    <w:tl2br w:val="nil"/>
                    <w:tr2bl w:val="nil"/>
                  </w:tcBorders>
                  <w:vAlign w:val="center"/>
                </w:tcPr>
                <w:p w14:paraId="64ED27FF">
                  <w:pPr>
                    <w:pStyle w:val="12"/>
                    <w:rPr>
                      <w:rFonts w:hint="eastAsia" w:eastAsia="宋体" w:cs="Times New Roman"/>
                      <w:lang w:eastAsia="zh-CN"/>
                    </w:rPr>
                  </w:pPr>
                  <w:r>
                    <w:rPr>
                      <w:rFonts w:hint="eastAsia" w:cs="Times New Roman"/>
                      <w:lang w:val="en-US" w:eastAsia="zh-CN"/>
                    </w:rPr>
                    <w:t>固态</w:t>
                  </w:r>
                </w:p>
              </w:tc>
              <w:tc>
                <w:tcPr>
                  <w:tcW w:w="1665" w:type="pct"/>
                  <w:vMerge w:val="continue"/>
                  <w:tcBorders>
                    <w:tl2br w:val="nil"/>
                    <w:tr2bl w:val="nil"/>
                  </w:tcBorders>
                  <w:vAlign w:val="center"/>
                </w:tcPr>
                <w:p w14:paraId="792455FF">
                  <w:pPr>
                    <w:pStyle w:val="12"/>
                    <w:rPr>
                      <w:rFonts w:cs="Times New Roman"/>
                      <w:bCs/>
                    </w:rPr>
                  </w:pPr>
                </w:p>
              </w:tc>
            </w:tr>
            <w:bookmarkEnd w:id="75"/>
            <w:tr w14:paraId="052AF35C">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255" w:hRule="atLeast"/>
              </w:trPr>
              <w:tc>
                <w:tcPr>
                  <w:tcW w:w="1037" w:type="pct"/>
                  <w:tcBorders>
                    <w:tl2br w:val="nil"/>
                    <w:tr2bl w:val="nil"/>
                  </w:tcBorders>
                  <w:vAlign w:val="center"/>
                </w:tcPr>
                <w:p w14:paraId="10CC586C">
                  <w:pPr>
                    <w:pStyle w:val="12"/>
                    <w:rPr>
                      <w:rFonts w:cs="Times New Roman"/>
                    </w:rPr>
                  </w:pPr>
                  <w:r>
                    <w:rPr>
                      <w:rFonts w:cs="Times New Roman"/>
                    </w:rPr>
                    <w:t>合计</w:t>
                  </w:r>
                </w:p>
              </w:tc>
              <w:tc>
                <w:tcPr>
                  <w:tcW w:w="646" w:type="pct"/>
                  <w:tcBorders>
                    <w:tl2br w:val="nil"/>
                    <w:tr2bl w:val="nil"/>
                  </w:tcBorders>
                  <w:vAlign w:val="center"/>
                </w:tcPr>
                <w:p w14:paraId="0A68ED12">
                  <w:pPr>
                    <w:pStyle w:val="12"/>
                    <w:rPr>
                      <w:rFonts w:cs="Times New Roman"/>
                    </w:rPr>
                  </w:pPr>
                  <w:r>
                    <w:rPr>
                      <w:rFonts w:cs="Times New Roman"/>
                    </w:rPr>
                    <w:t>/</w:t>
                  </w:r>
                </w:p>
              </w:tc>
              <w:tc>
                <w:tcPr>
                  <w:tcW w:w="548" w:type="pct"/>
                  <w:tcBorders>
                    <w:tl2br w:val="nil"/>
                    <w:tr2bl w:val="nil"/>
                  </w:tcBorders>
                  <w:shd w:val="clear" w:color="auto" w:fill="auto"/>
                  <w:vAlign w:val="center"/>
                </w:tcPr>
                <w:p w14:paraId="765B8A1A">
                  <w:pPr>
                    <w:keepNext w:val="0"/>
                    <w:keepLines w:val="0"/>
                    <w:widowControl/>
                    <w:suppressLineNumbers w:val="0"/>
                    <w:spacing w:line="240" w:lineRule="auto"/>
                    <w:ind w:firstLine="0" w:firstLineChars="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3475.7619</w:t>
                  </w:r>
                </w:p>
              </w:tc>
              <w:tc>
                <w:tcPr>
                  <w:tcW w:w="764" w:type="pct"/>
                  <w:tcBorders>
                    <w:tl2br w:val="nil"/>
                    <w:tr2bl w:val="nil"/>
                  </w:tcBorders>
                  <w:vAlign w:val="center"/>
                </w:tcPr>
                <w:p w14:paraId="30CDFAFC">
                  <w:pPr>
                    <w:pStyle w:val="12"/>
                    <w:rPr>
                      <w:rFonts w:cs="Times New Roman"/>
                    </w:rPr>
                  </w:pPr>
                  <w:r>
                    <w:rPr>
                      <w:rFonts w:cs="Times New Roman"/>
                    </w:rPr>
                    <w:t>/</w:t>
                  </w:r>
                </w:p>
              </w:tc>
              <w:tc>
                <w:tcPr>
                  <w:tcW w:w="338" w:type="pct"/>
                  <w:tcBorders>
                    <w:tl2br w:val="nil"/>
                    <w:tr2bl w:val="nil"/>
                  </w:tcBorders>
                  <w:vAlign w:val="center"/>
                </w:tcPr>
                <w:p w14:paraId="692272FB">
                  <w:pPr>
                    <w:pStyle w:val="12"/>
                    <w:rPr>
                      <w:rFonts w:cs="Times New Roman"/>
                    </w:rPr>
                  </w:pPr>
                  <w:r>
                    <w:rPr>
                      <w:rFonts w:cs="Times New Roman"/>
                    </w:rPr>
                    <w:t>/</w:t>
                  </w:r>
                </w:p>
              </w:tc>
              <w:tc>
                <w:tcPr>
                  <w:tcW w:w="1665" w:type="pct"/>
                  <w:tcBorders>
                    <w:tl2br w:val="nil"/>
                    <w:tr2bl w:val="nil"/>
                  </w:tcBorders>
                  <w:vAlign w:val="center"/>
                </w:tcPr>
                <w:p w14:paraId="69A1F46D">
                  <w:pPr>
                    <w:pStyle w:val="12"/>
                    <w:rPr>
                      <w:rFonts w:cs="Times New Roman"/>
                      <w:bCs/>
                    </w:rPr>
                  </w:pPr>
                  <w:r>
                    <w:rPr>
                      <w:rFonts w:cs="Times New Roman"/>
                      <w:bCs/>
                    </w:rPr>
                    <w:t>/</w:t>
                  </w:r>
                </w:p>
              </w:tc>
            </w:tr>
          </w:tbl>
          <w:p w14:paraId="18107ED6">
            <w:pPr>
              <w:pStyle w:val="11"/>
              <w:rPr>
                <w:rFonts w:cs="Times New Roman"/>
              </w:rPr>
            </w:pPr>
          </w:p>
          <w:p w14:paraId="5BC6CA44">
            <w:pPr>
              <w:pStyle w:val="11"/>
              <w:rPr>
                <w:rFonts w:cs="Times New Roman"/>
              </w:rPr>
            </w:pPr>
            <w:r>
              <w:rPr>
                <w:rFonts w:cs="Times New Roman"/>
              </w:rPr>
              <w:t>表</w:t>
            </w:r>
            <w:r>
              <w:rPr>
                <w:rFonts w:cs="Times New Roman"/>
              </w:rPr>
              <w:fldChar w:fldCharType="begin"/>
            </w:r>
            <w:r>
              <w:rPr>
                <w:rFonts w:cs="Times New Roman"/>
              </w:rPr>
              <w:instrText xml:space="preserve"> SEQ seq \c </w:instrText>
            </w:r>
            <w:r>
              <w:rPr>
                <w:rFonts w:cs="Times New Roman"/>
              </w:rPr>
              <w:fldChar w:fldCharType="separate"/>
            </w:r>
            <w:r>
              <w:rPr>
                <w:rFonts w:cs="Times New Roman"/>
              </w:rPr>
              <w:t>4</w:t>
            </w:r>
            <w:r>
              <w:rPr>
                <w:rFonts w:cs="Times New Roman"/>
              </w:rPr>
              <w:fldChar w:fldCharType="end"/>
            </w:r>
            <w:r>
              <w:rPr>
                <w:rFonts w:cs="Times New Roman"/>
              </w:rPr>
              <w:noBreakHyphen/>
            </w:r>
            <w:r>
              <w:rPr>
                <w:rFonts w:cs="Times New Roman"/>
              </w:rPr>
              <w:fldChar w:fldCharType="begin"/>
            </w:r>
            <w:r>
              <w:rPr>
                <w:rFonts w:cs="Times New Roman"/>
              </w:rPr>
              <w:instrText xml:space="preserve"> SEQ 表 \* ARABIC \s 1 </w:instrText>
            </w:r>
            <w:r>
              <w:rPr>
                <w:rFonts w:cs="Times New Roman"/>
              </w:rPr>
              <w:fldChar w:fldCharType="separate"/>
            </w:r>
            <w:r>
              <w:rPr>
                <w:rFonts w:cs="Times New Roman"/>
              </w:rPr>
              <w:t>8</w:t>
            </w:r>
            <w:r>
              <w:rPr>
                <w:rFonts w:cs="Times New Roman"/>
              </w:rPr>
              <w:fldChar w:fldCharType="end"/>
            </w:r>
            <w:r>
              <w:rPr>
                <w:rFonts w:cs="Times New Roman"/>
              </w:rPr>
              <w:t xml:space="preserve"> 本项目营运期间危险废物产生及处置情况</w:t>
            </w:r>
          </w:p>
          <w:tbl>
            <w:tblPr>
              <w:tblStyle w:val="26"/>
              <w:tblW w:w="4998" w:type="pct"/>
              <w:jc w:val="center"/>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Layout w:type="autofit"/>
              <w:tblCellMar>
                <w:top w:w="0" w:type="dxa"/>
                <w:left w:w="108" w:type="dxa"/>
                <w:bottom w:w="0" w:type="dxa"/>
                <w:right w:w="108" w:type="dxa"/>
              </w:tblCellMar>
            </w:tblPr>
            <w:tblGrid>
              <w:gridCol w:w="496"/>
              <w:gridCol w:w="790"/>
              <w:gridCol w:w="790"/>
              <w:gridCol w:w="1196"/>
              <w:gridCol w:w="899"/>
              <w:gridCol w:w="760"/>
              <w:gridCol w:w="469"/>
              <w:gridCol w:w="707"/>
              <w:gridCol w:w="688"/>
              <w:gridCol w:w="705"/>
              <w:gridCol w:w="645"/>
              <w:gridCol w:w="662"/>
            </w:tblGrid>
            <w:tr w14:paraId="17D1A9F2">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281" w:type="pct"/>
                  <w:tcBorders>
                    <w:tl2br w:val="nil"/>
                    <w:tr2bl w:val="nil"/>
                  </w:tcBorders>
                  <w:vAlign w:val="center"/>
                </w:tcPr>
                <w:p w14:paraId="744A753B">
                  <w:pPr>
                    <w:pStyle w:val="45"/>
                    <w:rPr>
                      <w:rFonts w:cs="Times New Roman"/>
                    </w:rPr>
                  </w:pPr>
                  <w:r>
                    <w:rPr>
                      <w:rFonts w:cs="Times New Roman"/>
                    </w:rPr>
                    <w:t>序号</w:t>
                  </w:r>
                </w:p>
              </w:tc>
              <w:tc>
                <w:tcPr>
                  <w:tcW w:w="448" w:type="pct"/>
                  <w:tcBorders>
                    <w:tl2br w:val="nil"/>
                    <w:tr2bl w:val="nil"/>
                  </w:tcBorders>
                  <w:vAlign w:val="center"/>
                </w:tcPr>
                <w:p w14:paraId="6780532A">
                  <w:pPr>
                    <w:pStyle w:val="45"/>
                    <w:rPr>
                      <w:rFonts w:cs="Times New Roman"/>
                    </w:rPr>
                  </w:pPr>
                  <w:r>
                    <w:rPr>
                      <w:rFonts w:cs="Times New Roman"/>
                    </w:rPr>
                    <w:t>危险废物名称</w:t>
                  </w:r>
                </w:p>
              </w:tc>
              <w:tc>
                <w:tcPr>
                  <w:tcW w:w="448" w:type="pct"/>
                  <w:tcBorders>
                    <w:tl2br w:val="nil"/>
                    <w:tr2bl w:val="nil"/>
                  </w:tcBorders>
                  <w:vAlign w:val="center"/>
                </w:tcPr>
                <w:p w14:paraId="4103607A">
                  <w:pPr>
                    <w:pStyle w:val="45"/>
                    <w:rPr>
                      <w:rFonts w:cs="Times New Roman"/>
                    </w:rPr>
                  </w:pPr>
                  <w:r>
                    <w:rPr>
                      <w:rFonts w:cs="Times New Roman"/>
                    </w:rPr>
                    <w:t>危险废物类别</w:t>
                  </w:r>
                </w:p>
              </w:tc>
              <w:tc>
                <w:tcPr>
                  <w:tcW w:w="678" w:type="pct"/>
                  <w:tcBorders>
                    <w:tl2br w:val="nil"/>
                    <w:tr2bl w:val="nil"/>
                  </w:tcBorders>
                  <w:vAlign w:val="center"/>
                </w:tcPr>
                <w:p w14:paraId="39990994">
                  <w:pPr>
                    <w:pStyle w:val="45"/>
                    <w:rPr>
                      <w:rFonts w:cs="Times New Roman"/>
                    </w:rPr>
                  </w:pPr>
                  <w:r>
                    <w:rPr>
                      <w:rFonts w:cs="Times New Roman"/>
                    </w:rPr>
                    <w:t>危险废物代码</w:t>
                  </w:r>
                </w:p>
              </w:tc>
              <w:tc>
                <w:tcPr>
                  <w:tcW w:w="510" w:type="pct"/>
                  <w:tcBorders>
                    <w:tl2br w:val="nil"/>
                    <w:tr2bl w:val="nil"/>
                  </w:tcBorders>
                  <w:vAlign w:val="center"/>
                </w:tcPr>
                <w:p w14:paraId="3F1143C3">
                  <w:pPr>
                    <w:pStyle w:val="45"/>
                    <w:rPr>
                      <w:rFonts w:cs="Times New Roman"/>
                    </w:rPr>
                  </w:pPr>
                  <w:r>
                    <w:rPr>
                      <w:rFonts w:cs="Times New Roman"/>
                    </w:rPr>
                    <w:t>产生量（吨/年）</w:t>
                  </w:r>
                </w:p>
              </w:tc>
              <w:tc>
                <w:tcPr>
                  <w:tcW w:w="431" w:type="pct"/>
                  <w:tcBorders>
                    <w:tl2br w:val="nil"/>
                    <w:tr2bl w:val="nil"/>
                  </w:tcBorders>
                  <w:vAlign w:val="center"/>
                </w:tcPr>
                <w:p w14:paraId="1461773E">
                  <w:pPr>
                    <w:pStyle w:val="45"/>
                    <w:rPr>
                      <w:rFonts w:cs="Times New Roman"/>
                    </w:rPr>
                  </w:pPr>
                  <w:r>
                    <w:rPr>
                      <w:rFonts w:cs="Times New Roman"/>
                    </w:rPr>
                    <w:t>产生工序及装置</w:t>
                  </w:r>
                </w:p>
              </w:tc>
              <w:tc>
                <w:tcPr>
                  <w:tcW w:w="266" w:type="pct"/>
                  <w:tcBorders>
                    <w:tl2br w:val="nil"/>
                    <w:tr2bl w:val="nil"/>
                  </w:tcBorders>
                  <w:vAlign w:val="center"/>
                </w:tcPr>
                <w:p w14:paraId="7A285279">
                  <w:pPr>
                    <w:pStyle w:val="45"/>
                    <w:rPr>
                      <w:rFonts w:cs="Times New Roman"/>
                    </w:rPr>
                  </w:pPr>
                  <w:r>
                    <w:rPr>
                      <w:rFonts w:cs="Times New Roman"/>
                    </w:rPr>
                    <w:t>形态</w:t>
                  </w:r>
                </w:p>
              </w:tc>
              <w:tc>
                <w:tcPr>
                  <w:tcW w:w="401" w:type="pct"/>
                  <w:tcBorders>
                    <w:tl2br w:val="nil"/>
                    <w:tr2bl w:val="nil"/>
                  </w:tcBorders>
                  <w:vAlign w:val="center"/>
                </w:tcPr>
                <w:p w14:paraId="77F0DAB3">
                  <w:pPr>
                    <w:pStyle w:val="45"/>
                    <w:rPr>
                      <w:rFonts w:cs="Times New Roman"/>
                    </w:rPr>
                  </w:pPr>
                  <w:r>
                    <w:rPr>
                      <w:rFonts w:cs="Times New Roman"/>
                    </w:rPr>
                    <w:t>主要成分</w:t>
                  </w:r>
                </w:p>
              </w:tc>
              <w:tc>
                <w:tcPr>
                  <w:tcW w:w="390" w:type="pct"/>
                  <w:tcBorders>
                    <w:tl2br w:val="nil"/>
                    <w:tr2bl w:val="nil"/>
                  </w:tcBorders>
                  <w:vAlign w:val="center"/>
                </w:tcPr>
                <w:p w14:paraId="6E02F0D9">
                  <w:pPr>
                    <w:pStyle w:val="45"/>
                    <w:rPr>
                      <w:rFonts w:cs="Times New Roman"/>
                    </w:rPr>
                  </w:pPr>
                  <w:r>
                    <w:rPr>
                      <w:rFonts w:cs="Times New Roman"/>
                    </w:rPr>
                    <w:t>有害成分</w:t>
                  </w:r>
                </w:p>
              </w:tc>
              <w:tc>
                <w:tcPr>
                  <w:tcW w:w="400" w:type="pct"/>
                  <w:tcBorders>
                    <w:tl2br w:val="nil"/>
                    <w:tr2bl w:val="nil"/>
                  </w:tcBorders>
                  <w:vAlign w:val="center"/>
                </w:tcPr>
                <w:p w14:paraId="01DE9D5C">
                  <w:pPr>
                    <w:pStyle w:val="45"/>
                    <w:rPr>
                      <w:rFonts w:cs="Times New Roman"/>
                    </w:rPr>
                  </w:pPr>
                  <w:r>
                    <w:rPr>
                      <w:rFonts w:cs="Times New Roman"/>
                    </w:rPr>
                    <w:t>产废周期</w:t>
                  </w:r>
                </w:p>
              </w:tc>
              <w:tc>
                <w:tcPr>
                  <w:tcW w:w="366" w:type="pct"/>
                  <w:tcBorders>
                    <w:tl2br w:val="nil"/>
                    <w:tr2bl w:val="nil"/>
                  </w:tcBorders>
                  <w:vAlign w:val="center"/>
                </w:tcPr>
                <w:p w14:paraId="544794E2">
                  <w:pPr>
                    <w:pStyle w:val="45"/>
                    <w:rPr>
                      <w:rFonts w:cs="Times New Roman"/>
                    </w:rPr>
                  </w:pPr>
                  <w:r>
                    <w:rPr>
                      <w:rFonts w:cs="Times New Roman"/>
                    </w:rPr>
                    <w:t>危险</w:t>
                  </w:r>
                </w:p>
                <w:p w14:paraId="5927805D">
                  <w:pPr>
                    <w:pStyle w:val="45"/>
                    <w:rPr>
                      <w:rFonts w:cs="Times New Roman"/>
                    </w:rPr>
                  </w:pPr>
                  <w:r>
                    <w:rPr>
                      <w:rFonts w:cs="Times New Roman"/>
                    </w:rPr>
                    <w:t>特性</w:t>
                  </w:r>
                </w:p>
              </w:tc>
              <w:tc>
                <w:tcPr>
                  <w:tcW w:w="375" w:type="pct"/>
                  <w:tcBorders>
                    <w:tl2br w:val="nil"/>
                    <w:tr2bl w:val="nil"/>
                  </w:tcBorders>
                  <w:vAlign w:val="center"/>
                </w:tcPr>
                <w:p w14:paraId="5B744D98">
                  <w:pPr>
                    <w:pStyle w:val="45"/>
                    <w:rPr>
                      <w:rFonts w:cs="Times New Roman"/>
                    </w:rPr>
                  </w:pPr>
                  <w:r>
                    <w:rPr>
                      <w:rFonts w:cs="Times New Roman"/>
                    </w:rPr>
                    <w:t>污染防治措施</w:t>
                  </w:r>
                </w:p>
              </w:tc>
            </w:tr>
            <w:tr w14:paraId="5F1FA11E">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354" w:hRule="atLeast"/>
                <w:jc w:val="center"/>
              </w:trPr>
              <w:tc>
                <w:tcPr>
                  <w:tcW w:w="281" w:type="pct"/>
                  <w:tcBorders>
                    <w:tl2br w:val="nil"/>
                    <w:tr2bl w:val="nil"/>
                  </w:tcBorders>
                  <w:vAlign w:val="center"/>
                </w:tcPr>
                <w:p w14:paraId="65A63AB4">
                  <w:pPr>
                    <w:pStyle w:val="12"/>
                    <w:rPr>
                      <w:rFonts w:hint="eastAsia" w:eastAsia="宋体" w:cs="Times New Roman"/>
                      <w:lang w:val="en-US" w:eastAsia="zh-CN"/>
                    </w:rPr>
                  </w:pPr>
                  <w:r>
                    <w:rPr>
                      <w:rFonts w:hint="eastAsia" w:cs="Times New Roman"/>
                      <w:lang w:val="en-US" w:eastAsia="zh-CN"/>
                    </w:rPr>
                    <w:t>1</w:t>
                  </w:r>
                </w:p>
              </w:tc>
              <w:tc>
                <w:tcPr>
                  <w:tcW w:w="448" w:type="pct"/>
                  <w:tcBorders>
                    <w:tl2br w:val="nil"/>
                    <w:tr2bl w:val="nil"/>
                  </w:tcBorders>
                  <w:vAlign w:val="center"/>
                </w:tcPr>
                <w:p w14:paraId="58CE8ED7">
                  <w:pPr>
                    <w:pStyle w:val="12"/>
                    <w:ind w:firstLine="0" w:firstLineChars="0"/>
                    <w:rPr>
                      <w:rFonts w:hint="default" w:cs="Times New Roman"/>
                      <w:lang w:val="en-US" w:eastAsia="zh-CN"/>
                    </w:rPr>
                  </w:pPr>
                  <w:r>
                    <w:rPr>
                      <w:rFonts w:hint="eastAsia" w:cs="Times New Roman"/>
                      <w:lang w:val="en-US" w:eastAsia="zh-CN"/>
                    </w:rPr>
                    <w:t>废活性炭</w:t>
                  </w:r>
                </w:p>
              </w:tc>
              <w:tc>
                <w:tcPr>
                  <w:tcW w:w="448" w:type="pct"/>
                  <w:tcBorders>
                    <w:tl2br w:val="nil"/>
                    <w:tr2bl w:val="nil"/>
                  </w:tcBorders>
                  <w:vAlign w:val="center"/>
                </w:tcPr>
                <w:p w14:paraId="5ACF2BB4">
                  <w:pPr>
                    <w:pStyle w:val="12"/>
                    <w:rPr>
                      <w:rFonts w:hint="default" w:eastAsia="宋体" w:cs="Times New Roman"/>
                      <w:lang w:val="en-US" w:eastAsia="zh-CN"/>
                    </w:rPr>
                  </w:pPr>
                  <w:r>
                    <w:rPr>
                      <w:rFonts w:hint="eastAsia" w:cs="Times New Roman"/>
                      <w:lang w:val="en-US" w:eastAsia="zh-CN"/>
                    </w:rPr>
                    <w:t>HW49</w:t>
                  </w:r>
                </w:p>
              </w:tc>
              <w:tc>
                <w:tcPr>
                  <w:tcW w:w="678" w:type="pct"/>
                  <w:tcBorders>
                    <w:tl2br w:val="nil"/>
                    <w:tr2bl w:val="nil"/>
                  </w:tcBorders>
                  <w:vAlign w:val="center"/>
                </w:tcPr>
                <w:p w14:paraId="270C00A2">
                  <w:pPr>
                    <w:pStyle w:val="12"/>
                    <w:rPr>
                      <w:rFonts w:hint="default" w:eastAsia="宋体" w:cs="Times New Roman"/>
                      <w:lang w:val="en-US" w:eastAsia="zh-CN"/>
                    </w:rPr>
                  </w:pPr>
                  <w:r>
                    <w:rPr>
                      <w:rFonts w:hint="eastAsia" w:cs="Times New Roman"/>
                      <w:lang w:val="en-US" w:eastAsia="zh-CN"/>
                    </w:rPr>
                    <w:t>900-039-49</w:t>
                  </w:r>
                </w:p>
              </w:tc>
              <w:tc>
                <w:tcPr>
                  <w:tcW w:w="510" w:type="pct"/>
                  <w:tcBorders>
                    <w:tl2br w:val="nil"/>
                    <w:tr2bl w:val="nil"/>
                  </w:tcBorders>
                  <w:vAlign w:val="center"/>
                </w:tcPr>
                <w:p w14:paraId="616FCA4A">
                  <w:pPr>
                    <w:pStyle w:val="12"/>
                    <w:rPr>
                      <w:rFonts w:hint="default" w:cs="Times New Roman"/>
                      <w:lang w:val="en-US" w:eastAsia="zh-CN"/>
                    </w:rPr>
                  </w:pPr>
                  <w:r>
                    <w:rPr>
                      <w:rFonts w:hint="eastAsia" w:cs="Times New Roman"/>
                      <w:lang w:val="en-US" w:eastAsia="zh-CN"/>
                    </w:rPr>
                    <w:t>39.3966</w:t>
                  </w:r>
                </w:p>
              </w:tc>
              <w:tc>
                <w:tcPr>
                  <w:tcW w:w="431" w:type="pct"/>
                  <w:tcBorders>
                    <w:tl2br w:val="nil"/>
                    <w:tr2bl w:val="nil"/>
                  </w:tcBorders>
                  <w:vAlign w:val="center"/>
                </w:tcPr>
                <w:p w14:paraId="5B86E00B">
                  <w:pPr>
                    <w:pStyle w:val="12"/>
                    <w:ind w:firstLine="0" w:firstLineChars="0"/>
                    <w:rPr>
                      <w:rFonts w:hint="default" w:eastAsia="宋体" w:cs="Times New Roman"/>
                      <w:lang w:val="en-US" w:eastAsia="zh-CN"/>
                    </w:rPr>
                  </w:pPr>
                  <w:r>
                    <w:rPr>
                      <w:rFonts w:hint="eastAsia" w:cs="Times New Roman"/>
                      <w:lang w:val="en-US" w:eastAsia="zh-CN"/>
                    </w:rPr>
                    <w:t>布袋除尘器2#</w:t>
                  </w:r>
                </w:p>
              </w:tc>
              <w:tc>
                <w:tcPr>
                  <w:tcW w:w="266" w:type="pct"/>
                  <w:tcBorders>
                    <w:tl2br w:val="nil"/>
                    <w:tr2bl w:val="nil"/>
                  </w:tcBorders>
                  <w:vAlign w:val="center"/>
                </w:tcPr>
                <w:p w14:paraId="0A56E3B9">
                  <w:pPr>
                    <w:pStyle w:val="12"/>
                    <w:ind w:firstLine="0" w:firstLineChars="0"/>
                    <w:rPr>
                      <w:rFonts w:hint="eastAsia" w:eastAsia="宋体" w:cs="Times New Roman"/>
                      <w:lang w:val="en-US" w:eastAsia="zh-CN"/>
                    </w:rPr>
                  </w:pPr>
                  <w:r>
                    <w:rPr>
                      <w:rFonts w:hint="eastAsia" w:cs="Times New Roman"/>
                      <w:lang w:val="en-US" w:eastAsia="zh-CN"/>
                    </w:rPr>
                    <w:t>固态</w:t>
                  </w:r>
                </w:p>
              </w:tc>
              <w:tc>
                <w:tcPr>
                  <w:tcW w:w="401" w:type="pct"/>
                  <w:tcBorders>
                    <w:tl2br w:val="nil"/>
                    <w:tr2bl w:val="nil"/>
                  </w:tcBorders>
                  <w:vAlign w:val="center"/>
                </w:tcPr>
                <w:p w14:paraId="49E6AB8C">
                  <w:pPr>
                    <w:pStyle w:val="12"/>
                    <w:rPr>
                      <w:rFonts w:hint="eastAsia" w:eastAsia="宋体" w:cs="Times New Roman"/>
                      <w:szCs w:val="21"/>
                      <w:lang w:val="en-US" w:eastAsia="zh-CN"/>
                    </w:rPr>
                  </w:pPr>
                  <w:r>
                    <w:rPr>
                      <w:rFonts w:hint="eastAsia" w:cs="Times New Roman"/>
                      <w:szCs w:val="21"/>
                      <w:lang w:val="en-US" w:eastAsia="zh-CN"/>
                    </w:rPr>
                    <w:t>活性炭</w:t>
                  </w:r>
                </w:p>
              </w:tc>
              <w:tc>
                <w:tcPr>
                  <w:tcW w:w="390" w:type="pct"/>
                  <w:tcBorders>
                    <w:tl2br w:val="nil"/>
                    <w:tr2bl w:val="nil"/>
                  </w:tcBorders>
                  <w:vAlign w:val="center"/>
                </w:tcPr>
                <w:p w14:paraId="54F91748">
                  <w:pPr>
                    <w:pStyle w:val="12"/>
                    <w:rPr>
                      <w:rFonts w:hint="default" w:cs="Times New Roman"/>
                      <w:lang w:val="en-US" w:eastAsia="zh-CN"/>
                    </w:rPr>
                  </w:pPr>
                  <w:r>
                    <w:rPr>
                      <w:rFonts w:hint="eastAsia" w:cs="Times New Roman"/>
                      <w:lang w:val="en-US" w:eastAsia="zh-CN"/>
                    </w:rPr>
                    <w:t>废气组分</w:t>
                  </w:r>
                </w:p>
              </w:tc>
              <w:tc>
                <w:tcPr>
                  <w:tcW w:w="400" w:type="pct"/>
                  <w:tcBorders>
                    <w:tl2br w:val="nil"/>
                    <w:tr2bl w:val="nil"/>
                  </w:tcBorders>
                  <w:vAlign w:val="center"/>
                </w:tcPr>
                <w:p w14:paraId="0A289195">
                  <w:pPr>
                    <w:pStyle w:val="12"/>
                    <w:rPr>
                      <w:rFonts w:hint="default" w:eastAsia="宋体" w:cs="Times New Roman"/>
                      <w:lang w:val="en-US" w:eastAsia="zh-CN"/>
                    </w:rPr>
                  </w:pPr>
                  <w:r>
                    <w:rPr>
                      <w:rFonts w:hint="eastAsia" w:cs="Times New Roman"/>
                      <w:lang w:val="en-US" w:eastAsia="zh-CN"/>
                    </w:rPr>
                    <w:t>每周</w:t>
                  </w:r>
                </w:p>
              </w:tc>
              <w:tc>
                <w:tcPr>
                  <w:tcW w:w="366" w:type="pct"/>
                  <w:tcBorders>
                    <w:tl2br w:val="nil"/>
                    <w:tr2bl w:val="nil"/>
                  </w:tcBorders>
                  <w:vAlign w:val="center"/>
                </w:tcPr>
                <w:p w14:paraId="4CC1B596">
                  <w:pPr>
                    <w:pStyle w:val="12"/>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T</w:t>
                  </w:r>
                </w:p>
              </w:tc>
              <w:tc>
                <w:tcPr>
                  <w:tcW w:w="375" w:type="pct"/>
                  <w:vMerge w:val="restart"/>
                  <w:tcBorders>
                    <w:tl2br w:val="nil"/>
                    <w:tr2bl w:val="nil"/>
                  </w:tcBorders>
                  <w:vAlign w:val="center"/>
                </w:tcPr>
                <w:p w14:paraId="1CEC143D">
                  <w:pPr>
                    <w:pStyle w:val="12"/>
                    <w:rPr>
                      <w:rFonts w:cs="Times New Roman"/>
                    </w:rPr>
                  </w:pPr>
                  <w:r>
                    <w:rPr>
                      <w:rFonts w:hint="eastAsia" w:cs="Times New Roman"/>
                      <w:lang w:val="en-US" w:eastAsia="zh-CN"/>
                    </w:rPr>
                    <w:t>危废暂存间暂存，</w:t>
                  </w:r>
                  <w:r>
                    <w:rPr>
                      <w:rFonts w:cs="Times New Roman"/>
                    </w:rPr>
                    <w:t>交由资质单位处理</w:t>
                  </w:r>
                </w:p>
              </w:tc>
            </w:tr>
            <w:tr w14:paraId="1B5471B8">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354" w:hRule="atLeast"/>
                <w:jc w:val="center"/>
              </w:trPr>
              <w:tc>
                <w:tcPr>
                  <w:tcW w:w="281" w:type="pct"/>
                  <w:tcBorders>
                    <w:tl2br w:val="nil"/>
                    <w:tr2bl w:val="nil"/>
                  </w:tcBorders>
                  <w:vAlign w:val="center"/>
                </w:tcPr>
                <w:p w14:paraId="617167B4">
                  <w:pPr>
                    <w:pStyle w:val="12"/>
                    <w:rPr>
                      <w:rFonts w:hint="eastAsia" w:eastAsia="宋体" w:cs="Times New Roman"/>
                      <w:lang w:eastAsia="zh-CN"/>
                    </w:rPr>
                  </w:pPr>
                  <w:r>
                    <w:rPr>
                      <w:rFonts w:hint="eastAsia" w:cs="Times New Roman"/>
                      <w:lang w:val="en-US" w:eastAsia="zh-CN"/>
                    </w:rPr>
                    <w:t>2</w:t>
                  </w:r>
                </w:p>
              </w:tc>
              <w:tc>
                <w:tcPr>
                  <w:tcW w:w="448" w:type="pct"/>
                  <w:tcBorders>
                    <w:tl2br w:val="nil"/>
                    <w:tr2bl w:val="nil"/>
                  </w:tcBorders>
                  <w:vAlign w:val="center"/>
                </w:tcPr>
                <w:p w14:paraId="56A44678">
                  <w:pPr>
                    <w:pStyle w:val="12"/>
                    <w:ind w:firstLine="0" w:firstLineChars="0"/>
                    <w:rPr>
                      <w:rFonts w:cs="Times New Roman"/>
                    </w:rPr>
                  </w:pPr>
                  <w:r>
                    <w:rPr>
                      <w:rFonts w:hint="eastAsia" w:cs="Times New Roman"/>
                      <w:lang w:val="en-US" w:eastAsia="zh-CN"/>
                    </w:rPr>
                    <w:t>废液压油</w:t>
                  </w:r>
                </w:p>
              </w:tc>
              <w:tc>
                <w:tcPr>
                  <w:tcW w:w="448" w:type="pct"/>
                  <w:tcBorders>
                    <w:tl2br w:val="nil"/>
                    <w:tr2bl w:val="nil"/>
                  </w:tcBorders>
                  <w:vAlign w:val="center"/>
                </w:tcPr>
                <w:p w14:paraId="773060E0">
                  <w:pPr>
                    <w:pStyle w:val="12"/>
                    <w:rPr>
                      <w:rFonts w:hint="default" w:eastAsia="宋体" w:cs="Times New Roman"/>
                      <w:lang w:val="en-US" w:eastAsia="zh-CN"/>
                    </w:rPr>
                  </w:pPr>
                  <w:r>
                    <w:rPr>
                      <w:rFonts w:cs="Times New Roman"/>
                    </w:rPr>
                    <w:t>HW</w:t>
                  </w:r>
                  <w:r>
                    <w:rPr>
                      <w:rFonts w:hint="eastAsia" w:cs="Times New Roman"/>
                      <w:lang w:val="en-US" w:eastAsia="zh-CN"/>
                    </w:rPr>
                    <w:t>08</w:t>
                  </w:r>
                </w:p>
              </w:tc>
              <w:tc>
                <w:tcPr>
                  <w:tcW w:w="678" w:type="pct"/>
                  <w:tcBorders>
                    <w:tl2br w:val="nil"/>
                    <w:tr2bl w:val="nil"/>
                  </w:tcBorders>
                  <w:vAlign w:val="center"/>
                </w:tcPr>
                <w:p w14:paraId="1601782D">
                  <w:pPr>
                    <w:pStyle w:val="12"/>
                    <w:rPr>
                      <w:rFonts w:hint="default" w:eastAsia="宋体" w:cs="Times New Roman"/>
                      <w:lang w:val="en-US" w:eastAsia="zh-CN"/>
                    </w:rPr>
                  </w:pPr>
                  <w:r>
                    <w:rPr>
                      <w:rFonts w:cs="Times New Roman"/>
                    </w:rPr>
                    <w:t>900-</w:t>
                  </w:r>
                  <w:r>
                    <w:rPr>
                      <w:rFonts w:hint="eastAsia" w:cs="Times New Roman"/>
                      <w:lang w:val="en-US" w:eastAsia="zh-CN"/>
                    </w:rPr>
                    <w:t>218-08</w:t>
                  </w:r>
                </w:p>
              </w:tc>
              <w:tc>
                <w:tcPr>
                  <w:tcW w:w="510" w:type="pct"/>
                  <w:tcBorders>
                    <w:tl2br w:val="nil"/>
                    <w:tr2bl w:val="nil"/>
                  </w:tcBorders>
                  <w:vAlign w:val="center"/>
                </w:tcPr>
                <w:p w14:paraId="516C0122">
                  <w:pPr>
                    <w:pStyle w:val="12"/>
                    <w:rPr>
                      <w:rFonts w:hint="default" w:eastAsia="宋体" w:cs="Times New Roman"/>
                      <w:lang w:val="en-US" w:eastAsia="zh-CN"/>
                    </w:rPr>
                  </w:pPr>
                  <w:r>
                    <w:rPr>
                      <w:rFonts w:hint="eastAsia" w:cs="Times New Roman"/>
                      <w:lang w:val="en-US" w:eastAsia="zh-CN"/>
                    </w:rPr>
                    <w:t>0.34</w:t>
                  </w:r>
                </w:p>
              </w:tc>
              <w:tc>
                <w:tcPr>
                  <w:tcW w:w="431" w:type="pct"/>
                  <w:tcBorders>
                    <w:tl2br w:val="nil"/>
                    <w:tr2bl w:val="nil"/>
                  </w:tcBorders>
                  <w:vAlign w:val="center"/>
                </w:tcPr>
                <w:p w14:paraId="37744454">
                  <w:pPr>
                    <w:pStyle w:val="12"/>
                    <w:ind w:firstLine="0" w:firstLineChars="0"/>
                    <w:rPr>
                      <w:rFonts w:cs="Times New Roman"/>
                    </w:rPr>
                  </w:pPr>
                  <w:r>
                    <w:rPr>
                      <w:rFonts w:cs="Times New Roman"/>
                    </w:rPr>
                    <w:t>设备维护</w:t>
                  </w:r>
                </w:p>
              </w:tc>
              <w:tc>
                <w:tcPr>
                  <w:tcW w:w="266" w:type="pct"/>
                  <w:tcBorders>
                    <w:tl2br w:val="nil"/>
                    <w:tr2bl w:val="nil"/>
                  </w:tcBorders>
                  <w:vAlign w:val="center"/>
                </w:tcPr>
                <w:p w14:paraId="026E0F3B">
                  <w:pPr>
                    <w:pStyle w:val="12"/>
                    <w:ind w:firstLine="0" w:firstLineChars="0"/>
                    <w:rPr>
                      <w:rFonts w:cs="Times New Roman"/>
                    </w:rPr>
                  </w:pPr>
                  <w:r>
                    <w:rPr>
                      <w:rFonts w:cs="Times New Roman"/>
                    </w:rPr>
                    <w:t>液态</w:t>
                  </w:r>
                </w:p>
              </w:tc>
              <w:tc>
                <w:tcPr>
                  <w:tcW w:w="401" w:type="pct"/>
                  <w:tcBorders>
                    <w:tl2br w:val="nil"/>
                    <w:tr2bl w:val="nil"/>
                  </w:tcBorders>
                  <w:vAlign w:val="center"/>
                </w:tcPr>
                <w:p w14:paraId="534AED33">
                  <w:pPr>
                    <w:pStyle w:val="12"/>
                    <w:rPr>
                      <w:rFonts w:cs="Times New Roman"/>
                    </w:rPr>
                  </w:pPr>
                  <w:r>
                    <w:rPr>
                      <w:rFonts w:cs="Times New Roman"/>
                      <w:szCs w:val="21"/>
                    </w:rPr>
                    <w:t>矿物油</w:t>
                  </w:r>
                </w:p>
              </w:tc>
              <w:tc>
                <w:tcPr>
                  <w:tcW w:w="390" w:type="pct"/>
                  <w:tcBorders>
                    <w:tl2br w:val="nil"/>
                    <w:tr2bl w:val="nil"/>
                  </w:tcBorders>
                  <w:vAlign w:val="center"/>
                </w:tcPr>
                <w:p w14:paraId="7C7AA228">
                  <w:pPr>
                    <w:pStyle w:val="12"/>
                    <w:rPr>
                      <w:rFonts w:hint="eastAsia" w:eastAsia="宋体" w:cs="Times New Roman"/>
                      <w:lang w:val="en-US" w:eastAsia="zh-CN"/>
                    </w:rPr>
                  </w:pPr>
                  <w:r>
                    <w:rPr>
                      <w:rFonts w:hint="eastAsia" w:cs="Times New Roman"/>
                      <w:lang w:val="en-US" w:eastAsia="zh-CN"/>
                    </w:rPr>
                    <w:t>矿物油类</w:t>
                  </w:r>
                </w:p>
              </w:tc>
              <w:tc>
                <w:tcPr>
                  <w:tcW w:w="400" w:type="pct"/>
                  <w:tcBorders>
                    <w:tl2br w:val="nil"/>
                    <w:tr2bl w:val="nil"/>
                  </w:tcBorders>
                  <w:vAlign w:val="center"/>
                </w:tcPr>
                <w:p w14:paraId="07ABC734">
                  <w:pPr>
                    <w:pStyle w:val="12"/>
                    <w:rPr>
                      <w:rFonts w:hint="eastAsia" w:eastAsia="宋体" w:cs="Times New Roman"/>
                      <w:lang w:eastAsia="zh-CN"/>
                    </w:rPr>
                  </w:pPr>
                  <w:r>
                    <w:rPr>
                      <w:rFonts w:cs="Times New Roman"/>
                    </w:rPr>
                    <w:t>每</w:t>
                  </w:r>
                  <w:r>
                    <w:rPr>
                      <w:rFonts w:hint="eastAsia" w:cs="Times New Roman"/>
                      <w:lang w:val="en-US" w:eastAsia="zh-CN"/>
                    </w:rPr>
                    <w:t>年</w:t>
                  </w:r>
                </w:p>
              </w:tc>
              <w:tc>
                <w:tcPr>
                  <w:tcW w:w="366" w:type="pct"/>
                  <w:tcBorders>
                    <w:tl2br w:val="nil"/>
                    <w:tr2bl w:val="nil"/>
                  </w:tcBorders>
                  <w:vAlign w:val="center"/>
                </w:tcPr>
                <w:p w14:paraId="6405D44E">
                  <w:pPr>
                    <w:pStyle w:val="12"/>
                    <w:rPr>
                      <w:rFonts w:cs="Times New Roman"/>
                    </w:rPr>
                  </w:pPr>
                  <w:r>
                    <w:rPr>
                      <w:rFonts w:hint="default" w:ascii="Times New Roman" w:hAnsi="Times New Roman" w:eastAsia="宋体" w:cs="Times New Roman"/>
                      <w:color w:val="000000"/>
                      <w:kern w:val="0"/>
                      <w:sz w:val="24"/>
                      <w:szCs w:val="24"/>
                      <w:lang w:val="en-US" w:eastAsia="zh-CN" w:bidi="ar"/>
                    </w:rPr>
                    <w:t>T</w:t>
                  </w:r>
                  <w:r>
                    <w:rPr>
                      <w:rFonts w:hint="eastAsia" w:ascii="宋体" w:hAnsi="宋体" w:eastAsia="宋体" w:cs="宋体"/>
                      <w:color w:val="000000"/>
                      <w:kern w:val="0"/>
                      <w:sz w:val="24"/>
                      <w:szCs w:val="24"/>
                      <w:lang w:val="en-US" w:eastAsia="zh-CN" w:bidi="ar"/>
                    </w:rPr>
                    <w:t>，</w:t>
                  </w:r>
                  <w:r>
                    <w:rPr>
                      <w:rFonts w:hint="default" w:ascii="Times New Roman" w:hAnsi="Times New Roman" w:eastAsia="宋体" w:cs="Times New Roman"/>
                      <w:color w:val="000000"/>
                      <w:kern w:val="0"/>
                      <w:sz w:val="24"/>
                      <w:szCs w:val="24"/>
                      <w:lang w:val="en-US" w:eastAsia="zh-CN" w:bidi="ar"/>
                    </w:rPr>
                    <w:t>I</w:t>
                  </w:r>
                </w:p>
              </w:tc>
              <w:tc>
                <w:tcPr>
                  <w:tcW w:w="375" w:type="pct"/>
                  <w:vMerge w:val="continue"/>
                  <w:tcBorders>
                    <w:tl2br w:val="nil"/>
                    <w:tr2bl w:val="nil"/>
                  </w:tcBorders>
                  <w:vAlign w:val="center"/>
                </w:tcPr>
                <w:p w14:paraId="4EAE99F0">
                  <w:pPr>
                    <w:pStyle w:val="12"/>
                    <w:rPr>
                      <w:rFonts w:cs="Times New Roman"/>
                    </w:rPr>
                  </w:pPr>
                </w:p>
              </w:tc>
            </w:tr>
            <w:tr w14:paraId="43867BED">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354" w:hRule="atLeast"/>
                <w:jc w:val="center"/>
              </w:trPr>
              <w:tc>
                <w:tcPr>
                  <w:tcW w:w="281" w:type="pct"/>
                  <w:tcBorders>
                    <w:tl2br w:val="nil"/>
                    <w:tr2bl w:val="nil"/>
                  </w:tcBorders>
                  <w:vAlign w:val="center"/>
                </w:tcPr>
                <w:p w14:paraId="119B580B">
                  <w:pPr>
                    <w:pStyle w:val="12"/>
                    <w:rPr>
                      <w:rFonts w:hint="eastAsia" w:eastAsia="宋体" w:cs="Times New Roman"/>
                      <w:lang w:eastAsia="zh-CN"/>
                    </w:rPr>
                  </w:pPr>
                  <w:r>
                    <w:rPr>
                      <w:rFonts w:hint="eastAsia" w:cs="Times New Roman"/>
                      <w:lang w:val="en-US" w:eastAsia="zh-CN"/>
                    </w:rPr>
                    <w:t>3</w:t>
                  </w:r>
                </w:p>
              </w:tc>
              <w:tc>
                <w:tcPr>
                  <w:tcW w:w="448" w:type="pct"/>
                  <w:tcBorders>
                    <w:tl2br w:val="nil"/>
                    <w:tr2bl w:val="nil"/>
                  </w:tcBorders>
                  <w:vAlign w:val="center"/>
                </w:tcPr>
                <w:p w14:paraId="0F8D5A51">
                  <w:pPr>
                    <w:pStyle w:val="12"/>
                    <w:ind w:firstLine="0" w:firstLineChars="0"/>
                    <w:rPr>
                      <w:rFonts w:cs="Times New Roman"/>
                    </w:rPr>
                  </w:pPr>
                  <w:r>
                    <w:rPr>
                      <w:rFonts w:hint="eastAsia" w:cs="Times New Roman"/>
                      <w:lang w:val="en-US" w:eastAsia="zh-CN"/>
                    </w:rPr>
                    <w:t>废机油</w:t>
                  </w:r>
                </w:p>
              </w:tc>
              <w:tc>
                <w:tcPr>
                  <w:tcW w:w="448" w:type="pct"/>
                  <w:tcBorders>
                    <w:tl2br w:val="nil"/>
                    <w:tr2bl w:val="nil"/>
                  </w:tcBorders>
                  <w:vAlign w:val="center"/>
                </w:tcPr>
                <w:p w14:paraId="3CCE915E">
                  <w:pPr>
                    <w:pStyle w:val="12"/>
                    <w:rPr>
                      <w:rFonts w:hint="default" w:eastAsia="宋体" w:cs="Times New Roman"/>
                      <w:lang w:val="en-US" w:eastAsia="zh-CN"/>
                    </w:rPr>
                  </w:pPr>
                  <w:r>
                    <w:rPr>
                      <w:rFonts w:cs="Times New Roman"/>
                    </w:rPr>
                    <w:t>HW</w:t>
                  </w:r>
                  <w:r>
                    <w:rPr>
                      <w:rFonts w:hint="eastAsia" w:cs="Times New Roman"/>
                      <w:lang w:val="en-US" w:eastAsia="zh-CN"/>
                    </w:rPr>
                    <w:t>08</w:t>
                  </w:r>
                </w:p>
              </w:tc>
              <w:tc>
                <w:tcPr>
                  <w:tcW w:w="678" w:type="pct"/>
                  <w:tcBorders>
                    <w:tl2br w:val="nil"/>
                    <w:tr2bl w:val="nil"/>
                  </w:tcBorders>
                  <w:vAlign w:val="center"/>
                </w:tcPr>
                <w:p w14:paraId="5BABA8FA">
                  <w:pPr>
                    <w:pStyle w:val="12"/>
                    <w:rPr>
                      <w:rFonts w:hint="default" w:eastAsia="宋体" w:cs="Times New Roman"/>
                      <w:lang w:val="en-US" w:eastAsia="zh-CN"/>
                    </w:rPr>
                  </w:pPr>
                  <w:r>
                    <w:rPr>
                      <w:rFonts w:cs="Times New Roman"/>
                    </w:rPr>
                    <w:t>900-</w:t>
                  </w:r>
                  <w:r>
                    <w:rPr>
                      <w:rFonts w:hint="eastAsia" w:cs="Times New Roman"/>
                      <w:lang w:val="en-US" w:eastAsia="zh-CN"/>
                    </w:rPr>
                    <w:t>214-08</w:t>
                  </w:r>
                </w:p>
              </w:tc>
              <w:tc>
                <w:tcPr>
                  <w:tcW w:w="510" w:type="pct"/>
                  <w:tcBorders>
                    <w:tl2br w:val="nil"/>
                    <w:tr2bl w:val="nil"/>
                  </w:tcBorders>
                  <w:vAlign w:val="center"/>
                </w:tcPr>
                <w:p w14:paraId="637E52E3">
                  <w:pPr>
                    <w:pStyle w:val="12"/>
                    <w:rPr>
                      <w:rFonts w:hint="default" w:eastAsia="宋体" w:cs="Times New Roman"/>
                      <w:lang w:val="en-US" w:eastAsia="zh-CN"/>
                    </w:rPr>
                  </w:pPr>
                  <w:r>
                    <w:rPr>
                      <w:rFonts w:hint="eastAsia" w:cs="Times New Roman"/>
                      <w:lang w:val="en-US" w:eastAsia="zh-CN"/>
                    </w:rPr>
                    <w:t>0.4</w:t>
                  </w:r>
                </w:p>
              </w:tc>
              <w:tc>
                <w:tcPr>
                  <w:tcW w:w="431" w:type="pct"/>
                  <w:tcBorders>
                    <w:tl2br w:val="nil"/>
                    <w:tr2bl w:val="nil"/>
                  </w:tcBorders>
                  <w:vAlign w:val="center"/>
                </w:tcPr>
                <w:p w14:paraId="003EC707">
                  <w:pPr>
                    <w:pStyle w:val="12"/>
                    <w:ind w:firstLine="0" w:firstLineChars="0"/>
                    <w:rPr>
                      <w:rFonts w:cs="Times New Roman"/>
                    </w:rPr>
                  </w:pPr>
                  <w:r>
                    <w:rPr>
                      <w:rFonts w:cs="Times New Roman"/>
                    </w:rPr>
                    <w:t>设备维护</w:t>
                  </w:r>
                </w:p>
              </w:tc>
              <w:tc>
                <w:tcPr>
                  <w:tcW w:w="266" w:type="pct"/>
                  <w:tcBorders>
                    <w:tl2br w:val="nil"/>
                    <w:tr2bl w:val="nil"/>
                  </w:tcBorders>
                  <w:vAlign w:val="center"/>
                </w:tcPr>
                <w:p w14:paraId="036614FD">
                  <w:pPr>
                    <w:pStyle w:val="12"/>
                    <w:ind w:firstLine="0" w:firstLineChars="0"/>
                    <w:rPr>
                      <w:rFonts w:cs="Times New Roman"/>
                    </w:rPr>
                  </w:pPr>
                  <w:r>
                    <w:rPr>
                      <w:rFonts w:hint="eastAsia" w:cs="Times New Roman"/>
                      <w:lang w:val="en-US" w:eastAsia="zh-CN"/>
                    </w:rPr>
                    <w:t>液态</w:t>
                  </w:r>
                </w:p>
              </w:tc>
              <w:tc>
                <w:tcPr>
                  <w:tcW w:w="401" w:type="pct"/>
                  <w:tcBorders>
                    <w:tl2br w:val="nil"/>
                    <w:tr2bl w:val="nil"/>
                  </w:tcBorders>
                  <w:vAlign w:val="center"/>
                </w:tcPr>
                <w:p w14:paraId="7E3FDF49">
                  <w:pPr>
                    <w:pStyle w:val="12"/>
                    <w:rPr>
                      <w:rFonts w:cs="Times New Roman"/>
                    </w:rPr>
                  </w:pPr>
                  <w:r>
                    <w:rPr>
                      <w:rFonts w:cs="Times New Roman"/>
                      <w:szCs w:val="21"/>
                    </w:rPr>
                    <w:t>矿物油</w:t>
                  </w:r>
                </w:p>
              </w:tc>
              <w:tc>
                <w:tcPr>
                  <w:tcW w:w="390" w:type="pct"/>
                  <w:tcBorders>
                    <w:tl2br w:val="nil"/>
                    <w:tr2bl w:val="nil"/>
                  </w:tcBorders>
                  <w:vAlign w:val="center"/>
                </w:tcPr>
                <w:p w14:paraId="7365F6A1">
                  <w:pPr>
                    <w:pStyle w:val="12"/>
                    <w:rPr>
                      <w:rFonts w:cs="Times New Roman"/>
                    </w:rPr>
                  </w:pPr>
                  <w:r>
                    <w:rPr>
                      <w:rFonts w:hint="eastAsia" w:cs="Times New Roman"/>
                      <w:lang w:val="en-US" w:eastAsia="zh-CN"/>
                    </w:rPr>
                    <w:t>矿物油类</w:t>
                  </w:r>
                </w:p>
              </w:tc>
              <w:tc>
                <w:tcPr>
                  <w:tcW w:w="400" w:type="pct"/>
                  <w:tcBorders>
                    <w:tl2br w:val="nil"/>
                    <w:tr2bl w:val="nil"/>
                  </w:tcBorders>
                  <w:vAlign w:val="center"/>
                </w:tcPr>
                <w:p w14:paraId="29B362F8">
                  <w:pPr>
                    <w:pStyle w:val="12"/>
                    <w:rPr>
                      <w:rFonts w:cs="Times New Roman"/>
                    </w:rPr>
                  </w:pPr>
                  <w:r>
                    <w:rPr>
                      <w:rFonts w:hint="eastAsia" w:cs="Times New Roman"/>
                      <w:lang w:val="en-US" w:eastAsia="zh-CN"/>
                    </w:rPr>
                    <w:t>每季度</w:t>
                  </w:r>
                  <w:r>
                    <w:rPr>
                      <w:rFonts w:cs="Times New Roman"/>
                    </w:rPr>
                    <w:t xml:space="preserve"> </w:t>
                  </w:r>
                </w:p>
              </w:tc>
              <w:tc>
                <w:tcPr>
                  <w:tcW w:w="366" w:type="pct"/>
                  <w:tcBorders>
                    <w:tl2br w:val="nil"/>
                    <w:tr2bl w:val="nil"/>
                  </w:tcBorders>
                  <w:vAlign w:val="center"/>
                </w:tcPr>
                <w:p w14:paraId="61E88DE5">
                  <w:pPr>
                    <w:pStyle w:val="12"/>
                    <w:rPr>
                      <w:rFonts w:cs="Times New Roman"/>
                    </w:rPr>
                  </w:pPr>
                  <w:r>
                    <w:rPr>
                      <w:rFonts w:hint="default" w:ascii="Times New Roman" w:hAnsi="Times New Roman" w:eastAsia="宋体" w:cs="Times New Roman"/>
                      <w:color w:val="000000"/>
                      <w:kern w:val="0"/>
                      <w:sz w:val="24"/>
                      <w:szCs w:val="24"/>
                      <w:lang w:val="en-US" w:eastAsia="zh-CN" w:bidi="ar"/>
                    </w:rPr>
                    <w:t>T</w:t>
                  </w:r>
                  <w:r>
                    <w:rPr>
                      <w:rFonts w:hint="eastAsia" w:ascii="宋体" w:hAnsi="宋体" w:eastAsia="宋体" w:cs="宋体"/>
                      <w:color w:val="000000"/>
                      <w:kern w:val="0"/>
                      <w:sz w:val="24"/>
                      <w:szCs w:val="24"/>
                      <w:lang w:val="en-US" w:eastAsia="zh-CN" w:bidi="ar"/>
                    </w:rPr>
                    <w:t>，</w:t>
                  </w:r>
                  <w:r>
                    <w:rPr>
                      <w:rFonts w:hint="default" w:ascii="Times New Roman" w:hAnsi="Times New Roman" w:eastAsia="宋体" w:cs="Times New Roman"/>
                      <w:color w:val="000000"/>
                      <w:kern w:val="0"/>
                      <w:sz w:val="24"/>
                      <w:szCs w:val="24"/>
                      <w:lang w:val="en-US" w:eastAsia="zh-CN" w:bidi="ar"/>
                    </w:rPr>
                    <w:t>I</w:t>
                  </w:r>
                </w:p>
              </w:tc>
              <w:tc>
                <w:tcPr>
                  <w:tcW w:w="375" w:type="pct"/>
                  <w:vMerge w:val="continue"/>
                  <w:tcBorders>
                    <w:tl2br w:val="nil"/>
                    <w:tr2bl w:val="nil"/>
                  </w:tcBorders>
                  <w:vAlign w:val="center"/>
                </w:tcPr>
                <w:p w14:paraId="3198872C">
                  <w:pPr>
                    <w:pStyle w:val="12"/>
                    <w:rPr>
                      <w:rFonts w:cs="Times New Roman"/>
                    </w:rPr>
                  </w:pPr>
                </w:p>
              </w:tc>
            </w:tr>
            <w:tr w14:paraId="4B849BC8">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354" w:hRule="atLeast"/>
                <w:jc w:val="center"/>
              </w:trPr>
              <w:tc>
                <w:tcPr>
                  <w:tcW w:w="281" w:type="pct"/>
                  <w:tcBorders>
                    <w:tl2br w:val="nil"/>
                    <w:tr2bl w:val="nil"/>
                  </w:tcBorders>
                  <w:vAlign w:val="center"/>
                </w:tcPr>
                <w:p w14:paraId="1EA00A14">
                  <w:pPr>
                    <w:pStyle w:val="12"/>
                    <w:rPr>
                      <w:rFonts w:hint="eastAsia" w:eastAsia="宋体" w:cs="Times New Roman"/>
                      <w:lang w:eastAsia="zh-CN"/>
                    </w:rPr>
                  </w:pPr>
                  <w:r>
                    <w:rPr>
                      <w:rFonts w:hint="eastAsia" w:cs="Times New Roman"/>
                      <w:lang w:val="en-US" w:eastAsia="zh-CN"/>
                    </w:rPr>
                    <w:t>4</w:t>
                  </w:r>
                </w:p>
              </w:tc>
              <w:tc>
                <w:tcPr>
                  <w:tcW w:w="448" w:type="pct"/>
                  <w:tcBorders>
                    <w:tl2br w:val="nil"/>
                    <w:tr2bl w:val="nil"/>
                  </w:tcBorders>
                  <w:vAlign w:val="center"/>
                </w:tcPr>
                <w:p w14:paraId="7CAF71CF">
                  <w:pPr>
                    <w:pStyle w:val="12"/>
                    <w:ind w:firstLine="0" w:firstLineChars="0"/>
                    <w:rPr>
                      <w:rFonts w:cs="Times New Roman"/>
                      <w:bCs/>
                    </w:rPr>
                  </w:pPr>
                  <w:r>
                    <w:rPr>
                      <w:rFonts w:hint="eastAsia" w:cs="Times New Roman"/>
                      <w:kern w:val="21"/>
                      <w:lang w:val="en-US" w:eastAsia="zh-CN"/>
                    </w:rPr>
                    <w:t>废机油桶</w:t>
                  </w:r>
                </w:p>
              </w:tc>
              <w:tc>
                <w:tcPr>
                  <w:tcW w:w="448" w:type="pct"/>
                  <w:tcBorders>
                    <w:tl2br w:val="nil"/>
                    <w:tr2bl w:val="nil"/>
                  </w:tcBorders>
                  <w:vAlign w:val="center"/>
                </w:tcPr>
                <w:p w14:paraId="71AE1C84">
                  <w:pPr>
                    <w:pStyle w:val="12"/>
                    <w:rPr>
                      <w:rFonts w:hint="default" w:eastAsia="宋体" w:cs="Times New Roman"/>
                      <w:lang w:val="en-US" w:eastAsia="zh-CN"/>
                    </w:rPr>
                  </w:pPr>
                  <w:r>
                    <w:rPr>
                      <w:rFonts w:cs="Times New Roman"/>
                      <w:szCs w:val="21"/>
                    </w:rPr>
                    <w:t>HW</w:t>
                  </w:r>
                  <w:r>
                    <w:rPr>
                      <w:rFonts w:hint="eastAsia" w:cs="Times New Roman"/>
                      <w:szCs w:val="21"/>
                      <w:lang w:val="en-US" w:eastAsia="zh-CN"/>
                    </w:rPr>
                    <w:t>08</w:t>
                  </w:r>
                </w:p>
              </w:tc>
              <w:tc>
                <w:tcPr>
                  <w:tcW w:w="678" w:type="pct"/>
                  <w:tcBorders>
                    <w:tl2br w:val="nil"/>
                    <w:tr2bl w:val="nil"/>
                  </w:tcBorders>
                  <w:vAlign w:val="center"/>
                </w:tcPr>
                <w:p w14:paraId="3F88D9C8">
                  <w:pPr>
                    <w:pStyle w:val="12"/>
                    <w:rPr>
                      <w:rFonts w:hint="default" w:eastAsia="宋体" w:cs="Times New Roman"/>
                      <w:lang w:val="en-US" w:eastAsia="zh-CN"/>
                    </w:rPr>
                  </w:pPr>
                  <w:r>
                    <w:rPr>
                      <w:rFonts w:cs="Times New Roman"/>
                      <w:szCs w:val="21"/>
                    </w:rPr>
                    <w:t>900-</w:t>
                  </w:r>
                  <w:r>
                    <w:rPr>
                      <w:rFonts w:hint="eastAsia" w:cs="Times New Roman"/>
                      <w:szCs w:val="21"/>
                      <w:lang w:val="en-US" w:eastAsia="zh-CN"/>
                    </w:rPr>
                    <w:t>249-08</w:t>
                  </w:r>
                </w:p>
              </w:tc>
              <w:tc>
                <w:tcPr>
                  <w:tcW w:w="510" w:type="pct"/>
                  <w:tcBorders>
                    <w:tl2br w:val="nil"/>
                    <w:tr2bl w:val="nil"/>
                  </w:tcBorders>
                  <w:vAlign w:val="center"/>
                </w:tcPr>
                <w:p w14:paraId="0017A1CE">
                  <w:pPr>
                    <w:pStyle w:val="12"/>
                    <w:rPr>
                      <w:rFonts w:hint="default" w:eastAsia="宋体" w:cs="Times New Roman"/>
                      <w:lang w:val="en-US" w:eastAsia="zh-CN"/>
                    </w:rPr>
                  </w:pPr>
                  <w:r>
                    <w:rPr>
                      <w:rFonts w:hint="eastAsia" w:cs="Times New Roman"/>
                      <w:lang w:val="en-US" w:eastAsia="zh-CN"/>
                    </w:rPr>
                    <w:t>0.02</w:t>
                  </w:r>
                </w:p>
              </w:tc>
              <w:tc>
                <w:tcPr>
                  <w:tcW w:w="431" w:type="pct"/>
                  <w:tcBorders>
                    <w:tl2br w:val="nil"/>
                    <w:tr2bl w:val="nil"/>
                  </w:tcBorders>
                  <w:vAlign w:val="center"/>
                </w:tcPr>
                <w:p w14:paraId="25A70EA4">
                  <w:pPr>
                    <w:pStyle w:val="12"/>
                    <w:ind w:firstLine="0" w:firstLineChars="0"/>
                    <w:rPr>
                      <w:rFonts w:cs="Times New Roman"/>
                    </w:rPr>
                  </w:pPr>
                  <w:r>
                    <w:rPr>
                      <w:rFonts w:cs="Times New Roman"/>
                    </w:rPr>
                    <w:t>设备维护</w:t>
                  </w:r>
                </w:p>
              </w:tc>
              <w:tc>
                <w:tcPr>
                  <w:tcW w:w="266" w:type="pct"/>
                  <w:tcBorders>
                    <w:tl2br w:val="nil"/>
                    <w:tr2bl w:val="nil"/>
                  </w:tcBorders>
                  <w:vAlign w:val="center"/>
                </w:tcPr>
                <w:p w14:paraId="14E962E7">
                  <w:pPr>
                    <w:pStyle w:val="12"/>
                    <w:ind w:firstLine="0" w:firstLineChars="0"/>
                    <w:rPr>
                      <w:rFonts w:cs="Times New Roman"/>
                    </w:rPr>
                  </w:pPr>
                  <w:r>
                    <w:rPr>
                      <w:rFonts w:hint="eastAsia" w:cs="Times New Roman"/>
                      <w:lang w:val="en-US" w:eastAsia="zh-CN"/>
                    </w:rPr>
                    <w:t>固态</w:t>
                  </w:r>
                </w:p>
              </w:tc>
              <w:tc>
                <w:tcPr>
                  <w:tcW w:w="401" w:type="pct"/>
                  <w:tcBorders>
                    <w:tl2br w:val="nil"/>
                    <w:tr2bl w:val="nil"/>
                  </w:tcBorders>
                  <w:vAlign w:val="center"/>
                </w:tcPr>
                <w:p w14:paraId="5883F74E">
                  <w:pPr>
                    <w:pStyle w:val="12"/>
                    <w:rPr>
                      <w:rFonts w:hint="eastAsia" w:eastAsia="宋体" w:cs="Times New Roman"/>
                      <w:lang w:eastAsia="zh-CN"/>
                    </w:rPr>
                  </w:pPr>
                  <w:r>
                    <w:rPr>
                      <w:rFonts w:hint="eastAsia" w:cs="Times New Roman"/>
                      <w:szCs w:val="21"/>
                      <w:lang w:val="en-US" w:eastAsia="zh-CN"/>
                    </w:rPr>
                    <w:t>包装桶</w:t>
                  </w:r>
                </w:p>
              </w:tc>
              <w:tc>
                <w:tcPr>
                  <w:tcW w:w="390" w:type="pct"/>
                  <w:tcBorders>
                    <w:tl2br w:val="nil"/>
                    <w:tr2bl w:val="nil"/>
                  </w:tcBorders>
                  <w:vAlign w:val="center"/>
                </w:tcPr>
                <w:p w14:paraId="59B35ECD">
                  <w:pPr>
                    <w:pStyle w:val="12"/>
                    <w:rPr>
                      <w:rFonts w:cs="Times New Roman"/>
                    </w:rPr>
                  </w:pPr>
                  <w:r>
                    <w:rPr>
                      <w:rFonts w:hint="eastAsia" w:cs="Times New Roman"/>
                      <w:lang w:val="en-US" w:eastAsia="zh-CN"/>
                    </w:rPr>
                    <w:t>矿物油类</w:t>
                  </w:r>
                </w:p>
              </w:tc>
              <w:tc>
                <w:tcPr>
                  <w:tcW w:w="400" w:type="pct"/>
                  <w:tcBorders>
                    <w:tl2br w:val="nil"/>
                    <w:tr2bl w:val="nil"/>
                  </w:tcBorders>
                  <w:vAlign w:val="center"/>
                </w:tcPr>
                <w:p w14:paraId="5148B4CA">
                  <w:pPr>
                    <w:pStyle w:val="12"/>
                    <w:rPr>
                      <w:rFonts w:cs="Times New Roman"/>
                    </w:rPr>
                  </w:pPr>
                  <w:r>
                    <w:rPr>
                      <w:rFonts w:hint="eastAsia" w:cs="Times New Roman"/>
                      <w:lang w:val="en-US" w:eastAsia="zh-CN"/>
                    </w:rPr>
                    <w:t>每季度</w:t>
                  </w:r>
                </w:p>
              </w:tc>
              <w:tc>
                <w:tcPr>
                  <w:tcW w:w="366" w:type="pct"/>
                  <w:tcBorders>
                    <w:tl2br w:val="nil"/>
                    <w:tr2bl w:val="nil"/>
                  </w:tcBorders>
                  <w:vAlign w:val="center"/>
                </w:tcPr>
                <w:p w14:paraId="6D4C8CCF">
                  <w:pPr>
                    <w:pStyle w:val="12"/>
                    <w:rPr>
                      <w:rFonts w:cs="Times New Roman"/>
                    </w:rPr>
                  </w:pPr>
                  <w:r>
                    <w:rPr>
                      <w:rFonts w:hint="default" w:ascii="Times New Roman" w:hAnsi="Times New Roman" w:eastAsia="宋体" w:cs="Times New Roman"/>
                      <w:color w:val="000000"/>
                      <w:kern w:val="0"/>
                      <w:sz w:val="24"/>
                      <w:szCs w:val="24"/>
                      <w:lang w:val="en-US" w:eastAsia="zh-CN" w:bidi="ar"/>
                    </w:rPr>
                    <w:t>T</w:t>
                  </w:r>
                  <w:r>
                    <w:rPr>
                      <w:rFonts w:hint="eastAsia" w:ascii="宋体" w:hAnsi="宋体" w:eastAsia="宋体" w:cs="宋体"/>
                      <w:color w:val="000000"/>
                      <w:kern w:val="0"/>
                      <w:sz w:val="24"/>
                      <w:szCs w:val="24"/>
                      <w:lang w:val="en-US" w:eastAsia="zh-CN" w:bidi="ar"/>
                    </w:rPr>
                    <w:t>，</w:t>
                  </w:r>
                  <w:r>
                    <w:rPr>
                      <w:rFonts w:hint="default" w:ascii="Times New Roman" w:hAnsi="Times New Roman" w:eastAsia="宋体" w:cs="Times New Roman"/>
                      <w:color w:val="000000"/>
                      <w:kern w:val="0"/>
                      <w:sz w:val="24"/>
                      <w:szCs w:val="24"/>
                      <w:lang w:val="en-US" w:eastAsia="zh-CN" w:bidi="ar"/>
                    </w:rPr>
                    <w:t>I</w:t>
                  </w:r>
                </w:p>
              </w:tc>
              <w:tc>
                <w:tcPr>
                  <w:tcW w:w="375" w:type="pct"/>
                  <w:vMerge w:val="continue"/>
                  <w:tcBorders>
                    <w:tl2br w:val="nil"/>
                    <w:tr2bl w:val="nil"/>
                  </w:tcBorders>
                  <w:vAlign w:val="center"/>
                </w:tcPr>
                <w:p w14:paraId="2CC2E2D4">
                  <w:pPr>
                    <w:pStyle w:val="12"/>
                    <w:rPr>
                      <w:rFonts w:cs="Times New Roman"/>
                    </w:rPr>
                  </w:pPr>
                </w:p>
              </w:tc>
            </w:tr>
            <w:tr w14:paraId="6EAC3F59">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354" w:hRule="atLeast"/>
                <w:jc w:val="center"/>
              </w:trPr>
              <w:tc>
                <w:tcPr>
                  <w:tcW w:w="281" w:type="pct"/>
                  <w:tcBorders>
                    <w:tl2br w:val="nil"/>
                    <w:tr2bl w:val="nil"/>
                  </w:tcBorders>
                  <w:vAlign w:val="center"/>
                </w:tcPr>
                <w:p w14:paraId="194CFDE1">
                  <w:pPr>
                    <w:pStyle w:val="12"/>
                    <w:rPr>
                      <w:rFonts w:hint="eastAsia" w:eastAsia="宋体" w:cs="Times New Roman"/>
                      <w:lang w:eastAsia="zh-CN"/>
                    </w:rPr>
                  </w:pPr>
                  <w:r>
                    <w:rPr>
                      <w:rFonts w:hint="eastAsia" w:cs="Times New Roman"/>
                      <w:lang w:val="en-US" w:eastAsia="zh-CN"/>
                    </w:rPr>
                    <w:t>5</w:t>
                  </w:r>
                </w:p>
              </w:tc>
              <w:tc>
                <w:tcPr>
                  <w:tcW w:w="448" w:type="pct"/>
                  <w:tcBorders>
                    <w:tl2br w:val="nil"/>
                    <w:tr2bl w:val="nil"/>
                  </w:tcBorders>
                  <w:vAlign w:val="center"/>
                </w:tcPr>
                <w:p w14:paraId="39B45EDB">
                  <w:pPr>
                    <w:pStyle w:val="12"/>
                    <w:ind w:firstLine="0" w:firstLineChars="0"/>
                    <w:rPr>
                      <w:rFonts w:cs="Times New Roman"/>
                    </w:rPr>
                  </w:pPr>
                  <w:r>
                    <w:rPr>
                      <w:rFonts w:hint="eastAsia" w:cs="Times New Roman"/>
                      <w:kern w:val="21"/>
                      <w:lang w:val="en-US" w:eastAsia="zh-CN"/>
                    </w:rPr>
                    <w:t>沾油废物</w:t>
                  </w:r>
                </w:p>
              </w:tc>
              <w:tc>
                <w:tcPr>
                  <w:tcW w:w="448" w:type="pct"/>
                  <w:tcBorders>
                    <w:tl2br w:val="nil"/>
                    <w:tr2bl w:val="nil"/>
                  </w:tcBorders>
                  <w:vAlign w:val="center"/>
                </w:tcPr>
                <w:p w14:paraId="57A7C149">
                  <w:pPr>
                    <w:pStyle w:val="12"/>
                    <w:rPr>
                      <w:rFonts w:hint="default" w:eastAsia="宋体" w:cs="Times New Roman"/>
                      <w:lang w:val="en-US" w:eastAsia="zh-CN"/>
                    </w:rPr>
                  </w:pPr>
                  <w:r>
                    <w:rPr>
                      <w:rFonts w:cs="Times New Roman"/>
                    </w:rPr>
                    <w:t>HW</w:t>
                  </w:r>
                  <w:r>
                    <w:rPr>
                      <w:rFonts w:hint="eastAsia" w:cs="Times New Roman"/>
                      <w:lang w:val="en-US" w:eastAsia="zh-CN"/>
                    </w:rPr>
                    <w:t>49</w:t>
                  </w:r>
                </w:p>
              </w:tc>
              <w:tc>
                <w:tcPr>
                  <w:tcW w:w="678" w:type="pct"/>
                  <w:tcBorders>
                    <w:tl2br w:val="nil"/>
                    <w:tr2bl w:val="nil"/>
                  </w:tcBorders>
                  <w:vAlign w:val="center"/>
                </w:tcPr>
                <w:p w14:paraId="59AF0388">
                  <w:pPr>
                    <w:pStyle w:val="12"/>
                    <w:rPr>
                      <w:rFonts w:hint="default" w:eastAsia="宋体" w:cs="Times New Roman"/>
                      <w:lang w:val="en-US" w:eastAsia="zh-CN"/>
                    </w:rPr>
                  </w:pPr>
                  <w:r>
                    <w:rPr>
                      <w:rFonts w:cs="Times New Roman"/>
                    </w:rPr>
                    <w:t>900-</w:t>
                  </w:r>
                  <w:r>
                    <w:rPr>
                      <w:rFonts w:hint="eastAsia" w:cs="Times New Roman"/>
                      <w:lang w:val="en-US" w:eastAsia="zh-CN"/>
                    </w:rPr>
                    <w:t>041</w:t>
                  </w:r>
                  <w:r>
                    <w:rPr>
                      <w:rFonts w:cs="Times New Roman"/>
                    </w:rPr>
                    <w:t>-</w:t>
                  </w:r>
                  <w:r>
                    <w:rPr>
                      <w:rFonts w:hint="eastAsia" w:cs="Times New Roman"/>
                      <w:lang w:val="en-US" w:eastAsia="zh-CN"/>
                    </w:rPr>
                    <w:t>49</w:t>
                  </w:r>
                </w:p>
              </w:tc>
              <w:tc>
                <w:tcPr>
                  <w:tcW w:w="510" w:type="pct"/>
                  <w:tcBorders>
                    <w:tl2br w:val="nil"/>
                    <w:tr2bl w:val="nil"/>
                  </w:tcBorders>
                  <w:vAlign w:val="center"/>
                </w:tcPr>
                <w:p w14:paraId="2A275578">
                  <w:pPr>
                    <w:pStyle w:val="12"/>
                    <w:rPr>
                      <w:rFonts w:hint="default" w:eastAsia="宋体" w:cs="Times New Roman"/>
                      <w:lang w:val="en-US" w:eastAsia="zh-CN"/>
                    </w:rPr>
                  </w:pPr>
                  <w:r>
                    <w:rPr>
                      <w:rFonts w:hint="eastAsia" w:cs="Times New Roman"/>
                      <w:lang w:val="en-US" w:eastAsia="zh-CN"/>
                    </w:rPr>
                    <w:t>0.02</w:t>
                  </w:r>
                </w:p>
              </w:tc>
              <w:tc>
                <w:tcPr>
                  <w:tcW w:w="431" w:type="pct"/>
                  <w:tcBorders>
                    <w:tl2br w:val="nil"/>
                    <w:tr2bl w:val="nil"/>
                  </w:tcBorders>
                  <w:vAlign w:val="center"/>
                </w:tcPr>
                <w:p w14:paraId="4206A6FF">
                  <w:pPr>
                    <w:pStyle w:val="12"/>
                    <w:ind w:firstLine="0" w:firstLineChars="0"/>
                    <w:rPr>
                      <w:rFonts w:cs="Times New Roman"/>
                    </w:rPr>
                  </w:pPr>
                  <w:r>
                    <w:rPr>
                      <w:rFonts w:cs="Times New Roman"/>
                    </w:rPr>
                    <w:t>设备维护</w:t>
                  </w:r>
                </w:p>
              </w:tc>
              <w:tc>
                <w:tcPr>
                  <w:tcW w:w="266" w:type="pct"/>
                  <w:tcBorders>
                    <w:tl2br w:val="nil"/>
                    <w:tr2bl w:val="nil"/>
                  </w:tcBorders>
                  <w:vAlign w:val="center"/>
                </w:tcPr>
                <w:p w14:paraId="14416CA4">
                  <w:pPr>
                    <w:pStyle w:val="12"/>
                    <w:ind w:firstLine="0" w:firstLineChars="0"/>
                    <w:rPr>
                      <w:rFonts w:cs="Times New Roman"/>
                    </w:rPr>
                  </w:pPr>
                  <w:r>
                    <w:rPr>
                      <w:rFonts w:hint="eastAsia" w:cs="Times New Roman"/>
                      <w:lang w:val="en-US" w:eastAsia="zh-CN"/>
                    </w:rPr>
                    <w:t>固态</w:t>
                  </w:r>
                </w:p>
              </w:tc>
              <w:tc>
                <w:tcPr>
                  <w:tcW w:w="401" w:type="pct"/>
                  <w:tcBorders>
                    <w:tl2br w:val="nil"/>
                    <w:tr2bl w:val="nil"/>
                  </w:tcBorders>
                  <w:vAlign w:val="center"/>
                </w:tcPr>
                <w:p w14:paraId="2CF1878D">
                  <w:pPr>
                    <w:pStyle w:val="12"/>
                    <w:rPr>
                      <w:rFonts w:hint="default" w:eastAsia="宋体" w:cs="Times New Roman"/>
                      <w:lang w:val="en-US" w:eastAsia="zh-CN"/>
                    </w:rPr>
                  </w:pPr>
                  <w:r>
                    <w:rPr>
                      <w:rFonts w:hint="eastAsia" w:cs="Times New Roman"/>
                      <w:lang w:val="en-US" w:eastAsia="zh-CN"/>
                    </w:rPr>
                    <w:t>棉纱、手套</w:t>
                  </w:r>
                </w:p>
              </w:tc>
              <w:tc>
                <w:tcPr>
                  <w:tcW w:w="390" w:type="pct"/>
                  <w:tcBorders>
                    <w:tl2br w:val="nil"/>
                    <w:tr2bl w:val="nil"/>
                  </w:tcBorders>
                  <w:vAlign w:val="center"/>
                </w:tcPr>
                <w:p w14:paraId="48E9F9FF">
                  <w:pPr>
                    <w:pStyle w:val="12"/>
                    <w:rPr>
                      <w:rFonts w:cs="Times New Roman"/>
                    </w:rPr>
                  </w:pPr>
                  <w:r>
                    <w:rPr>
                      <w:rFonts w:hint="eastAsia" w:cs="Times New Roman"/>
                      <w:lang w:val="en-US" w:eastAsia="zh-CN"/>
                    </w:rPr>
                    <w:t>矿物油类</w:t>
                  </w:r>
                </w:p>
              </w:tc>
              <w:tc>
                <w:tcPr>
                  <w:tcW w:w="400" w:type="pct"/>
                  <w:tcBorders>
                    <w:tl2br w:val="nil"/>
                    <w:tr2bl w:val="nil"/>
                  </w:tcBorders>
                  <w:vAlign w:val="center"/>
                </w:tcPr>
                <w:p w14:paraId="53289A4E">
                  <w:pPr>
                    <w:pStyle w:val="12"/>
                    <w:rPr>
                      <w:rFonts w:cs="Times New Roman"/>
                    </w:rPr>
                  </w:pPr>
                  <w:r>
                    <w:rPr>
                      <w:rFonts w:hint="eastAsia" w:cs="Times New Roman"/>
                      <w:lang w:val="en-US" w:eastAsia="zh-CN"/>
                    </w:rPr>
                    <w:t>每季度</w:t>
                  </w:r>
                </w:p>
              </w:tc>
              <w:tc>
                <w:tcPr>
                  <w:tcW w:w="366" w:type="pct"/>
                  <w:tcBorders>
                    <w:tl2br w:val="nil"/>
                    <w:tr2bl w:val="nil"/>
                  </w:tcBorders>
                  <w:vAlign w:val="center"/>
                </w:tcPr>
                <w:p w14:paraId="57B4870A">
                  <w:pPr>
                    <w:pStyle w:val="12"/>
                    <w:rPr>
                      <w:rFonts w:cs="Times New Roman"/>
                    </w:rPr>
                  </w:pPr>
                  <w:r>
                    <w:rPr>
                      <w:rFonts w:hint="default" w:ascii="Times New Roman" w:hAnsi="Times New Roman" w:eastAsia="宋体" w:cs="Times New Roman"/>
                      <w:color w:val="000000"/>
                      <w:kern w:val="0"/>
                      <w:sz w:val="24"/>
                      <w:szCs w:val="24"/>
                      <w:lang w:val="en-US" w:eastAsia="zh-CN" w:bidi="ar"/>
                    </w:rPr>
                    <w:t>T</w:t>
                  </w:r>
                  <w:r>
                    <w:rPr>
                      <w:rFonts w:hint="eastAsia" w:ascii="宋体" w:hAnsi="宋体" w:eastAsia="宋体" w:cs="宋体"/>
                      <w:color w:val="000000"/>
                      <w:kern w:val="0"/>
                      <w:sz w:val="24"/>
                      <w:szCs w:val="24"/>
                      <w:lang w:val="en-US" w:eastAsia="zh-CN" w:bidi="ar"/>
                    </w:rPr>
                    <w:t>，</w:t>
                  </w:r>
                  <w:r>
                    <w:rPr>
                      <w:rFonts w:hint="default" w:ascii="Times New Roman" w:hAnsi="Times New Roman" w:eastAsia="宋体" w:cs="Times New Roman"/>
                      <w:color w:val="000000"/>
                      <w:kern w:val="0"/>
                      <w:sz w:val="24"/>
                      <w:szCs w:val="24"/>
                      <w:lang w:val="en-US" w:eastAsia="zh-CN" w:bidi="ar"/>
                    </w:rPr>
                    <w:t>I</w:t>
                  </w:r>
                </w:p>
              </w:tc>
              <w:tc>
                <w:tcPr>
                  <w:tcW w:w="375" w:type="pct"/>
                  <w:vMerge w:val="continue"/>
                  <w:tcBorders>
                    <w:tl2br w:val="nil"/>
                    <w:tr2bl w:val="nil"/>
                  </w:tcBorders>
                  <w:vAlign w:val="center"/>
                </w:tcPr>
                <w:p w14:paraId="43AD6944">
                  <w:pPr>
                    <w:pStyle w:val="12"/>
                    <w:rPr>
                      <w:rFonts w:cs="Times New Roman"/>
                    </w:rPr>
                  </w:pPr>
                </w:p>
              </w:tc>
            </w:tr>
          </w:tbl>
          <w:p w14:paraId="3BA57321">
            <w:pPr>
              <w:pStyle w:val="11"/>
              <w:rPr>
                <w:rFonts w:cs="Times New Roman"/>
              </w:rPr>
            </w:pPr>
            <w:bookmarkStart w:id="76" w:name="OLE_LINK201"/>
            <w:bookmarkStart w:id="77" w:name="OLE_LINK200"/>
            <w:r>
              <w:rPr>
                <w:rFonts w:cs="Times New Roman"/>
              </w:rPr>
              <w:t>表</w:t>
            </w:r>
            <w:r>
              <w:rPr>
                <w:rFonts w:cs="Times New Roman"/>
              </w:rPr>
              <w:fldChar w:fldCharType="begin"/>
            </w:r>
            <w:r>
              <w:rPr>
                <w:rFonts w:cs="Times New Roman"/>
              </w:rPr>
              <w:instrText xml:space="preserve"> SEQ seq \c </w:instrText>
            </w:r>
            <w:r>
              <w:rPr>
                <w:rFonts w:cs="Times New Roman"/>
              </w:rPr>
              <w:fldChar w:fldCharType="separate"/>
            </w:r>
            <w:r>
              <w:rPr>
                <w:rFonts w:cs="Times New Roman"/>
              </w:rPr>
              <w:t>4</w:t>
            </w:r>
            <w:r>
              <w:rPr>
                <w:rFonts w:cs="Times New Roman"/>
              </w:rPr>
              <w:fldChar w:fldCharType="end"/>
            </w:r>
            <w:r>
              <w:rPr>
                <w:rFonts w:cs="Times New Roman"/>
              </w:rPr>
              <w:noBreakHyphen/>
            </w:r>
            <w:r>
              <w:rPr>
                <w:rFonts w:cs="Times New Roman"/>
              </w:rPr>
              <w:fldChar w:fldCharType="begin"/>
            </w:r>
            <w:r>
              <w:rPr>
                <w:rFonts w:cs="Times New Roman"/>
              </w:rPr>
              <w:instrText xml:space="preserve"> SEQ 表 \* ARABIC \s 1 </w:instrText>
            </w:r>
            <w:r>
              <w:rPr>
                <w:rFonts w:cs="Times New Roman"/>
              </w:rPr>
              <w:fldChar w:fldCharType="separate"/>
            </w:r>
            <w:r>
              <w:rPr>
                <w:rFonts w:cs="Times New Roman"/>
              </w:rPr>
              <w:t>9</w:t>
            </w:r>
            <w:r>
              <w:rPr>
                <w:rFonts w:cs="Times New Roman"/>
              </w:rPr>
              <w:fldChar w:fldCharType="end"/>
            </w:r>
            <w:r>
              <w:rPr>
                <w:rFonts w:cs="Times New Roman"/>
              </w:rPr>
              <w:t xml:space="preserve"> </w:t>
            </w:r>
            <w:bookmarkEnd w:id="76"/>
            <w:bookmarkEnd w:id="77"/>
            <w:r>
              <w:rPr>
                <w:rFonts w:cs="Times New Roman"/>
              </w:rPr>
              <w:t>建设项目危险废物贮存场所（设施）基本情况表</w:t>
            </w:r>
          </w:p>
          <w:tbl>
            <w:tblPr>
              <w:tblStyle w:val="26"/>
              <w:tblW w:w="4993" w:type="pct"/>
              <w:jc w:val="center"/>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Layout w:type="autofit"/>
              <w:tblCellMar>
                <w:top w:w="0" w:type="dxa"/>
                <w:left w:w="108" w:type="dxa"/>
                <w:bottom w:w="0" w:type="dxa"/>
                <w:right w:w="108" w:type="dxa"/>
              </w:tblCellMar>
            </w:tblPr>
            <w:tblGrid>
              <w:gridCol w:w="507"/>
              <w:gridCol w:w="1193"/>
              <w:gridCol w:w="937"/>
              <w:gridCol w:w="812"/>
              <w:gridCol w:w="1198"/>
              <w:gridCol w:w="756"/>
              <w:gridCol w:w="701"/>
              <w:gridCol w:w="1235"/>
              <w:gridCol w:w="745"/>
              <w:gridCol w:w="715"/>
            </w:tblGrid>
            <w:tr w14:paraId="0BABD695">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779" w:hRule="atLeast"/>
                <w:jc w:val="center"/>
              </w:trPr>
              <w:tc>
                <w:tcPr>
                  <w:tcW w:w="288" w:type="pct"/>
                  <w:tcBorders>
                    <w:tl2br w:val="nil"/>
                    <w:tr2bl w:val="nil"/>
                  </w:tcBorders>
                  <w:vAlign w:val="center"/>
                </w:tcPr>
                <w:p w14:paraId="553E7E39">
                  <w:pPr>
                    <w:pStyle w:val="45"/>
                    <w:rPr>
                      <w:rFonts w:cs="Times New Roman"/>
                    </w:rPr>
                  </w:pPr>
                  <w:r>
                    <w:rPr>
                      <w:rFonts w:cs="Times New Roman"/>
                    </w:rPr>
                    <w:t>序号</w:t>
                  </w:r>
                </w:p>
              </w:tc>
              <w:tc>
                <w:tcPr>
                  <w:tcW w:w="677" w:type="pct"/>
                  <w:tcBorders>
                    <w:tl2br w:val="nil"/>
                    <w:tr2bl w:val="nil"/>
                  </w:tcBorders>
                  <w:vAlign w:val="center"/>
                </w:tcPr>
                <w:p w14:paraId="597D2440">
                  <w:pPr>
                    <w:pStyle w:val="45"/>
                    <w:rPr>
                      <w:rFonts w:cs="Times New Roman"/>
                    </w:rPr>
                  </w:pPr>
                  <w:r>
                    <w:rPr>
                      <w:rFonts w:cs="Times New Roman"/>
                    </w:rPr>
                    <w:t>贮存场所（设施）</w:t>
                  </w:r>
                </w:p>
                <w:p w14:paraId="30E49965">
                  <w:pPr>
                    <w:pStyle w:val="45"/>
                    <w:rPr>
                      <w:rFonts w:cs="Times New Roman"/>
                    </w:rPr>
                  </w:pPr>
                  <w:r>
                    <w:rPr>
                      <w:rFonts w:cs="Times New Roman"/>
                    </w:rPr>
                    <w:t>名称</w:t>
                  </w:r>
                </w:p>
              </w:tc>
              <w:tc>
                <w:tcPr>
                  <w:tcW w:w="532" w:type="pct"/>
                  <w:tcBorders>
                    <w:tl2br w:val="nil"/>
                    <w:tr2bl w:val="nil"/>
                  </w:tcBorders>
                  <w:vAlign w:val="center"/>
                </w:tcPr>
                <w:p w14:paraId="4CDD91FB">
                  <w:pPr>
                    <w:pStyle w:val="45"/>
                    <w:rPr>
                      <w:rFonts w:cs="Times New Roman"/>
                    </w:rPr>
                  </w:pPr>
                  <w:r>
                    <w:rPr>
                      <w:rFonts w:cs="Times New Roman"/>
                    </w:rPr>
                    <w:t>危险废物名称</w:t>
                  </w:r>
                </w:p>
              </w:tc>
              <w:tc>
                <w:tcPr>
                  <w:tcW w:w="461" w:type="pct"/>
                  <w:tcBorders>
                    <w:tl2br w:val="nil"/>
                    <w:tr2bl w:val="nil"/>
                  </w:tcBorders>
                  <w:vAlign w:val="center"/>
                </w:tcPr>
                <w:p w14:paraId="6B361F4D">
                  <w:pPr>
                    <w:pStyle w:val="45"/>
                    <w:rPr>
                      <w:rFonts w:cs="Times New Roman"/>
                    </w:rPr>
                  </w:pPr>
                  <w:r>
                    <w:rPr>
                      <w:rFonts w:cs="Times New Roman"/>
                    </w:rPr>
                    <w:t>危险废物类别</w:t>
                  </w:r>
                </w:p>
              </w:tc>
              <w:tc>
                <w:tcPr>
                  <w:tcW w:w="680" w:type="pct"/>
                  <w:tcBorders>
                    <w:tl2br w:val="nil"/>
                    <w:tr2bl w:val="nil"/>
                  </w:tcBorders>
                  <w:vAlign w:val="center"/>
                </w:tcPr>
                <w:p w14:paraId="165BB400">
                  <w:pPr>
                    <w:pStyle w:val="45"/>
                    <w:rPr>
                      <w:rFonts w:cs="Times New Roman"/>
                    </w:rPr>
                  </w:pPr>
                  <w:r>
                    <w:rPr>
                      <w:rFonts w:cs="Times New Roman"/>
                    </w:rPr>
                    <w:t>危险废物代码</w:t>
                  </w:r>
                </w:p>
              </w:tc>
              <w:tc>
                <w:tcPr>
                  <w:tcW w:w="429" w:type="pct"/>
                  <w:tcBorders>
                    <w:tl2br w:val="nil"/>
                    <w:tr2bl w:val="nil"/>
                  </w:tcBorders>
                  <w:vAlign w:val="center"/>
                </w:tcPr>
                <w:p w14:paraId="5715348C">
                  <w:pPr>
                    <w:pStyle w:val="45"/>
                    <w:rPr>
                      <w:rFonts w:cs="Times New Roman"/>
                    </w:rPr>
                  </w:pPr>
                  <w:r>
                    <w:rPr>
                      <w:rFonts w:cs="Times New Roman"/>
                    </w:rPr>
                    <w:t>位置</w:t>
                  </w:r>
                </w:p>
              </w:tc>
              <w:tc>
                <w:tcPr>
                  <w:tcW w:w="398" w:type="pct"/>
                  <w:tcBorders>
                    <w:tl2br w:val="nil"/>
                    <w:tr2bl w:val="nil"/>
                  </w:tcBorders>
                  <w:vAlign w:val="center"/>
                </w:tcPr>
                <w:p w14:paraId="638DC2D0">
                  <w:pPr>
                    <w:pStyle w:val="45"/>
                    <w:rPr>
                      <w:rFonts w:cs="Times New Roman"/>
                    </w:rPr>
                  </w:pPr>
                  <w:r>
                    <w:rPr>
                      <w:rFonts w:cs="Times New Roman"/>
                    </w:rPr>
                    <w:t>占地面积</w:t>
                  </w:r>
                </w:p>
              </w:tc>
              <w:tc>
                <w:tcPr>
                  <w:tcW w:w="701" w:type="pct"/>
                  <w:tcBorders>
                    <w:tl2br w:val="nil"/>
                    <w:tr2bl w:val="nil"/>
                  </w:tcBorders>
                  <w:vAlign w:val="center"/>
                </w:tcPr>
                <w:p w14:paraId="50778B3D">
                  <w:pPr>
                    <w:pStyle w:val="45"/>
                    <w:rPr>
                      <w:rFonts w:cs="Times New Roman"/>
                    </w:rPr>
                  </w:pPr>
                  <w:r>
                    <w:rPr>
                      <w:rFonts w:cs="Times New Roman"/>
                    </w:rPr>
                    <w:t>贮存方式</w:t>
                  </w:r>
                </w:p>
              </w:tc>
              <w:tc>
                <w:tcPr>
                  <w:tcW w:w="423" w:type="pct"/>
                  <w:tcBorders>
                    <w:tl2br w:val="nil"/>
                    <w:tr2bl w:val="nil"/>
                  </w:tcBorders>
                  <w:vAlign w:val="center"/>
                </w:tcPr>
                <w:p w14:paraId="15258FA9">
                  <w:pPr>
                    <w:pStyle w:val="45"/>
                    <w:rPr>
                      <w:rFonts w:cs="Times New Roman"/>
                    </w:rPr>
                  </w:pPr>
                  <w:r>
                    <w:rPr>
                      <w:rFonts w:cs="Times New Roman"/>
                    </w:rPr>
                    <w:t>贮存</w:t>
                  </w:r>
                </w:p>
                <w:p w14:paraId="5D04FA78">
                  <w:pPr>
                    <w:pStyle w:val="45"/>
                    <w:rPr>
                      <w:rFonts w:cs="Times New Roman"/>
                    </w:rPr>
                  </w:pPr>
                  <w:r>
                    <w:rPr>
                      <w:rFonts w:cs="Times New Roman"/>
                    </w:rPr>
                    <w:t>能力</w:t>
                  </w:r>
                </w:p>
              </w:tc>
              <w:tc>
                <w:tcPr>
                  <w:tcW w:w="406" w:type="pct"/>
                  <w:tcBorders>
                    <w:tl2br w:val="nil"/>
                    <w:tr2bl w:val="nil"/>
                  </w:tcBorders>
                  <w:vAlign w:val="center"/>
                </w:tcPr>
                <w:p w14:paraId="2309B0A7">
                  <w:pPr>
                    <w:pStyle w:val="45"/>
                    <w:rPr>
                      <w:rFonts w:cs="Times New Roman"/>
                    </w:rPr>
                  </w:pPr>
                  <w:r>
                    <w:rPr>
                      <w:rFonts w:cs="Times New Roman"/>
                    </w:rPr>
                    <w:t>贮存</w:t>
                  </w:r>
                </w:p>
                <w:p w14:paraId="45CAAF17">
                  <w:pPr>
                    <w:pStyle w:val="45"/>
                    <w:rPr>
                      <w:rFonts w:cs="Times New Roman"/>
                    </w:rPr>
                  </w:pPr>
                  <w:r>
                    <w:rPr>
                      <w:rFonts w:cs="Times New Roman"/>
                    </w:rPr>
                    <w:t>周期</w:t>
                  </w:r>
                </w:p>
              </w:tc>
            </w:tr>
            <w:tr w14:paraId="25FEB73D">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677" w:hRule="atLeast"/>
                <w:jc w:val="center"/>
              </w:trPr>
              <w:tc>
                <w:tcPr>
                  <w:tcW w:w="288" w:type="pct"/>
                  <w:tcBorders>
                    <w:tl2br w:val="nil"/>
                    <w:tr2bl w:val="nil"/>
                  </w:tcBorders>
                  <w:vAlign w:val="center"/>
                </w:tcPr>
                <w:p w14:paraId="459A2F1E">
                  <w:pPr>
                    <w:pStyle w:val="12"/>
                    <w:rPr>
                      <w:rFonts w:hint="eastAsia" w:eastAsia="宋体" w:cs="Times New Roman"/>
                      <w:lang w:val="en-US" w:eastAsia="zh-CN"/>
                    </w:rPr>
                  </w:pPr>
                  <w:r>
                    <w:rPr>
                      <w:rFonts w:hint="eastAsia" w:cs="Times New Roman"/>
                      <w:lang w:val="en-US" w:eastAsia="zh-CN"/>
                    </w:rPr>
                    <w:t>1</w:t>
                  </w:r>
                </w:p>
              </w:tc>
              <w:tc>
                <w:tcPr>
                  <w:tcW w:w="677" w:type="pct"/>
                  <w:vMerge w:val="restart"/>
                  <w:tcBorders>
                    <w:tl2br w:val="nil"/>
                    <w:tr2bl w:val="nil"/>
                  </w:tcBorders>
                  <w:vAlign w:val="center"/>
                </w:tcPr>
                <w:p w14:paraId="1FF6B49E">
                  <w:pPr>
                    <w:pStyle w:val="12"/>
                    <w:rPr>
                      <w:rFonts w:cs="Times New Roman"/>
                    </w:rPr>
                  </w:pPr>
                  <w:r>
                    <w:rPr>
                      <w:rFonts w:cs="Times New Roman"/>
                    </w:rPr>
                    <w:t>危险废物暂存间</w:t>
                  </w:r>
                </w:p>
              </w:tc>
              <w:tc>
                <w:tcPr>
                  <w:tcW w:w="532" w:type="pct"/>
                  <w:tcBorders>
                    <w:tl2br w:val="nil"/>
                    <w:tr2bl w:val="nil"/>
                  </w:tcBorders>
                  <w:vAlign w:val="center"/>
                </w:tcPr>
                <w:p w14:paraId="2F342150">
                  <w:pPr>
                    <w:pStyle w:val="12"/>
                    <w:ind w:firstLine="0" w:firstLineChars="0"/>
                    <w:rPr>
                      <w:rFonts w:hint="eastAsia" w:cs="Times New Roman"/>
                      <w:lang w:val="en-US" w:eastAsia="zh-CN"/>
                    </w:rPr>
                  </w:pPr>
                  <w:r>
                    <w:rPr>
                      <w:rFonts w:hint="eastAsia" w:cs="Times New Roman"/>
                      <w:lang w:val="en-US" w:eastAsia="zh-CN"/>
                    </w:rPr>
                    <w:t>废活性炭</w:t>
                  </w:r>
                </w:p>
              </w:tc>
              <w:tc>
                <w:tcPr>
                  <w:tcW w:w="461" w:type="pct"/>
                  <w:tcBorders>
                    <w:tl2br w:val="nil"/>
                    <w:tr2bl w:val="nil"/>
                  </w:tcBorders>
                  <w:vAlign w:val="center"/>
                </w:tcPr>
                <w:p w14:paraId="6E837F52">
                  <w:pPr>
                    <w:pStyle w:val="12"/>
                    <w:ind w:firstLine="0" w:firstLineChars="0"/>
                    <w:rPr>
                      <w:rFonts w:cs="Times New Roman"/>
                    </w:rPr>
                  </w:pPr>
                  <w:r>
                    <w:rPr>
                      <w:rFonts w:hint="eastAsia" w:cs="Times New Roman"/>
                      <w:lang w:val="en-US" w:eastAsia="zh-CN"/>
                    </w:rPr>
                    <w:t>HW49</w:t>
                  </w:r>
                </w:p>
              </w:tc>
              <w:tc>
                <w:tcPr>
                  <w:tcW w:w="680" w:type="pct"/>
                  <w:tcBorders>
                    <w:tl2br w:val="nil"/>
                    <w:tr2bl w:val="nil"/>
                  </w:tcBorders>
                  <w:vAlign w:val="center"/>
                </w:tcPr>
                <w:p w14:paraId="24823A44">
                  <w:pPr>
                    <w:pStyle w:val="12"/>
                    <w:ind w:firstLine="0" w:firstLineChars="0"/>
                    <w:rPr>
                      <w:rFonts w:cs="Times New Roman"/>
                    </w:rPr>
                  </w:pPr>
                  <w:r>
                    <w:rPr>
                      <w:rFonts w:hint="eastAsia" w:cs="Times New Roman"/>
                      <w:lang w:val="en-US" w:eastAsia="zh-CN"/>
                    </w:rPr>
                    <w:t>900-039-49</w:t>
                  </w:r>
                </w:p>
              </w:tc>
              <w:tc>
                <w:tcPr>
                  <w:tcW w:w="429" w:type="pct"/>
                  <w:vMerge w:val="restart"/>
                  <w:tcBorders>
                    <w:tl2br w:val="nil"/>
                    <w:tr2bl w:val="nil"/>
                  </w:tcBorders>
                  <w:vAlign w:val="center"/>
                </w:tcPr>
                <w:p w14:paraId="6CE9F0A5">
                  <w:pPr>
                    <w:pStyle w:val="12"/>
                    <w:rPr>
                      <w:rFonts w:hint="default" w:eastAsia="宋体" w:cs="Times New Roman"/>
                      <w:lang w:val="en-US" w:eastAsia="zh-CN"/>
                    </w:rPr>
                  </w:pPr>
                  <w:r>
                    <w:rPr>
                      <w:rFonts w:hint="eastAsia" w:cs="Times New Roman"/>
                      <w:lang w:val="en-US" w:eastAsia="zh-CN"/>
                    </w:rPr>
                    <w:t>3号厂房内</w:t>
                  </w:r>
                </w:p>
              </w:tc>
              <w:tc>
                <w:tcPr>
                  <w:tcW w:w="398" w:type="pct"/>
                  <w:vMerge w:val="restart"/>
                  <w:tcBorders>
                    <w:tl2br w:val="nil"/>
                    <w:tr2bl w:val="nil"/>
                  </w:tcBorders>
                  <w:vAlign w:val="center"/>
                </w:tcPr>
                <w:p w14:paraId="68689514">
                  <w:pPr>
                    <w:pStyle w:val="12"/>
                    <w:rPr>
                      <w:rFonts w:cs="Times New Roman"/>
                    </w:rPr>
                  </w:pPr>
                  <w:r>
                    <w:rPr>
                      <w:rFonts w:cs="Times New Roman"/>
                    </w:rPr>
                    <w:t>10m</w:t>
                  </w:r>
                  <w:r>
                    <w:rPr>
                      <w:rFonts w:cs="Times New Roman"/>
                      <w:vertAlign w:val="superscript"/>
                    </w:rPr>
                    <w:t>2</w:t>
                  </w:r>
                </w:p>
              </w:tc>
              <w:tc>
                <w:tcPr>
                  <w:tcW w:w="701" w:type="pct"/>
                  <w:vMerge w:val="restart"/>
                  <w:tcBorders>
                    <w:tl2br w:val="nil"/>
                    <w:tr2bl w:val="nil"/>
                  </w:tcBorders>
                  <w:vAlign w:val="center"/>
                </w:tcPr>
                <w:p w14:paraId="7515DEA0">
                  <w:pPr>
                    <w:pStyle w:val="12"/>
                    <w:rPr>
                      <w:rFonts w:cs="Times New Roman"/>
                    </w:rPr>
                  </w:pPr>
                  <w:r>
                    <w:rPr>
                      <w:rFonts w:cs="Times New Roman"/>
                    </w:rPr>
                    <w:t>分类收集，液体桶装放置于托盘上，其余放置于防渗漏容器内</w:t>
                  </w:r>
                </w:p>
              </w:tc>
              <w:tc>
                <w:tcPr>
                  <w:tcW w:w="423" w:type="pct"/>
                  <w:vMerge w:val="restart"/>
                  <w:tcBorders>
                    <w:tl2br w:val="nil"/>
                    <w:tr2bl w:val="nil"/>
                  </w:tcBorders>
                  <w:vAlign w:val="center"/>
                </w:tcPr>
                <w:p w14:paraId="6852E42D">
                  <w:pPr>
                    <w:pStyle w:val="12"/>
                    <w:rPr>
                      <w:rFonts w:cs="Times New Roman"/>
                    </w:rPr>
                  </w:pPr>
                  <w:r>
                    <w:rPr>
                      <w:rFonts w:cs="Times New Roman"/>
                    </w:rPr>
                    <w:t>10t</w:t>
                  </w:r>
                </w:p>
              </w:tc>
              <w:tc>
                <w:tcPr>
                  <w:tcW w:w="406" w:type="pct"/>
                  <w:vMerge w:val="restart"/>
                  <w:tcBorders>
                    <w:tl2br w:val="nil"/>
                    <w:tr2bl w:val="nil"/>
                  </w:tcBorders>
                  <w:vAlign w:val="center"/>
                </w:tcPr>
                <w:p w14:paraId="30332C37">
                  <w:pPr>
                    <w:pStyle w:val="12"/>
                    <w:rPr>
                      <w:rFonts w:hint="default" w:eastAsia="宋体" w:cs="Times New Roman"/>
                      <w:lang w:val="en-US" w:eastAsia="zh-CN"/>
                    </w:rPr>
                  </w:pPr>
                  <w:r>
                    <w:rPr>
                      <w:rFonts w:hint="eastAsia" w:cs="Times New Roman"/>
                      <w:lang w:val="en-US" w:eastAsia="zh-CN"/>
                    </w:rPr>
                    <w:t>1季度</w:t>
                  </w:r>
                </w:p>
              </w:tc>
            </w:tr>
            <w:tr w14:paraId="1B77B45F">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677" w:hRule="atLeast"/>
                <w:jc w:val="center"/>
              </w:trPr>
              <w:tc>
                <w:tcPr>
                  <w:tcW w:w="288" w:type="pct"/>
                  <w:tcBorders>
                    <w:tl2br w:val="nil"/>
                    <w:tr2bl w:val="nil"/>
                  </w:tcBorders>
                  <w:vAlign w:val="center"/>
                </w:tcPr>
                <w:p w14:paraId="5A53C1B5">
                  <w:pPr>
                    <w:pStyle w:val="12"/>
                    <w:rPr>
                      <w:rFonts w:hint="eastAsia" w:eastAsia="宋体" w:cs="Times New Roman"/>
                      <w:lang w:val="en-US" w:eastAsia="zh-CN"/>
                    </w:rPr>
                  </w:pPr>
                  <w:r>
                    <w:rPr>
                      <w:rFonts w:hint="eastAsia" w:cs="Times New Roman"/>
                      <w:lang w:val="en-US" w:eastAsia="zh-CN"/>
                    </w:rPr>
                    <w:t>2</w:t>
                  </w:r>
                </w:p>
              </w:tc>
              <w:tc>
                <w:tcPr>
                  <w:tcW w:w="677" w:type="pct"/>
                  <w:vMerge w:val="continue"/>
                  <w:tcBorders>
                    <w:tl2br w:val="nil"/>
                    <w:tr2bl w:val="nil"/>
                  </w:tcBorders>
                  <w:vAlign w:val="center"/>
                </w:tcPr>
                <w:p w14:paraId="5A3B23B4">
                  <w:pPr>
                    <w:pStyle w:val="12"/>
                    <w:rPr>
                      <w:rFonts w:cs="Times New Roman"/>
                    </w:rPr>
                  </w:pPr>
                </w:p>
              </w:tc>
              <w:tc>
                <w:tcPr>
                  <w:tcW w:w="532" w:type="pct"/>
                  <w:tcBorders>
                    <w:tl2br w:val="nil"/>
                    <w:tr2bl w:val="nil"/>
                  </w:tcBorders>
                  <w:vAlign w:val="center"/>
                </w:tcPr>
                <w:p w14:paraId="29D5A043">
                  <w:pPr>
                    <w:pStyle w:val="12"/>
                    <w:ind w:firstLine="0" w:firstLineChars="0"/>
                    <w:rPr>
                      <w:rFonts w:cs="Times New Roman"/>
                    </w:rPr>
                  </w:pPr>
                  <w:r>
                    <w:rPr>
                      <w:rFonts w:hint="eastAsia" w:cs="Times New Roman"/>
                      <w:lang w:val="en-US" w:eastAsia="zh-CN"/>
                    </w:rPr>
                    <w:t>废液压油</w:t>
                  </w:r>
                </w:p>
              </w:tc>
              <w:tc>
                <w:tcPr>
                  <w:tcW w:w="461" w:type="pct"/>
                  <w:tcBorders>
                    <w:tl2br w:val="nil"/>
                    <w:tr2bl w:val="nil"/>
                  </w:tcBorders>
                  <w:vAlign w:val="center"/>
                </w:tcPr>
                <w:p w14:paraId="0371E516">
                  <w:pPr>
                    <w:pStyle w:val="12"/>
                    <w:ind w:firstLine="0" w:firstLineChars="0"/>
                    <w:rPr>
                      <w:rFonts w:cs="Times New Roman"/>
                    </w:rPr>
                  </w:pPr>
                  <w:r>
                    <w:rPr>
                      <w:rFonts w:cs="Times New Roman"/>
                    </w:rPr>
                    <w:t>HW</w:t>
                  </w:r>
                  <w:r>
                    <w:rPr>
                      <w:rFonts w:hint="eastAsia" w:cs="Times New Roman"/>
                      <w:lang w:val="en-US" w:eastAsia="zh-CN"/>
                    </w:rPr>
                    <w:t>08</w:t>
                  </w:r>
                </w:p>
              </w:tc>
              <w:tc>
                <w:tcPr>
                  <w:tcW w:w="680" w:type="pct"/>
                  <w:tcBorders>
                    <w:tl2br w:val="nil"/>
                    <w:tr2bl w:val="nil"/>
                  </w:tcBorders>
                  <w:vAlign w:val="center"/>
                </w:tcPr>
                <w:p w14:paraId="436E400E">
                  <w:pPr>
                    <w:pStyle w:val="12"/>
                    <w:ind w:firstLine="0" w:firstLineChars="0"/>
                    <w:rPr>
                      <w:rFonts w:cs="Times New Roman"/>
                    </w:rPr>
                  </w:pPr>
                  <w:r>
                    <w:rPr>
                      <w:rFonts w:cs="Times New Roman"/>
                    </w:rPr>
                    <w:t>900-</w:t>
                  </w:r>
                  <w:r>
                    <w:rPr>
                      <w:rFonts w:hint="eastAsia" w:cs="Times New Roman"/>
                      <w:lang w:val="en-US" w:eastAsia="zh-CN"/>
                    </w:rPr>
                    <w:t>218-08</w:t>
                  </w:r>
                </w:p>
              </w:tc>
              <w:tc>
                <w:tcPr>
                  <w:tcW w:w="429" w:type="pct"/>
                  <w:vMerge w:val="continue"/>
                  <w:tcBorders>
                    <w:tl2br w:val="nil"/>
                    <w:tr2bl w:val="nil"/>
                  </w:tcBorders>
                  <w:vAlign w:val="center"/>
                </w:tcPr>
                <w:p w14:paraId="779C225D">
                  <w:pPr>
                    <w:pStyle w:val="12"/>
                    <w:rPr>
                      <w:rFonts w:hint="default" w:eastAsia="宋体" w:cs="Times New Roman"/>
                      <w:lang w:val="en-US" w:eastAsia="zh-CN"/>
                    </w:rPr>
                  </w:pPr>
                </w:p>
              </w:tc>
              <w:tc>
                <w:tcPr>
                  <w:tcW w:w="398" w:type="pct"/>
                  <w:vMerge w:val="continue"/>
                  <w:tcBorders>
                    <w:tl2br w:val="nil"/>
                    <w:tr2bl w:val="nil"/>
                  </w:tcBorders>
                  <w:vAlign w:val="center"/>
                </w:tcPr>
                <w:p w14:paraId="3BDF3C5A">
                  <w:pPr>
                    <w:pStyle w:val="12"/>
                    <w:rPr>
                      <w:rFonts w:cs="Times New Roman"/>
                    </w:rPr>
                  </w:pPr>
                </w:p>
              </w:tc>
              <w:tc>
                <w:tcPr>
                  <w:tcW w:w="701" w:type="pct"/>
                  <w:vMerge w:val="continue"/>
                  <w:tcBorders>
                    <w:tl2br w:val="nil"/>
                    <w:tr2bl w:val="nil"/>
                  </w:tcBorders>
                  <w:vAlign w:val="center"/>
                </w:tcPr>
                <w:p w14:paraId="7E1B1831">
                  <w:pPr>
                    <w:pStyle w:val="12"/>
                    <w:rPr>
                      <w:rFonts w:cs="Times New Roman"/>
                    </w:rPr>
                  </w:pPr>
                </w:p>
              </w:tc>
              <w:tc>
                <w:tcPr>
                  <w:tcW w:w="423" w:type="pct"/>
                  <w:vMerge w:val="continue"/>
                  <w:tcBorders>
                    <w:tl2br w:val="nil"/>
                    <w:tr2bl w:val="nil"/>
                  </w:tcBorders>
                  <w:vAlign w:val="center"/>
                </w:tcPr>
                <w:p w14:paraId="707C0549">
                  <w:pPr>
                    <w:pStyle w:val="12"/>
                    <w:rPr>
                      <w:rFonts w:cs="Times New Roman"/>
                    </w:rPr>
                  </w:pPr>
                </w:p>
              </w:tc>
              <w:tc>
                <w:tcPr>
                  <w:tcW w:w="406" w:type="pct"/>
                  <w:vMerge w:val="continue"/>
                  <w:tcBorders>
                    <w:tl2br w:val="nil"/>
                    <w:tr2bl w:val="nil"/>
                  </w:tcBorders>
                  <w:vAlign w:val="center"/>
                </w:tcPr>
                <w:p w14:paraId="60E3BA87">
                  <w:pPr>
                    <w:pStyle w:val="12"/>
                    <w:rPr>
                      <w:rFonts w:hint="default" w:eastAsia="宋体" w:cs="Times New Roman"/>
                      <w:lang w:val="en-US" w:eastAsia="zh-CN"/>
                    </w:rPr>
                  </w:pPr>
                </w:p>
              </w:tc>
            </w:tr>
            <w:tr w14:paraId="2DEF2F04">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462" w:hRule="atLeast"/>
                <w:jc w:val="center"/>
              </w:trPr>
              <w:tc>
                <w:tcPr>
                  <w:tcW w:w="288" w:type="pct"/>
                  <w:tcBorders>
                    <w:tl2br w:val="nil"/>
                    <w:tr2bl w:val="nil"/>
                  </w:tcBorders>
                  <w:vAlign w:val="center"/>
                </w:tcPr>
                <w:p w14:paraId="5A4F667E">
                  <w:pPr>
                    <w:pStyle w:val="12"/>
                    <w:rPr>
                      <w:rFonts w:hint="eastAsia" w:eastAsia="宋体" w:cs="Times New Roman"/>
                      <w:lang w:val="en-US" w:eastAsia="zh-CN"/>
                    </w:rPr>
                  </w:pPr>
                  <w:r>
                    <w:rPr>
                      <w:rFonts w:hint="eastAsia" w:cs="Times New Roman"/>
                      <w:lang w:val="en-US" w:eastAsia="zh-CN"/>
                    </w:rPr>
                    <w:t>3</w:t>
                  </w:r>
                </w:p>
              </w:tc>
              <w:tc>
                <w:tcPr>
                  <w:tcW w:w="677" w:type="pct"/>
                  <w:vMerge w:val="continue"/>
                  <w:tcBorders>
                    <w:tl2br w:val="nil"/>
                    <w:tr2bl w:val="nil"/>
                  </w:tcBorders>
                  <w:vAlign w:val="center"/>
                </w:tcPr>
                <w:p w14:paraId="331BE2A4">
                  <w:pPr>
                    <w:pStyle w:val="12"/>
                    <w:rPr>
                      <w:rFonts w:cs="Times New Roman"/>
                    </w:rPr>
                  </w:pPr>
                </w:p>
              </w:tc>
              <w:tc>
                <w:tcPr>
                  <w:tcW w:w="532" w:type="pct"/>
                  <w:tcBorders>
                    <w:tl2br w:val="nil"/>
                    <w:tr2bl w:val="nil"/>
                  </w:tcBorders>
                  <w:vAlign w:val="center"/>
                </w:tcPr>
                <w:p w14:paraId="4FD27283">
                  <w:pPr>
                    <w:pStyle w:val="12"/>
                    <w:ind w:firstLine="0" w:firstLineChars="0"/>
                    <w:rPr>
                      <w:rFonts w:cs="Times New Roman"/>
                      <w:kern w:val="2"/>
                    </w:rPr>
                  </w:pPr>
                  <w:r>
                    <w:rPr>
                      <w:rFonts w:hint="eastAsia" w:cs="Times New Roman"/>
                      <w:lang w:val="en-US" w:eastAsia="zh-CN"/>
                    </w:rPr>
                    <w:t>废机油</w:t>
                  </w:r>
                </w:p>
              </w:tc>
              <w:tc>
                <w:tcPr>
                  <w:tcW w:w="461" w:type="pct"/>
                  <w:tcBorders>
                    <w:tl2br w:val="nil"/>
                    <w:tr2bl w:val="nil"/>
                  </w:tcBorders>
                  <w:vAlign w:val="center"/>
                </w:tcPr>
                <w:p w14:paraId="577FE9A0">
                  <w:pPr>
                    <w:pStyle w:val="12"/>
                    <w:ind w:firstLine="0" w:firstLineChars="0"/>
                    <w:rPr>
                      <w:rFonts w:cs="Times New Roman"/>
                    </w:rPr>
                  </w:pPr>
                  <w:r>
                    <w:rPr>
                      <w:rFonts w:cs="Times New Roman"/>
                    </w:rPr>
                    <w:t>HW</w:t>
                  </w:r>
                  <w:r>
                    <w:rPr>
                      <w:rFonts w:hint="eastAsia" w:cs="Times New Roman"/>
                      <w:lang w:val="en-US" w:eastAsia="zh-CN"/>
                    </w:rPr>
                    <w:t>08</w:t>
                  </w:r>
                </w:p>
              </w:tc>
              <w:tc>
                <w:tcPr>
                  <w:tcW w:w="680" w:type="pct"/>
                  <w:tcBorders>
                    <w:tl2br w:val="nil"/>
                    <w:tr2bl w:val="nil"/>
                  </w:tcBorders>
                  <w:vAlign w:val="center"/>
                </w:tcPr>
                <w:p w14:paraId="61327764">
                  <w:pPr>
                    <w:pStyle w:val="12"/>
                    <w:ind w:firstLine="0" w:firstLineChars="0"/>
                    <w:rPr>
                      <w:rFonts w:cs="Times New Roman"/>
                    </w:rPr>
                  </w:pPr>
                  <w:r>
                    <w:rPr>
                      <w:rFonts w:cs="Times New Roman"/>
                    </w:rPr>
                    <w:t>900-</w:t>
                  </w:r>
                  <w:r>
                    <w:rPr>
                      <w:rFonts w:hint="eastAsia" w:cs="Times New Roman"/>
                      <w:lang w:val="en-US" w:eastAsia="zh-CN"/>
                    </w:rPr>
                    <w:t>214-08</w:t>
                  </w:r>
                </w:p>
              </w:tc>
              <w:tc>
                <w:tcPr>
                  <w:tcW w:w="429" w:type="pct"/>
                  <w:vMerge w:val="continue"/>
                  <w:tcBorders>
                    <w:tl2br w:val="nil"/>
                    <w:tr2bl w:val="nil"/>
                  </w:tcBorders>
                  <w:vAlign w:val="center"/>
                </w:tcPr>
                <w:p w14:paraId="681B101E">
                  <w:pPr>
                    <w:pStyle w:val="12"/>
                    <w:rPr>
                      <w:rFonts w:cs="Times New Roman"/>
                    </w:rPr>
                  </w:pPr>
                </w:p>
              </w:tc>
              <w:tc>
                <w:tcPr>
                  <w:tcW w:w="398" w:type="pct"/>
                  <w:vMerge w:val="continue"/>
                  <w:tcBorders>
                    <w:tl2br w:val="nil"/>
                    <w:tr2bl w:val="nil"/>
                  </w:tcBorders>
                  <w:vAlign w:val="center"/>
                </w:tcPr>
                <w:p w14:paraId="7146321A">
                  <w:pPr>
                    <w:pStyle w:val="12"/>
                    <w:rPr>
                      <w:rFonts w:cs="Times New Roman"/>
                    </w:rPr>
                  </w:pPr>
                </w:p>
              </w:tc>
              <w:tc>
                <w:tcPr>
                  <w:tcW w:w="701" w:type="pct"/>
                  <w:vMerge w:val="continue"/>
                  <w:tcBorders>
                    <w:tl2br w:val="nil"/>
                    <w:tr2bl w:val="nil"/>
                  </w:tcBorders>
                  <w:vAlign w:val="center"/>
                </w:tcPr>
                <w:p w14:paraId="2CFCFC2B">
                  <w:pPr>
                    <w:pStyle w:val="12"/>
                    <w:rPr>
                      <w:rFonts w:cs="Times New Roman"/>
                    </w:rPr>
                  </w:pPr>
                </w:p>
              </w:tc>
              <w:tc>
                <w:tcPr>
                  <w:tcW w:w="423" w:type="pct"/>
                  <w:vMerge w:val="continue"/>
                  <w:tcBorders>
                    <w:tl2br w:val="nil"/>
                    <w:tr2bl w:val="nil"/>
                  </w:tcBorders>
                  <w:vAlign w:val="center"/>
                </w:tcPr>
                <w:p w14:paraId="0062C6AE">
                  <w:pPr>
                    <w:pStyle w:val="12"/>
                    <w:rPr>
                      <w:rFonts w:cs="Times New Roman"/>
                    </w:rPr>
                  </w:pPr>
                </w:p>
              </w:tc>
              <w:tc>
                <w:tcPr>
                  <w:tcW w:w="406" w:type="pct"/>
                  <w:vMerge w:val="continue"/>
                  <w:tcBorders>
                    <w:tl2br w:val="nil"/>
                    <w:tr2bl w:val="nil"/>
                  </w:tcBorders>
                  <w:vAlign w:val="center"/>
                </w:tcPr>
                <w:p w14:paraId="686CB882">
                  <w:pPr>
                    <w:pStyle w:val="12"/>
                    <w:rPr>
                      <w:rFonts w:cs="Times New Roman"/>
                    </w:rPr>
                  </w:pPr>
                </w:p>
              </w:tc>
            </w:tr>
            <w:tr w14:paraId="46D01BE1">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288" w:type="pct"/>
                  <w:tcBorders>
                    <w:tl2br w:val="nil"/>
                    <w:tr2bl w:val="nil"/>
                  </w:tcBorders>
                  <w:vAlign w:val="center"/>
                </w:tcPr>
                <w:p w14:paraId="081B2F4D">
                  <w:pPr>
                    <w:pStyle w:val="12"/>
                    <w:rPr>
                      <w:rFonts w:hint="eastAsia" w:eastAsia="宋体" w:cs="Times New Roman"/>
                      <w:lang w:val="en-US" w:eastAsia="zh-CN"/>
                    </w:rPr>
                  </w:pPr>
                  <w:r>
                    <w:rPr>
                      <w:rFonts w:hint="eastAsia" w:cs="Times New Roman"/>
                      <w:lang w:val="en-US" w:eastAsia="zh-CN"/>
                    </w:rPr>
                    <w:t>4</w:t>
                  </w:r>
                </w:p>
              </w:tc>
              <w:tc>
                <w:tcPr>
                  <w:tcW w:w="677" w:type="pct"/>
                  <w:vMerge w:val="continue"/>
                  <w:tcBorders>
                    <w:tl2br w:val="nil"/>
                    <w:tr2bl w:val="nil"/>
                  </w:tcBorders>
                  <w:vAlign w:val="center"/>
                </w:tcPr>
                <w:p w14:paraId="15F26043">
                  <w:pPr>
                    <w:pStyle w:val="12"/>
                    <w:rPr>
                      <w:rFonts w:cs="Times New Roman"/>
                    </w:rPr>
                  </w:pPr>
                </w:p>
              </w:tc>
              <w:tc>
                <w:tcPr>
                  <w:tcW w:w="532" w:type="pct"/>
                  <w:tcBorders>
                    <w:tl2br w:val="nil"/>
                    <w:tr2bl w:val="nil"/>
                  </w:tcBorders>
                  <w:vAlign w:val="center"/>
                </w:tcPr>
                <w:p w14:paraId="0E63A22A">
                  <w:pPr>
                    <w:pStyle w:val="12"/>
                    <w:ind w:firstLine="0" w:firstLineChars="0"/>
                    <w:rPr>
                      <w:rFonts w:cs="Times New Roman"/>
                      <w:bCs/>
                    </w:rPr>
                  </w:pPr>
                  <w:r>
                    <w:rPr>
                      <w:rFonts w:hint="eastAsia" w:cs="Times New Roman"/>
                      <w:kern w:val="21"/>
                      <w:lang w:val="en-US" w:eastAsia="zh-CN"/>
                    </w:rPr>
                    <w:t>废机油桶</w:t>
                  </w:r>
                </w:p>
              </w:tc>
              <w:tc>
                <w:tcPr>
                  <w:tcW w:w="461" w:type="pct"/>
                  <w:tcBorders>
                    <w:tl2br w:val="nil"/>
                    <w:tr2bl w:val="nil"/>
                  </w:tcBorders>
                  <w:vAlign w:val="center"/>
                </w:tcPr>
                <w:p w14:paraId="1F50E519">
                  <w:pPr>
                    <w:pStyle w:val="12"/>
                    <w:ind w:firstLine="0" w:firstLineChars="0"/>
                    <w:rPr>
                      <w:rFonts w:cs="Times New Roman"/>
                    </w:rPr>
                  </w:pPr>
                  <w:r>
                    <w:rPr>
                      <w:rFonts w:cs="Times New Roman"/>
                      <w:szCs w:val="21"/>
                    </w:rPr>
                    <w:t>HW</w:t>
                  </w:r>
                  <w:r>
                    <w:rPr>
                      <w:rFonts w:hint="eastAsia" w:cs="Times New Roman"/>
                      <w:szCs w:val="21"/>
                      <w:lang w:val="en-US" w:eastAsia="zh-CN"/>
                    </w:rPr>
                    <w:t>08</w:t>
                  </w:r>
                </w:p>
              </w:tc>
              <w:tc>
                <w:tcPr>
                  <w:tcW w:w="680" w:type="pct"/>
                  <w:tcBorders>
                    <w:tl2br w:val="nil"/>
                    <w:tr2bl w:val="nil"/>
                  </w:tcBorders>
                  <w:vAlign w:val="center"/>
                </w:tcPr>
                <w:p w14:paraId="7D71C0A0">
                  <w:pPr>
                    <w:pStyle w:val="12"/>
                    <w:ind w:firstLine="0" w:firstLineChars="0"/>
                    <w:rPr>
                      <w:rFonts w:cs="Times New Roman"/>
                    </w:rPr>
                  </w:pPr>
                  <w:r>
                    <w:rPr>
                      <w:rFonts w:cs="Times New Roman"/>
                      <w:szCs w:val="21"/>
                    </w:rPr>
                    <w:t>900-</w:t>
                  </w:r>
                  <w:r>
                    <w:rPr>
                      <w:rFonts w:hint="eastAsia" w:cs="Times New Roman"/>
                      <w:szCs w:val="21"/>
                      <w:lang w:val="en-US" w:eastAsia="zh-CN"/>
                    </w:rPr>
                    <w:t>249-08</w:t>
                  </w:r>
                </w:p>
              </w:tc>
              <w:tc>
                <w:tcPr>
                  <w:tcW w:w="429" w:type="pct"/>
                  <w:vMerge w:val="continue"/>
                  <w:tcBorders>
                    <w:tl2br w:val="nil"/>
                    <w:tr2bl w:val="nil"/>
                  </w:tcBorders>
                  <w:vAlign w:val="center"/>
                </w:tcPr>
                <w:p w14:paraId="0FF7C472">
                  <w:pPr>
                    <w:pStyle w:val="12"/>
                    <w:rPr>
                      <w:rFonts w:cs="Times New Roman"/>
                    </w:rPr>
                  </w:pPr>
                </w:p>
              </w:tc>
              <w:tc>
                <w:tcPr>
                  <w:tcW w:w="398" w:type="pct"/>
                  <w:vMerge w:val="continue"/>
                  <w:tcBorders>
                    <w:tl2br w:val="nil"/>
                    <w:tr2bl w:val="nil"/>
                  </w:tcBorders>
                  <w:vAlign w:val="center"/>
                </w:tcPr>
                <w:p w14:paraId="2F3808E1">
                  <w:pPr>
                    <w:pStyle w:val="12"/>
                    <w:rPr>
                      <w:rFonts w:cs="Times New Roman"/>
                    </w:rPr>
                  </w:pPr>
                </w:p>
              </w:tc>
              <w:tc>
                <w:tcPr>
                  <w:tcW w:w="701" w:type="pct"/>
                  <w:vMerge w:val="continue"/>
                  <w:tcBorders>
                    <w:tl2br w:val="nil"/>
                    <w:tr2bl w:val="nil"/>
                  </w:tcBorders>
                  <w:vAlign w:val="center"/>
                </w:tcPr>
                <w:p w14:paraId="13B973D0">
                  <w:pPr>
                    <w:pStyle w:val="12"/>
                    <w:rPr>
                      <w:rFonts w:cs="Times New Roman"/>
                    </w:rPr>
                  </w:pPr>
                </w:p>
              </w:tc>
              <w:tc>
                <w:tcPr>
                  <w:tcW w:w="423" w:type="pct"/>
                  <w:vMerge w:val="continue"/>
                  <w:tcBorders>
                    <w:tl2br w:val="nil"/>
                    <w:tr2bl w:val="nil"/>
                  </w:tcBorders>
                  <w:vAlign w:val="center"/>
                </w:tcPr>
                <w:p w14:paraId="4C9C9E65">
                  <w:pPr>
                    <w:pStyle w:val="12"/>
                    <w:rPr>
                      <w:rFonts w:cs="Times New Roman"/>
                    </w:rPr>
                  </w:pPr>
                </w:p>
              </w:tc>
              <w:tc>
                <w:tcPr>
                  <w:tcW w:w="406" w:type="pct"/>
                  <w:vMerge w:val="continue"/>
                  <w:tcBorders>
                    <w:tl2br w:val="nil"/>
                    <w:tr2bl w:val="nil"/>
                  </w:tcBorders>
                  <w:vAlign w:val="center"/>
                </w:tcPr>
                <w:p w14:paraId="2F756C7F">
                  <w:pPr>
                    <w:pStyle w:val="12"/>
                    <w:rPr>
                      <w:rFonts w:cs="Times New Roman"/>
                    </w:rPr>
                  </w:pPr>
                </w:p>
              </w:tc>
            </w:tr>
            <w:tr w14:paraId="61690D3C">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288" w:type="pct"/>
                  <w:tcBorders>
                    <w:tl2br w:val="nil"/>
                    <w:tr2bl w:val="nil"/>
                  </w:tcBorders>
                  <w:vAlign w:val="center"/>
                </w:tcPr>
                <w:p w14:paraId="4BEB81DF">
                  <w:pPr>
                    <w:pStyle w:val="12"/>
                    <w:rPr>
                      <w:rFonts w:hint="eastAsia" w:eastAsia="宋体" w:cs="Times New Roman"/>
                      <w:lang w:val="en-US" w:eastAsia="zh-CN"/>
                    </w:rPr>
                  </w:pPr>
                  <w:r>
                    <w:rPr>
                      <w:rFonts w:hint="eastAsia" w:cs="Times New Roman"/>
                      <w:lang w:val="en-US" w:eastAsia="zh-CN"/>
                    </w:rPr>
                    <w:t>5</w:t>
                  </w:r>
                </w:p>
              </w:tc>
              <w:tc>
                <w:tcPr>
                  <w:tcW w:w="677" w:type="pct"/>
                  <w:vMerge w:val="continue"/>
                  <w:tcBorders>
                    <w:tl2br w:val="nil"/>
                    <w:tr2bl w:val="nil"/>
                  </w:tcBorders>
                  <w:vAlign w:val="center"/>
                </w:tcPr>
                <w:p w14:paraId="24E2248D">
                  <w:pPr>
                    <w:pStyle w:val="12"/>
                    <w:rPr>
                      <w:rFonts w:cs="Times New Roman"/>
                    </w:rPr>
                  </w:pPr>
                </w:p>
              </w:tc>
              <w:tc>
                <w:tcPr>
                  <w:tcW w:w="532" w:type="pct"/>
                  <w:tcBorders>
                    <w:tl2br w:val="nil"/>
                    <w:tr2bl w:val="nil"/>
                  </w:tcBorders>
                  <w:vAlign w:val="center"/>
                </w:tcPr>
                <w:p w14:paraId="12A0F537">
                  <w:pPr>
                    <w:pStyle w:val="12"/>
                    <w:ind w:firstLine="0" w:firstLineChars="0"/>
                    <w:rPr>
                      <w:rFonts w:cs="Times New Roman"/>
                    </w:rPr>
                  </w:pPr>
                  <w:r>
                    <w:rPr>
                      <w:rFonts w:hint="eastAsia" w:cs="Times New Roman"/>
                      <w:kern w:val="21"/>
                      <w:lang w:val="en-US" w:eastAsia="zh-CN"/>
                    </w:rPr>
                    <w:t>沾油废物</w:t>
                  </w:r>
                </w:p>
              </w:tc>
              <w:tc>
                <w:tcPr>
                  <w:tcW w:w="461" w:type="pct"/>
                  <w:tcBorders>
                    <w:tl2br w:val="nil"/>
                    <w:tr2bl w:val="nil"/>
                  </w:tcBorders>
                  <w:vAlign w:val="center"/>
                </w:tcPr>
                <w:p w14:paraId="43EBF71A">
                  <w:pPr>
                    <w:pStyle w:val="12"/>
                    <w:ind w:firstLine="0" w:firstLineChars="0"/>
                    <w:rPr>
                      <w:rFonts w:cs="Times New Roman"/>
                    </w:rPr>
                  </w:pPr>
                  <w:r>
                    <w:rPr>
                      <w:rFonts w:cs="Times New Roman"/>
                    </w:rPr>
                    <w:t>HW</w:t>
                  </w:r>
                  <w:r>
                    <w:rPr>
                      <w:rFonts w:hint="eastAsia" w:cs="Times New Roman"/>
                      <w:lang w:val="en-US" w:eastAsia="zh-CN"/>
                    </w:rPr>
                    <w:t>49</w:t>
                  </w:r>
                </w:p>
              </w:tc>
              <w:tc>
                <w:tcPr>
                  <w:tcW w:w="680" w:type="pct"/>
                  <w:tcBorders>
                    <w:tl2br w:val="nil"/>
                    <w:tr2bl w:val="nil"/>
                  </w:tcBorders>
                  <w:vAlign w:val="center"/>
                </w:tcPr>
                <w:p w14:paraId="4E737C28">
                  <w:pPr>
                    <w:pStyle w:val="12"/>
                    <w:ind w:firstLine="0" w:firstLineChars="0"/>
                    <w:rPr>
                      <w:rFonts w:cs="Times New Roman"/>
                    </w:rPr>
                  </w:pPr>
                  <w:r>
                    <w:rPr>
                      <w:rFonts w:cs="Times New Roman"/>
                    </w:rPr>
                    <w:t>900-</w:t>
                  </w:r>
                  <w:r>
                    <w:rPr>
                      <w:rFonts w:hint="eastAsia" w:cs="Times New Roman"/>
                      <w:lang w:val="en-US" w:eastAsia="zh-CN"/>
                    </w:rPr>
                    <w:t>041</w:t>
                  </w:r>
                  <w:r>
                    <w:rPr>
                      <w:rFonts w:cs="Times New Roman"/>
                    </w:rPr>
                    <w:t>-</w:t>
                  </w:r>
                  <w:r>
                    <w:rPr>
                      <w:rFonts w:hint="eastAsia" w:cs="Times New Roman"/>
                      <w:lang w:val="en-US" w:eastAsia="zh-CN"/>
                    </w:rPr>
                    <w:t>49</w:t>
                  </w:r>
                </w:p>
              </w:tc>
              <w:tc>
                <w:tcPr>
                  <w:tcW w:w="429" w:type="pct"/>
                  <w:vMerge w:val="continue"/>
                  <w:tcBorders>
                    <w:tl2br w:val="nil"/>
                    <w:tr2bl w:val="nil"/>
                  </w:tcBorders>
                  <w:vAlign w:val="center"/>
                </w:tcPr>
                <w:p w14:paraId="3F6EF0F5">
                  <w:pPr>
                    <w:pStyle w:val="12"/>
                    <w:rPr>
                      <w:rFonts w:cs="Times New Roman"/>
                    </w:rPr>
                  </w:pPr>
                </w:p>
              </w:tc>
              <w:tc>
                <w:tcPr>
                  <w:tcW w:w="398" w:type="pct"/>
                  <w:vMerge w:val="continue"/>
                  <w:tcBorders>
                    <w:tl2br w:val="nil"/>
                    <w:tr2bl w:val="nil"/>
                  </w:tcBorders>
                  <w:vAlign w:val="center"/>
                </w:tcPr>
                <w:p w14:paraId="1E1ECC76">
                  <w:pPr>
                    <w:pStyle w:val="12"/>
                    <w:rPr>
                      <w:rFonts w:cs="Times New Roman"/>
                    </w:rPr>
                  </w:pPr>
                </w:p>
              </w:tc>
              <w:tc>
                <w:tcPr>
                  <w:tcW w:w="701" w:type="pct"/>
                  <w:vMerge w:val="continue"/>
                  <w:tcBorders>
                    <w:tl2br w:val="nil"/>
                    <w:tr2bl w:val="nil"/>
                  </w:tcBorders>
                  <w:vAlign w:val="center"/>
                </w:tcPr>
                <w:p w14:paraId="1E967C19">
                  <w:pPr>
                    <w:pStyle w:val="12"/>
                    <w:rPr>
                      <w:rFonts w:cs="Times New Roman"/>
                    </w:rPr>
                  </w:pPr>
                </w:p>
              </w:tc>
              <w:tc>
                <w:tcPr>
                  <w:tcW w:w="423" w:type="pct"/>
                  <w:vMerge w:val="continue"/>
                  <w:tcBorders>
                    <w:tl2br w:val="nil"/>
                    <w:tr2bl w:val="nil"/>
                  </w:tcBorders>
                  <w:vAlign w:val="center"/>
                </w:tcPr>
                <w:p w14:paraId="0E238B86">
                  <w:pPr>
                    <w:pStyle w:val="12"/>
                    <w:rPr>
                      <w:rFonts w:cs="Times New Roman"/>
                    </w:rPr>
                  </w:pPr>
                </w:p>
              </w:tc>
              <w:tc>
                <w:tcPr>
                  <w:tcW w:w="406" w:type="pct"/>
                  <w:vMerge w:val="continue"/>
                  <w:tcBorders>
                    <w:tl2br w:val="nil"/>
                    <w:tr2bl w:val="nil"/>
                  </w:tcBorders>
                  <w:vAlign w:val="center"/>
                </w:tcPr>
                <w:p w14:paraId="04AC4F40">
                  <w:pPr>
                    <w:pStyle w:val="12"/>
                    <w:rPr>
                      <w:rFonts w:cs="Times New Roman"/>
                    </w:rPr>
                  </w:pPr>
                </w:p>
              </w:tc>
            </w:tr>
          </w:tbl>
          <w:p w14:paraId="31064316">
            <w:pPr>
              <w:ind w:firstLine="480"/>
              <w:jc w:val="left"/>
              <w:rPr>
                <w:rFonts w:ascii="Times New Roman" w:hAnsi="Times New Roman" w:eastAsia="宋体" w:cs="Times New Roman"/>
              </w:rPr>
            </w:pPr>
            <w:r>
              <w:rPr>
                <w:rFonts w:hint="eastAsia" w:ascii="Times New Roman" w:hAnsi="Times New Roman" w:eastAsia="宋体" w:cs="Times New Roman"/>
                <w:b/>
                <w:bCs/>
                <w:lang w:val="en-US" w:eastAsia="zh-CN"/>
              </w:rPr>
              <w:t>环评要求：</w:t>
            </w:r>
            <w:r>
              <w:rPr>
                <w:rFonts w:hint="eastAsia" w:ascii="Times New Roman" w:hAnsi="Times New Roman" w:eastAsia="宋体" w:cs="Times New Roman"/>
                <w:lang w:val="en-US" w:eastAsia="zh-CN"/>
              </w:rPr>
              <w:t xml:space="preserve">危险废物禁止进入生活垃圾清运系统，必须确保各类危险废物实现无害化处置。 </w:t>
            </w:r>
          </w:p>
          <w:p w14:paraId="4538AB20">
            <w:pPr>
              <w:spacing w:line="360" w:lineRule="auto"/>
              <w:ind w:firstLine="360" w:firstLineChars="150"/>
              <w:rPr>
                <w:rFonts w:hint="eastAsia"/>
                <w:bCs/>
                <w:color w:val="000000" w:themeColor="text1"/>
                <w:sz w:val="24"/>
                <w:szCs w:val="24"/>
                <w:highlight w:val="none"/>
                <w14:textFill>
                  <w14:solidFill>
                    <w14:schemeClr w14:val="tx1"/>
                  </w14:solidFill>
                </w14:textFill>
              </w:rPr>
            </w:pPr>
            <w:r>
              <w:rPr>
                <w:rFonts w:hint="eastAsia"/>
                <w:bCs/>
                <w:color w:val="000000" w:themeColor="text1"/>
                <w:sz w:val="24"/>
                <w:szCs w:val="24"/>
                <w:highlight w:val="none"/>
                <w14:textFill>
                  <w14:solidFill>
                    <w14:schemeClr w14:val="tx1"/>
                  </w14:solidFill>
                </w14:textFill>
              </w:rPr>
              <w:t>根据《危险废物贮存污染控制标准》（GB18597</w:t>
            </w:r>
            <w:r>
              <w:rPr>
                <w:rFonts w:hint="eastAsia"/>
                <w:bCs/>
                <w:color w:val="000000" w:themeColor="text1"/>
                <w:sz w:val="24"/>
                <w:szCs w:val="24"/>
                <w:highlight w:val="none"/>
                <w:lang w:val="en-US" w:eastAsia="zh-CN"/>
                <w14:textFill>
                  <w14:solidFill>
                    <w14:schemeClr w14:val="tx1"/>
                  </w14:solidFill>
                </w14:textFill>
              </w:rPr>
              <w:t>-</w:t>
            </w:r>
            <w:r>
              <w:rPr>
                <w:rFonts w:hint="eastAsia"/>
                <w:bCs/>
                <w:color w:val="000000" w:themeColor="text1"/>
                <w:sz w:val="24"/>
                <w:szCs w:val="24"/>
                <w:highlight w:val="none"/>
                <w14:textFill>
                  <w14:solidFill>
                    <w14:schemeClr w14:val="tx1"/>
                  </w14:solidFill>
                </w14:textFill>
              </w:rPr>
              <w:t>2023）、《危险废物管理计划和管理台账制定技术导则》（HJ1259</w:t>
            </w:r>
            <w:r>
              <w:rPr>
                <w:rFonts w:hint="eastAsia"/>
                <w:bCs/>
                <w:color w:val="000000" w:themeColor="text1"/>
                <w:sz w:val="24"/>
                <w:szCs w:val="24"/>
                <w:highlight w:val="none"/>
                <w:lang w:val="en-US" w:eastAsia="zh-CN"/>
                <w14:textFill>
                  <w14:solidFill>
                    <w14:schemeClr w14:val="tx1"/>
                  </w14:solidFill>
                </w14:textFill>
              </w:rPr>
              <w:t>-</w:t>
            </w:r>
            <w:r>
              <w:rPr>
                <w:rFonts w:hint="eastAsia"/>
                <w:bCs/>
                <w:color w:val="000000" w:themeColor="text1"/>
                <w:sz w:val="24"/>
                <w:szCs w:val="24"/>
                <w:highlight w:val="none"/>
                <w14:textFill>
                  <w14:solidFill>
                    <w14:schemeClr w14:val="tx1"/>
                  </w14:solidFill>
                </w14:textFill>
              </w:rPr>
              <w:t>2022）的相关规定，本次环评对本项目危险废物提出如下要求：</w:t>
            </w:r>
          </w:p>
          <w:p w14:paraId="30E09B42">
            <w:pPr>
              <w:spacing w:line="360" w:lineRule="auto"/>
              <w:ind w:firstLine="361" w:firstLineChars="150"/>
              <w:rPr>
                <w:rFonts w:hint="eastAsia"/>
                <w:b/>
                <w:bCs w:val="0"/>
                <w:color w:val="000000" w:themeColor="text1"/>
                <w:sz w:val="24"/>
                <w:szCs w:val="24"/>
                <w:highlight w:val="none"/>
                <w14:textFill>
                  <w14:solidFill>
                    <w14:schemeClr w14:val="tx1"/>
                  </w14:solidFill>
                </w14:textFill>
              </w:rPr>
            </w:pPr>
            <w:r>
              <w:rPr>
                <w:rFonts w:hint="eastAsia"/>
                <w:b/>
                <w:bCs w:val="0"/>
                <w:color w:val="000000" w:themeColor="text1"/>
                <w:sz w:val="24"/>
                <w:szCs w:val="24"/>
                <w:highlight w:val="none"/>
                <w14:textFill>
                  <w14:solidFill>
                    <w14:schemeClr w14:val="tx1"/>
                  </w14:solidFill>
                </w14:textFill>
              </w:rPr>
              <w:t>（1）总体要求：</w:t>
            </w:r>
          </w:p>
          <w:p w14:paraId="63787886">
            <w:pPr>
              <w:spacing w:line="360" w:lineRule="auto"/>
              <w:ind w:firstLine="360" w:firstLineChars="150"/>
              <w:rPr>
                <w:rFonts w:hint="eastAsia" w:eastAsia="宋体"/>
                <w:bCs/>
                <w:color w:val="000000" w:themeColor="text1"/>
                <w:sz w:val="24"/>
                <w:szCs w:val="24"/>
                <w:highlight w:val="none"/>
                <w:lang w:eastAsia="zh-CN"/>
                <w14:textFill>
                  <w14:solidFill>
                    <w14:schemeClr w14:val="tx1"/>
                  </w14:solidFill>
                </w14:textFill>
              </w:rPr>
            </w:pPr>
            <w:r>
              <w:rPr>
                <w:rFonts w:hint="eastAsia"/>
                <w:bCs/>
                <w:color w:val="000000" w:themeColor="text1"/>
                <w:sz w:val="24"/>
                <w:szCs w:val="24"/>
                <w:highlight w:val="none"/>
                <w14:textFill>
                  <w14:solidFill>
                    <w14:schemeClr w14:val="tx1"/>
                  </w14:solidFill>
                </w14:textFill>
              </w:rPr>
              <w:t>A.产生、收集、贮存、利用、处置危险废物的单位应建造危险废物贮存设施或设置贮存场所，并根据需要选择贮存设施类型。</w:t>
            </w:r>
          </w:p>
          <w:p w14:paraId="036FB779">
            <w:pPr>
              <w:spacing w:line="360" w:lineRule="auto"/>
              <w:ind w:firstLine="360" w:firstLineChars="150"/>
              <w:rPr>
                <w:rFonts w:hint="eastAsia"/>
                <w:bCs/>
                <w:color w:val="000000" w:themeColor="text1"/>
                <w:sz w:val="24"/>
                <w:szCs w:val="24"/>
                <w:highlight w:val="none"/>
                <w14:textFill>
                  <w14:solidFill>
                    <w14:schemeClr w14:val="tx1"/>
                  </w14:solidFill>
                </w14:textFill>
              </w:rPr>
            </w:pPr>
            <w:r>
              <w:rPr>
                <w:rFonts w:hint="eastAsia"/>
                <w:bCs/>
                <w:color w:val="000000" w:themeColor="text1"/>
                <w:sz w:val="24"/>
                <w:szCs w:val="24"/>
                <w:highlight w:val="none"/>
                <w14:textFill>
                  <w14:solidFill>
                    <w14:schemeClr w14:val="tx1"/>
                  </w14:solidFill>
                </w14:textFill>
              </w:rPr>
              <w:t>B.贮存危险废物应根据危险废物的类别、数量、形态、物理化学性质和环境风险等因素，确定贮存设施或场所类型和规模。</w:t>
            </w:r>
          </w:p>
          <w:p w14:paraId="0D8CB7E9">
            <w:pPr>
              <w:spacing w:line="360" w:lineRule="auto"/>
              <w:ind w:firstLine="360" w:firstLineChars="150"/>
              <w:rPr>
                <w:rFonts w:hint="eastAsia"/>
                <w:bCs/>
                <w:color w:val="000000" w:themeColor="text1"/>
                <w:sz w:val="24"/>
                <w:szCs w:val="24"/>
                <w:highlight w:val="none"/>
                <w14:textFill>
                  <w14:solidFill>
                    <w14:schemeClr w14:val="tx1"/>
                  </w14:solidFill>
                </w14:textFill>
              </w:rPr>
            </w:pPr>
            <w:r>
              <w:rPr>
                <w:rFonts w:hint="eastAsia"/>
                <w:bCs/>
                <w:color w:val="000000" w:themeColor="text1"/>
                <w:sz w:val="24"/>
                <w:szCs w:val="24"/>
                <w:highlight w:val="none"/>
                <w14:textFill>
                  <w14:solidFill>
                    <w14:schemeClr w14:val="tx1"/>
                  </w14:solidFill>
                </w14:textFill>
              </w:rPr>
              <w:t>C.贮存危险废物应根据危险废物的类别、形态、物理化学性质和污染防治要求进行分类贮存，且应避免危险废物与不相容的物质或材料接触。</w:t>
            </w:r>
          </w:p>
          <w:p w14:paraId="572D6B2E">
            <w:pPr>
              <w:spacing w:line="360" w:lineRule="auto"/>
              <w:ind w:firstLine="360" w:firstLineChars="150"/>
              <w:rPr>
                <w:rFonts w:hint="eastAsia" w:eastAsia="宋体"/>
                <w:bCs/>
                <w:color w:val="000000" w:themeColor="text1"/>
                <w:sz w:val="24"/>
                <w:szCs w:val="24"/>
                <w:highlight w:val="none"/>
                <w:lang w:eastAsia="zh-CN"/>
                <w14:textFill>
                  <w14:solidFill>
                    <w14:schemeClr w14:val="tx1"/>
                  </w14:solidFill>
                </w14:textFill>
              </w:rPr>
            </w:pPr>
            <w:r>
              <w:rPr>
                <w:rFonts w:hint="eastAsia"/>
                <w:bCs/>
                <w:color w:val="000000" w:themeColor="text1"/>
                <w:sz w:val="24"/>
                <w:szCs w:val="24"/>
                <w:highlight w:val="none"/>
                <w14:textFill>
                  <w14:solidFill>
                    <w14:schemeClr w14:val="tx1"/>
                  </w14:solidFill>
                </w14:textFill>
              </w:rPr>
              <w:t>D.贮存危险废物应根据危险废物的形态、物理化学性质、包装形式和污染物迁移途径，采取措施减少渗滤液及其衍生废物、渗漏的液态废物（简称渗漏液）、粉尘、VOCs、酸雾、有毒有害大气污染物和刺激性气味气体等污染物的产生，防止其污染环境。</w:t>
            </w:r>
          </w:p>
          <w:p w14:paraId="0739E6C1">
            <w:pPr>
              <w:spacing w:line="360" w:lineRule="auto"/>
              <w:ind w:firstLine="360" w:firstLineChars="150"/>
              <w:rPr>
                <w:rFonts w:hint="eastAsia"/>
                <w:bCs/>
                <w:color w:val="000000" w:themeColor="text1"/>
                <w:sz w:val="24"/>
                <w:szCs w:val="24"/>
                <w:highlight w:val="none"/>
                <w14:textFill>
                  <w14:solidFill>
                    <w14:schemeClr w14:val="tx1"/>
                  </w14:solidFill>
                </w14:textFill>
              </w:rPr>
            </w:pPr>
            <w:r>
              <w:rPr>
                <w:rFonts w:hint="eastAsia"/>
                <w:bCs/>
                <w:color w:val="000000" w:themeColor="text1"/>
                <w:sz w:val="24"/>
                <w:szCs w:val="24"/>
                <w:highlight w:val="none"/>
                <w14:textFill>
                  <w14:solidFill>
                    <w14:schemeClr w14:val="tx1"/>
                  </w14:solidFill>
                </w14:textFill>
              </w:rPr>
              <w:t>E.危险废物贮存过程中产生的液态废物和固态废物应分类收集，按其环境管理要求妥善处理。</w:t>
            </w:r>
          </w:p>
          <w:p w14:paraId="37B9D056">
            <w:pPr>
              <w:spacing w:line="360" w:lineRule="auto"/>
              <w:ind w:firstLine="360" w:firstLineChars="150"/>
              <w:rPr>
                <w:rFonts w:hint="eastAsia" w:eastAsia="宋体"/>
                <w:bCs/>
                <w:color w:val="000000" w:themeColor="text1"/>
                <w:sz w:val="24"/>
                <w:szCs w:val="24"/>
                <w:highlight w:val="none"/>
                <w:lang w:eastAsia="zh-CN"/>
                <w14:textFill>
                  <w14:solidFill>
                    <w14:schemeClr w14:val="tx1"/>
                  </w14:solidFill>
                </w14:textFill>
              </w:rPr>
            </w:pPr>
            <w:r>
              <w:rPr>
                <w:rFonts w:hint="eastAsia"/>
                <w:bCs/>
                <w:color w:val="000000" w:themeColor="text1"/>
                <w:sz w:val="24"/>
                <w:szCs w:val="24"/>
                <w:highlight w:val="none"/>
                <w14:textFill>
                  <w14:solidFill>
                    <w14:schemeClr w14:val="tx1"/>
                  </w14:solidFill>
                </w14:textFill>
              </w:rPr>
              <w:t>F.贮存设施或场所、容器和包装物应按HJ1276要求设置危险废物贮存设施或场所标志、危险废物贮存分区标志和危险废物标签等危险废物识别标志。</w:t>
            </w:r>
          </w:p>
          <w:p w14:paraId="24803489">
            <w:pPr>
              <w:spacing w:line="360" w:lineRule="auto"/>
              <w:ind w:firstLine="360" w:firstLineChars="150"/>
              <w:rPr>
                <w:rFonts w:hint="eastAsia" w:eastAsia="宋体"/>
                <w:bCs/>
                <w:color w:val="000000" w:themeColor="text1"/>
                <w:sz w:val="24"/>
                <w:szCs w:val="24"/>
                <w:highlight w:val="none"/>
                <w:lang w:eastAsia="zh-CN"/>
                <w14:textFill>
                  <w14:solidFill>
                    <w14:schemeClr w14:val="tx1"/>
                  </w14:solidFill>
                </w14:textFill>
              </w:rPr>
            </w:pPr>
            <w:r>
              <w:rPr>
                <w:rFonts w:hint="eastAsia"/>
                <w:bCs/>
                <w:color w:val="000000" w:themeColor="text1"/>
                <w:sz w:val="24"/>
                <w:szCs w:val="24"/>
                <w:highlight w:val="none"/>
                <w14:textFill>
                  <w14:solidFill>
                    <w14:schemeClr w14:val="tx1"/>
                  </w14:solidFill>
                </w14:textFill>
              </w:rPr>
              <w:t>G.按照《危险废物管理计划和管理台账制定技术导则》（HJ1259</w:t>
            </w:r>
            <w:r>
              <w:rPr>
                <w:rFonts w:hint="eastAsia"/>
                <w:bCs/>
                <w:color w:val="000000" w:themeColor="text1"/>
                <w:sz w:val="24"/>
                <w:szCs w:val="24"/>
                <w:highlight w:val="none"/>
                <w:lang w:val="en-US" w:eastAsia="zh-CN"/>
                <w14:textFill>
                  <w14:solidFill>
                    <w14:schemeClr w14:val="tx1"/>
                  </w14:solidFill>
                </w14:textFill>
              </w:rPr>
              <w:t>-</w:t>
            </w:r>
            <w:r>
              <w:rPr>
                <w:rFonts w:hint="eastAsia"/>
                <w:bCs/>
                <w:color w:val="000000" w:themeColor="text1"/>
                <w:sz w:val="24"/>
                <w:szCs w:val="24"/>
                <w:highlight w:val="none"/>
                <w14:textFill>
                  <w14:solidFill>
                    <w14:schemeClr w14:val="tx1"/>
                  </w14:solidFill>
                </w14:textFill>
              </w:rPr>
              <w:t>2022）的相关规定，制定危险废物管理计划，内容应当包括减少危险废物产生量和降低危险废物危害性的措施以及危险废物贮存、利用、处置措施；建立危险废物管理台账，如实记录危险废物的种类、产生量、流向、贮存、利用、处置等有关信息；通过国家危险废物信息管理系统向所在地生态环境主管部门备案危险废物管理计划，申报危险废物有关资料。</w:t>
            </w:r>
          </w:p>
          <w:p w14:paraId="49157F7A">
            <w:pPr>
              <w:spacing w:line="360" w:lineRule="auto"/>
              <w:ind w:firstLine="360" w:firstLineChars="150"/>
              <w:rPr>
                <w:rFonts w:hint="eastAsia" w:eastAsia="宋体"/>
                <w:bCs/>
                <w:color w:val="000000" w:themeColor="text1"/>
                <w:sz w:val="24"/>
                <w:szCs w:val="24"/>
                <w:highlight w:val="none"/>
                <w:lang w:eastAsia="zh-CN"/>
                <w14:textFill>
                  <w14:solidFill>
                    <w14:schemeClr w14:val="tx1"/>
                  </w14:solidFill>
                </w14:textFill>
              </w:rPr>
            </w:pPr>
            <w:r>
              <w:rPr>
                <w:rFonts w:hint="eastAsia"/>
                <w:bCs/>
                <w:color w:val="000000" w:themeColor="text1"/>
                <w:sz w:val="24"/>
                <w:szCs w:val="24"/>
                <w:highlight w:val="none"/>
                <w14:textFill>
                  <w14:solidFill>
                    <w14:schemeClr w14:val="tx1"/>
                  </w14:solidFill>
                </w14:textFill>
              </w:rPr>
              <w:t>H.贮存设施退役时，所有者或运营者应依法履行环境保护责任，退役前应妥善处理处置贮存设施内剩余的危险废物，并对贮存设施进行清理，消除污染；还应依据土壤污染防治相关法律法规履行场地环境风险防控责任。</w:t>
            </w:r>
          </w:p>
          <w:p w14:paraId="0477F3D0">
            <w:pPr>
              <w:spacing w:line="360" w:lineRule="auto"/>
              <w:ind w:firstLine="360" w:firstLineChars="150"/>
              <w:rPr>
                <w:rFonts w:hint="eastAsia" w:eastAsia="宋体"/>
                <w:bCs/>
                <w:color w:val="000000" w:themeColor="text1"/>
                <w:sz w:val="24"/>
                <w:szCs w:val="24"/>
                <w:highlight w:val="none"/>
                <w:lang w:eastAsia="zh-CN"/>
                <w14:textFill>
                  <w14:solidFill>
                    <w14:schemeClr w14:val="tx1"/>
                  </w14:solidFill>
                </w14:textFill>
              </w:rPr>
            </w:pPr>
            <w:r>
              <w:rPr>
                <w:rFonts w:hint="eastAsia"/>
                <w:bCs/>
                <w:color w:val="000000" w:themeColor="text1"/>
                <w:sz w:val="24"/>
                <w:szCs w:val="24"/>
                <w:highlight w:val="none"/>
                <w14:textFill>
                  <w14:solidFill>
                    <w14:schemeClr w14:val="tx1"/>
                  </w14:solidFill>
                </w14:textFill>
              </w:rPr>
              <w:t>I.在常温常压下易爆、易燃及排出有毒气体的危险废物应进行预处理，使之稳定后贮存，否则应按易爆、易燃危险品贮存。</w:t>
            </w:r>
          </w:p>
          <w:p w14:paraId="13C23388">
            <w:pPr>
              <w:spacing w:line="360" w:lineRule="auto"/>
              <w:ind w:firstLine="360" w:firstLineChars="150"/>
              <w:rPr>
                <w:rFonts w:hint="eastAsia"/>
                <w:bCs/>
                <w:color w:val="000000" w:themeColor="text1"/>
                <w:sz w:val="24"/>
                <w:szCs w:val="24"/>
                <w:highlight w:val="none"/>
                <w14:textFill>
                  <w14:solidFill>
                    <w14:schemeClr w14:val="tx1"/>
                  </w14:solidFill>
                </w14:textFill>
              </w:rPr>
            </w:pPr>
            <w:r>
              <w:rPr>
                <w:rFonts w:hint="eastAsia"/>
                <w:bCs/>
                <w:color w:val="000000" w:themeColor="text1"/>
                <w:sz w:val="24"/>
                <w:szCs w:val="24"/>
                <w:highlight w:val="none"/>
                <w14:textFill>
                  <w14:solidFill>
                    <w14:schemeClr w14:val="tx1"/>
                  </w14:solidFill>
                </w14:textFill>
              </w:rPr>
              <w:t>J.危险废物贮存除应满足环境保护相关要求外，还应执行国家安全生产、职业健康、交通运输、消防等法律法规和标准的相关要求。</w:t>
            </w:r>
          </w:p>
          <w:p w14:paraId="2ABF246F">
            <w:pPr>
              <w:spacing w:line="360" w:lineRule="auto"/>
              <w:ind w:firstLine="361" w:firstLineChars="150"/>
              <w:rPr>
                <w:rFonts w:hint="eastAsia"/>
                <w:b/>
                <w:bCs w:val="0"/>
                <w:color w:val="000000" w:themeColor="text1"/>
                <w:sz w:val="24"/>
                <w:szCs w:val="24"/>
                <w:highlight w:val="none"/>
                <w14:textFill>
                  <w14:solidFill>
                    <w14:schemeClr w14:val="tx1"/>
                  </w14:solidFill>
                </w14:textFill>
              </w:rPr>
            </w:pPr>
            <w:r>
              <w:rPr>
                <w:rFonts w:hint="eastAsia"/>
                <w:b/>
                <w:bCs w:val="0"/>
                <w:color w:val="000000" w:themeColor="text1"/>
                <w:sz w:val="24"/>
                <w:szCs w:val="24"/>
                <w:highlight w:val="none"/>
                <w14:textFill>
                  <w14:solidFill>
                    <w14:schemeClr w14:val="tx1"/>
                  </w14:solidFill>
                </w14:textFill>
              </w:rPr>
              <w:t>（2）贮存设施污染控制要求：</w:t>
            </w:r>
          </w:p>
          <w:p w14:paraId="6ADE10CA">
            <w:pPr>
              <w:spacing w:line="360" w:lineRule="auto"/>
              <w:ind w:firstLine="360" w:firstLineChars="150"/>
              <w:rPr>
                <w:rFonts w:hint="eastAsia"/>
                <w:bCs/>
                <w:color w:val="000000" w:themeColor="text1"/>
                <w:sz w:val="24"/>
                <w:szCs w:val="24"/>
                <w:highlight w:val="none"/>
                <w14:textFill>
                  <w14:solidFill>
                    <w14:schemeClr w14:val="tx1"/>
                  </w14:solidFill>
                </w14:textFill>
              </w:rPr>
            </w:pPr>
            <w:r>
              <w:rPr>
                <w:rFonts w:hint="eastAsia"/>
                <w:bCs/>
                <w:color w:val="000000" w:themeColor="text1"/>
                <w:sz w:val="24"/>
                <w:szCs w:val="24"/>
                <w:highlight w:val="none"/>
                <w14:textFill>
                  <w14:solidFill>
                    <w14:schemeClr w14:val="tx1"/>
                  </w14:solidFill>
                </w14:textFill>
              </w:rPr>
              <w:t>为避免危险废物二次污染的发生，应采取完善的措施：</w:t>
            </w:r>
          </w:p>
          <w:p w14:paraId="49B89F29">
            <w:pPr>
              <w:spacing w:line="360" w:lineRule="auto"/>
              <w:ind w:firstLine="360" w:firstLineChars="150"/>
              <w:rPr>
                <w:rFonts w:hint="eastAsia"/>
                <w:bCs/>
                <w:color w:val="000000" w:themeColor="text1"/>
                <w:sz w:val="24"/>
                <w:szCs w:val="24"/>
                <w:highlight w:val="none"/>
                <w14:textFill>
                  <w14:solidFill>
                    <w14:schemeClr w14:val="tx1"/>
                  </w14:solidFill>
                </w14:textFill>
              </w:rPr>
            </w:pPr>
            <w:r>
              <w:rPr>
                <w:rFonts w:hint="eastAsia"/>
                <w:bCs/>
                <w:color w:val="000000" w:themeColor="text1"/>
                <w:sz w:val="24"/>
                <w:szCs w:val="24"/>
                <w:highlight w:val="none"/>
                <w14:textFill>
                  <w14:solidFill>
                    <w14:schemeClr w14:val="tx1"/>
                  </w14:solidFill>
                </w14:textFill>
              </w:rPr>
              <w:t>A.贮存设施应根据危险废物的形态、物理化学性质、包装形式和污染物迁移途径，采取必要的防风、防晒、防雨、防漏、防渗、防腐以及其他环境污染防治措施，不应露天堆放危险废物。</w:t>
            </w:r>
          </w:p>
          <w:p w14:paraId="7781E6F5">
            <w:pPr>
              <w:spacing w:line="360" w:lineRule="auto"/>
              <w:ind w:firstLine="360" w:firstLineChars="150"/>
              <w:rPr>
                <w:rFonts w:hint="eastAsia"/>
                <w:bCs/>
                <w:color w:val="000000" w:themeColor="text1"/>
                <w:sz w:val="24"/>
                <w:szCs w:val="24"/>
                <w:highlight w:val="none"/>
                <w14:textFill>
                  <w14:solidFill>
                    <w14:schemeClr w14:val="tx1"/>
                  </w14:solidFill>
                </w14:textFill>
              </w:rPr>
            </w:pPr>
            <w:r>
              <w:rPr>
                <w:rFonts w:hint="eastAsia"/>
                <w:bCs/>
                <w:color w:val="000000" w:themeColor="text1"/>
                <w:sz w:val="24"/>
                <w:szCs w:val="24"/>
                <w:highlight w:val="none"/>
                <w14:textFill>
                  <w14:solidFill>
                    <w14:schemeClr w14:val="tx1"/>
                  </w14:solidFill>
                </w14:textFill>
              </w:rPr>
              <w:t>B.贮存设施应根据危险废物的类别、数量、形态、物理化学性质和污染防治等要求设置必要的贮存分区，避免不相容的危险废物接触、混合。</w:t>
            </w:r>
          </w:p>
          <w:p w14:paraId="1EEB52F0">
            <w:pPr>
              <w:spacing w:line="360" w:lineRule="auto"/>
              <w:ind w:firstLine="360" w:firstLineChars="150"/>
              <w:rPr>
                <w:rFonts w:hint="eastAsia" w:eastAsia="宋体"/>
                <w:bCs/>
                <w:color w:val="000000" w:themeColor="text1"/>
                <w:sz w:val="24"/>
                <w:szCs w:val="24"/>
                <w:highlight w:val="none"/>
                <w:lang w:eastAsia="zh-CN"/>
                <w14:textFill>
                  <w14:solidFill>
                    <w14:schemeClr w14:val="tx1"/>
                  </w14:solidFill>
                </w14:textFill>
              </w:rPr>
            </w:pPr>
            <w:r>
              <w:rPr>
                <w:rFonts w:hint="eastAsia"/>
                <w:bCs/>
                <w:color w:val="000000" w:themeColor="text1"/>
                <w:sz w:val="24"/>
                <w:szCs w:val="24"/>
                <w:highlight w:val="none"/>
                <w14:textFill>
                  <w14:solidFill>
                    <w14:schemeClr w14:val="tx1"/>
                  </w14:solidFill>
                </w14:textFill>
              </w:rPr>
              <w:t>C.贮存设施或贮存分区内地面、墙面裙脚、堵截泄漏的围堰、接触危险废物的隔板和墙体等应采用坚固的材料建造，表面无裂缝。</w:t>
            </w:r>
          </w:p>
          <w:p w14:paraId="727F42C8">
            <w:pPr>
              <w:spacing w:line="360" w:lineRule="auto"/>
              <w:ind w:firstLine="360" w:firstLineChars="150"/>
              <w:rPr>
                <w:rFonts w:hint="eastAsia" w:eastAsia="宋体"/>
                <w:bCs/>
                <w:color w:val="000000" w:themeColor="text1"/>
                <w:sz w:val="24"/>
                <w:szCs w:val="24"/>
                <w:highlight w:val="none"/>
                <w:lang w:eastAsia="zh-CN"/>
                <w14:textFill>
                  <w14:solidFill>
                    <w14:schemeClr w14:val="tx1"/>
                  </w14:solidFill>
                </w14:textFill>
              </w:rPr>
            </w:pPr>
            <w:r>
              <w:rPr>
                <w:rFonts w:hint="eastAsia"/>
                <w:bCs/>
                <w:color w:val="000000" w:themeColor="text1"/>
                <w:sz w:val="24"/>
                <w:szCs w:val="24"/>
                <w:highlight w:val="none"/>
                <w14:textFill>
                  <w14:solidFill>
                    <w14:schemeClr w14:val="tx1"/>
                  </w14:solidFill>
                </w14:textFill>
              </w:rPr>
              <w:t>D.贮存设施地面与裙脚应采取表面防渗措施；表面防渗材料应与所接触的物料或污染物相容，可采用抗渗混凝土、高密度聚乙烯膜、钠基膨润土防水毯或其他防渗性能等效的材料。贮存的危险废物直接接触地面的，还应进行基础防渗，防渗层为至少1m厚黏土层（渗透系数不大于10</w:t>
            </w:r>
            <w:r>
              <w:rPr>
                <w:rFonts w:hint="eastAsia"/>
                <w:bCs/>
                <w:color w:val="000000" w:themeColor="text1"/>
                <w:sz w:val="24"/>
                <w:szCs w:val="24"/>
                <w:highlight w:val="none"/>
                <w:vertAlign w:val="superscript"/>
                <w14:textFill>
                  <w14:solidFill>
                    <w14:schemeClr w14:val="tx1"/>
                  </w14:solidFill>
                </w14:textFill>
              </w:rPr>
              <w:t>-7</w:t>
            </w:r>
            <w:r>
              <w:rPr>
                <w:rFonts w:hint="eastAsia"/>
                <w:bCs/>
                <w:color w:val="000000" w:themeColor="text1"/>
                <w:sz w:val="24"/>
                <w:szCs w:val="24"/>
                <w:highlight w:val="none"/>
                <w14:textFill>
                  <w14:solidFill>
                    <w14:schemeClr w14:val="tx1"/>
                  </w14:solidFill>
                </w14:textFill>
              </w:rPr>
              <w:t>cm/s），或至少2mm厚高密度聚乙烯膜等人工防渗材料（渗透系数不大于10</w:t>
            </w:r>
            <w:r>
              <w:rPr>
                <w:rFonts w:hint="eastAsia"/>
                <w:bCs/>
                <w:color w:val="000000" w:themeColor="text1"/>
                <w:sz w:val="24"/>
                <w:szCs w:val="24"/>
                <w:highlight w:val="none"/>
                <w:vertAlign w:val="superscript"/>
                <w14:textFill>
                  <w14:solidFill>
                    <w14:schemeClr w14:val="tx1"/>
                  </w14:solidFill>
                </w14:textFill>
              </w:rPr>
              <w:t>-10</w:t>
            </w:r>
            <w:r>
              <w:rPr>
                <w:rFonts w:hint="eastAsia"/>
                <w:bCs/>
                <w:color w:val="000000" w:themeColor="text1"/>
                <w:sz w:val="24"/>
                <w:szCs w:val="24"/>
                <w:highlight w:val="none"/>
                <w14:textFill>
                  <w14:solidFill>
                    <w14:schemeClr w14:val="tx1"/>
                  </w14:solidFill>
                </w14:textFill>
              </w:rPr>
              <w:t>cm/s），或其他防渗性能等效的材料。同一贮存设施宜采用相同的防渗、防腐工艺（包括防渗、防腐结构或材料），防渗、防腐材料应覆盖所有可能与废物及其渗滤液、渗漏液等接触的构筑物表面；采用不同防渗、防腐工艺应分别建设贮存分区。</w:t>
            </w:r>
          </w:p>
          <w:p w14:paraId="5203D144">
            <w:pPr>
              <w:spacing w:line="360" w:lineRule="auto"/>
              <w:ind w:firstLine="360" w:firstLineChars="150"/>
              <w:rPr>
                <w:rFonts w:hint="eastAsia"/>
                <w:bCs/>
                <w:color w:val="000000" w:themeColor="text1"/>
                <w:sz w:val="24"/>
                <w:szCs w:val="24"/>
                <w:highlight w:val="none"/>
                <w14:textFill>
                  <w14:solidFill>
                    <w14:schemeClr w14:val="tx1"/>
                  </w14:solidFill>
                </w14:textFill>
              </w:rPr>
            </w:pPr>
            <w:r>
              <w:rPr>
                <w:rFonts w:hint="eastAsia"/>
                <w:bCs/>
                <w:color w:val="000000" w:themeColor="text1"/>
                <w:sz w:val="24"/>
                <w:szCs w:val="24"/>
                <w:highlight w:val="none"/>
                <w14:textFill>
                  <w14:solidFill>
                    <w14:schemeClr w14:val="tx1"/>
                  </w14:solidFill>
                </w14:textFill>
              </w:rPr>
              <w:t>E.贮存设施应采取技术和管理措施防止无关人员进入。</w:t>
            </w:r>
          </w:p>
          <w:p w14:paraId="0F835384">
            <w:pPr>
              <w:spacing w:line="360" w:lineRule="auto"/>
              <w:ind w:firstLine="361" w:firstLineChars="150"/>
              <w:rPr>
                <w:rFonts w:hint="eastAsia"/>
                <w:b/>
                <w:bCs w:val="0"/>
                <w:color w:val="000000" w:themeColor="text1"/>
                <w:sz w:val="24"/>
                <w:szCs w:val="24"/>
                <w:highlight w:val="none"/>
                <w14:textFill>
                  <w14:solidFill>
                    <w14:schemeClr w14:val="tx1"/>
                  </w14:solidFill>
                </w14:textFill>
              </w:rPr>
            </w:pPr>
            <w:r>
              <w:rPr>
                <w:rFonts w:hint="eastAsia"/>
                <w:b/>
                <w:bCs w:val="0"/>
                <w:color w:val="000000" w:themeColor="text1"/>
                <w:sz w:val="24"/>
                <w:szCs w:val="24"/>
                <w:highlight w:val="none"/>
                <w14:textFill>
                  <w14:solidFill>
                    <w14:schemeClr w14:val="tx1"/>
                  </w14:solidFill>
                </w14:textFill>
              </w:rPr>
              <w:t>（3）危险废物转运和处理：</w:t>
            </w:r>
          </w:p>
          <w:p w14:paraId="2C48EFB3">
            <w:pPr>
              <w:spacing w:line="360" w:lineRule="auto"/>
              <w:ind w:firstLine="360" w:firstLineChars="150"/>
              <w:rPr>
                <w:rFonts w:hint="eastAsia"/>
                <w:bCs/>
                <w:color w:val="000000" w:themeColor="text1"/>
                <w:sz w:val="24"/>
                <w:szCs w:val="24"/>
                <w:highlight w:val="none"/>
                <w14:textFill>
                  <w14:solidFill>
                    <w14:schemeClr w14:val="tx1"/>
                  </w14:solidFill>
                </w14:textFill>
              </w:rPr>
            </w:pPr>
            <w:r>
              <w:rPr>
                <w:rFonts w:hint="eastAsia"/>
                <w:bCs/>
                <w:color w:val="000000" w:themeColor="text1"/>
                <w:sz w:val="24"/>
                <w:szCs w:val="24"/>
                <w:highlight w:val="none"/>
                <w14:textFill>
                  <w14:solidFill>
                    <w14:schemeClr w14:val="tx1"/>
                  </w14:solidFill>
                </w14:textFill>
              </w:rPr>
              <w:t>根据中华人民共和国国务院令第344号《危险化学品安全管理条例》的有关规定，在危险废弃物外运至处置单位时必须严格遵守以下要求：</w:t>
            </w:r>
          </w:p>
          <w:p w14:paraId="55307FD2">
            <w:pPr>
              <w:spacing w:line="360" w:lineRule="auto"/>
              <w:ind w:firstLine="360" w:firstLineChars="150"/>
              <w:rPr>
                <w:rFonts w:hint="eastAsia"/>
                <w:bCs/>
                <w:color w:val="000000" w:themeColor="text1"/>
                <w:sz w:val="24"/>
                <w:szCs w:val="24"/>
                <w:highlight w:val="none"/>
                <w14:textFill>
                  <w14:solidFill>
                    <w14:schemeClr w14:val="tx1"/>
                  </w14:solidFill>
                </w14:textFill>
              </w:rPr>
            </w:pPr>
            <w:r>
              <w:rPr>
                <w:rFonts w:hint="eastAsia"/>
                <w:bCs/>
                <w:color w:val="000000" w:themeColor="text1"/>
                <w:sz w:val="24"/>
                <w:szCs w:val="24"/>
                <w:highlight w:val="none"/>
                <w14:textFill>
                  <w14:solidFill>
                    <w14:schemeClr w14:val="tx1"/>
                  </w14:solidFill>
                </w14:textFill>
              </w:rPr>
              <w:t>①做好每次外运处置废弃物的运输登记，认真填写危险废物转移联单（每种废物填写一份联单），并加盖公司公章，经运输单位核实验收签字后，将联单第一联副联自留存档，将联单第二联交移出地环境保护行政主管部门，第三联及其余各联交付运输单位，随危险废物转移运行。第四联交接收单位，第五联交</w:t>
            </w:r>
            <w:r>
              <w:rPr>
                <w:rFonts w:hint="eastAsia"/>
                <w:bCs/>
                <w:color w:val="000000" w:themeColor="text1"/>
                <w:sz w:val="24"/>
                <w:szCs w:val="24"/>
                <w:highlight w:val="none"/>
                <w:lang w:eastAsia="zh-CN"/>
                <w14:textFill>
                  <w14:solidFill>
                    <w14:schemeClr w14:val="tx1"/>
                  </w14:solidFill>
                </w14:textFill>
              </w:rPr>
              <w:t>接收</w:t>
            </w:r>
            <w:r>
              <w:rPr>
                <w:rFonts w:hint="eastAsia"/>
                <w:bCs/>
                <w:color w:val="000000" w:themeColor="text1"/>
                <w:sz w:val="24"/>
                <w:szCs w:val="24"/>
                <w:highlight w:val="none"/>
                <w14:textFill>
                  <w14:solidFill>
                    <w14:schemeClr w14:val="tx1"/>
                  </w14:solidFill>
                </w14:textFill>
              </w:rPr>
              <w:t>地生态环境局。</w:t>
            </w:r>
          </w:p>
          <w:p w14:paraId="7FD87180">
            <w:pPr>
              <w:spacing w:line="360" w:lineRule="auto"/>
              <w:ind w:firstLine="360" w:firstLineChars="150"/>
              <w:rPr>
                <w:rFonts w:hint="eastAsia"/>
                <w:bCs/>
                <w:color w:val="000000" w:themeColor="text1"/>
                <w:sz w:val="24"/>
                <w:szCs w:val="24"/>
                <w:highlight w:val="none"/>
                <w14:textFill>
                  <w14:solidFill>
                    <w14:schemeClr w14:val="tx1"/>
                  </w14:solidFill>
                </w14:textFill>
              </w:rPr>
            </w:pPr>
            <w:r>
              <w:rPr>
                <w:rFonts w:hint="eastAsia"/>
                <w:bCs/>
                <w:color w:val="000000" w:themeColor="text1"/>
                <w:sz w:val="24"/>
                <w:szCs w:val="24"/>
                <w:highlight w:val="none"/>
                <w14:textFill>
                  <w14:solidFill>
                    <w14:schemeClr w14:val="tx1"/>
                  </w14:solidFill>
                </w14:textFill>
              </w:rPr>
              <w:t>②废弃物处置单位的运输人员必须掌握危险化学品运输的安全知识，了解所运载的危险化学品的性质、危害特性、包装容器的使用特性和发生意外时的应急措施。运输车辆必须具有车辆危险货物运输许可证。驾驶人员必须由取得驾驶执照的熟练人员担任。</w:t>
            </w:r>
          </w:p>
          <w:p w14:paraId="241481DC">
            <w:pPr>
              <w:spacing w:line="360" w:lineRule="auto"/>
              <w:ind w:firstLine="360" w:firstLineChars="150"/>
              <w:rPr>
                <w:rFonts w:hint="eastAsia"/>
                <w:bCs/>
                <w:color w:val="000000" w:themeColor="text1"/>
                <w:sz w:val="24"/>
                <w:szCs w:val="24"/>
                <w:highlight w:val="none"/>
                <w14:textFill>
                  <w14:solidFill>
                    <w14:schemeClr w14:val="tx1"/>
                  </w14:solidFill>
                </w14:textFill>
              </w:rPr>
            </w:pPr>
            <w:r>
              <w:rPr>
                <w:rFonts w:hint="eastAsia"/>
                <w:bCs/>
                <w:color w:val="000000" w:themeColor="text1"/>
                <w:sz w:val="24"/>
                <w:szCs w:val="24"/>
                <w:highlight w:val="none"/>
                <w14:textFill>
                  <w14:solidFill>
                    <w14:schemeClr w14:val="tx1"/>
                  </w14:solidFill>
                </w14:textFill>
              </w:rPr>
              <w:t>③处置单位在运输危险废弃物时必须配备押运人员，并随时处于押运人员的监管之下，不得超装、超载，严格按照所在城市规定的行车时间和行车路线行驶，不得进入危险化学品运输车辆禁止通行的区域。</w:t>
            </w:r>
          </w:p>
          <w:p w14:paraId="5185CF58">
            <w:pPr>
              <w:spacing w:line="360" w:lineRule="auto"/>
              <w:ind w:firstLine="360" w:firstLineChars="150"/>
              <w:rPr>
                <w:rFonts w:hint="eastAsia"/>
                <w:bCs/>
                <w:color w:val="000000" w:themeColor="text1"/>
                <w:sz w:val="24"/>
                <w:szCs w:val="24"/>
                <w:highlight w:val="none"/>
                <w14:textFill>
                  <w14:solidFill>
                    <w14:schemeClr w14:val="tx1"/>
                  </w14:solidFill>
                </w14:textFill>
              </w:rPr>
            </w:pPr>
            <w:r>
              <w:rPr>
                <w:rFonts w:hint="eastAsia"/>
                <w:bCs/>
                <w:color w:val="000000" w:themeColor="text1"/>
                <w:sz w:val="24"/>
                <w:szCs w:val="24"/>
                <w:highlight w:val="none"/>
                <w14:textFill>
                  <w14:solidFill>
                    <w14:schemeClr w14:val="tx1"/>
                  </w14:solidFill>
                </w14:textFill>
              </w:rPr>
              <w:t>④危险废弃物在运输途中若发生被盗、丢失、流散、泄漏等情况时，公司及押运人员必须立即向当地公安部门报告，并采取一切可能的警示措施。</w:t>
            </w:r>
          </w:p>
          <w:p w14:paraId="4F90AF3F">
            <w:pPr>
              <w:spacing w:line="360" w:lineRule="auto"/>
              <w:ind w:firstLine="360" w:firstLineChars="150"/>
              <w:rPr>
                <w:rFonts w:hint="eastAsia"/>
                <w:bCs/>
                <w:color w:val="000000" w:themeColor="text1"/>
                <w:sz w:val="24"/>
                <w:szCs w:val="24"/>
                <w:highlight w:val="none"/>
                <w14:textFill>
                  <w14:solidFill>
                    <w14:schemeClr w14:val="tx1"/>
                  </w14:solidFill>
                </w14:textFill>
              </w:rPr>
            </w:pPr>
            <w:r>
              <w:rPr>
                <w:rFonts w:hint="eastAsia"/>
                <w:bCs/>
                <w:color w:val="000000" w:themeColor="text1"/>
                <w:sz w:val="24"/>
                <w:szCs w:val="24"/>
                <w:highlight w:val="none"/>
                <w14:textFill>
                  <w14:solidFill>
                    <w14:schemeClr w14:val="tx1"/>
                  </w14:solidFill>
                </w14:textFill>
              </w:rPr>
              <w:t>⑤一旦发生废弃物泄漏事故，公司和废弃物处置单位都应积极协助有关部门采取必要的安全措施，减少事故损失，防止事故蔓延、扩大；针对事故对人体、动植物、土壤、水源、空气造成的现实危害和可能产生的危害，应迅速采取封闭、隔离、洗消等措施，并对事故造成的危害进行监测、处置，直至符合国家环境保护标准。</w:t>
            </w:r>
          </w:p>
          <w:p w14:paraId="6B72A043">
            <w:pPr>
              <w:spacing w:line="360" w:lineRule="auto"/>
              <w:ind w:firstLine="361" w:firstLineChars="150"/>
              <w:rPr>
                <w:rFonts w:hint="eastAsia"/>
                <w:b/>
                <w:bCs w:val="0"/>
                <w:color w:val="000000" w:themeColor="text1"/>
                <w:sz w:val="24"/>
                <w:szCs w:val="24"/>
                <w:highlight w:val="none"/>
                <w14:textFill>
                  <w14:solidFill>
                    <w14:schemeClr w14:val="tx1"/>
                  </w14:solidFill>
                </w14:textFill>
              </w:rPr>
            </w:pPr>
            <w:r>
              <w:rPr>
                <w:rFonts w:hint="eastAsia"/>
                <w:b/>
                <w:bCs w:val="0"/>
                <w:color w:val="000000" w:themeColor="text1"/>
                <w:sz w:val="24"/>
                <w:szCs w:val="24"/>
                <w:highlight w:val="none"/>
                <w:lang w:eastAsia="zh-CN"/>
                <w14:textFill>
                  <w14:solidFill>
                    <w14:schemeClr w14:val="tx1"/>
                  </w14:solidFill>
                </w14:textFill>
              </w:rPr>
              <w:t>（</w:t>
            </w:r>
            <w:r>
              <w:rPr>
                <w:rFonts w:hint="eastAsia"/>
                <w:b/>
                <w:bCs w:val="0"/>
                <w:color w:val="000000" w:themeColor="text1"/>
                <w:sz w:val="24"/>
                <w:szCs w:val="24"/>
                <w:highlight w:val="none"/>
                <w:lang w:val="en-US" w:eastAsia="zh-CN"/>
                <w14:textFill>
                  <w14:solidFill>
                    <w14:schemeClr w14:val="tx1"/>
                  </w14:solidFill>
                </w14:textFill>
              </w:rPr>
              <w:t>4</w:t>
            </w:r>
            <w:r>
              <w:rPr>
                <w:rFonts w:hint="eastAsia"/>
                <w:b/>
                <w:bCs w:val="0"/>
                <w:color w:val="000000" w:themeColor="text1"/>
                <w:sz w:val="24"/>
                <w:szCs w:val="24"/>
                <w:highlight w:val="none"/>
                <w:lang w:eastAsia="zh-CN"/>
                <w14:textFill>
                  <w14:solidFill>
                    <w14:schemeClr w14:val="tx1"/>
                  </w14:solidFill>
                </w14:textFill>
              </w:rPr>
              <w:t>）</w:t>
            </w:r>
            <w:r>
              <w:rPr>
                <w:rFonts w:hint="eastAsia"/>
                <w:b/>
                <w:bCs w:val="0"/>
                <w:color w:val="000000" w:themeColor="text1"/>
                <w:sz w:val="24"/>
                <w:szCs w:val="24"/>
                <w:highlight w:val="none"/>
                <w14:textFill>
                  <w14:solidFill>
                    <w14:schemeClr w14:val="tx1"/>
                  </w14:solidFill>
                </w14:textFill>
              </w:rPr>
              <w:t>危险废物管理制度：</w:t>
            </w:r>
          </w:p>
          <w:p w14:paraId="00CA82C5">
            <w:pPr>
              <w:spacing w:line="360" w:lineRule="auto"/>
              <w:ind w:firstLine="360" w:firstLineChars="150"/>
              <w:rPr>
                <w:rFonts w:hint="eastAsia"/>
                <w:bCs/>
                <w:color w:val="000000" w:themeColor="text1"/>
                <w:sz w:val="24"/>
                <w:szCs w:val="24"/>
                <w:highlight w:val="none"/>
                <w14:textFill>
                  <w14:solidFill>
                    <w14:schemeClr w14:val="tx1"/>
                  </w14:solidFill>
                </w14:textFill>
              </w:rPr>
            </w:pPr>
            <w:r>
              <w:rPr>
                <w:rFonts w:hint="eastAsia"/>
                <w:bCs/>
                <w:color w:val="000000" w:themeColor="text1"/>
                <w:sz w:val="24"/>
                <w:szCs w:val="24"/>
                <w:highlight w:val="none"/>
                <w14:textFill>
                  <w14:solidFill>
                    <w14:schemeClr w14:val="tx1"/>
                  </w14:solidFill>
                </w14:textFill>
              </w:rPr>
              <w:t>①危险废物的收集、暂存、转移、综合利用活动必须遵守国家和地方有关规定。</w:t>
            </w:r>
          </w:p>
          <w:p w14:paraId="5E514559">
            <w:pPr>
              <w:spacing w:line="360" w:lineRule="auto"/>
              <w:ind w:firstLine="360" w:firstLineChars="150"/>
              <w:rPr>
                <w:rFonts w:hint="eastAsia"/>
                <w:bCs/>
                <w:color w:val="000000" w:themeColor="text1"/>
                <w:sz w:val="24"/>
                <w:szCs w:val="24"/>
                <w:highlight w:val="none"/>
                <w14:textFill>
                  <w14:solidFill>
                    <w14:schemeClr w14:val="tx1"/>
                  </w14:solidFill>
                </w14:textFill>
              </w:rPr>
            </w:pPr>
            <w:r>
              <w:rPr>
                <w:rFonts w:hint="eastAsia"/>
                <w:bCs/>
                <w:color w:val="000000" w:themeColor="text1"/>
                <w:sz w:val="24"/>
                <w:szCs w:val="24"/>
                <w:highlight w:val="none"/>
                <w14:textFill>
                  <w14:solidFill>
                    <w14:schemeClr w14:val="tx1"/>
                  </w14:solidFill>
                </w14:textFill>
              </w:rPr>
              <w:t>②危险废物的容器和包装物以及收集、暂存、转移、处置危险废物的设施、场所，必须设置危险废物识别标志。</w:t>
            </w:r>
          </w:p>
          <w:p w14:paraId="57766D4D">
            <w:pPr>
              <w:spacing w:line="360" w:lineRule="auto"/>
              <w:ind w:firstLine="360" w:firstLineChars="150"/>
              <w:rPr>
                <w:rFonts w:hint="eastAsia"/>
                <w:bCs/>
                <w:color w:val="000000" w:themeColor="text1"/>
                <w:sz w:val="24"/>
                <w:szCs w:val="24"/>
                <w:highlight w:val="none"/>
                <w14:textFill>
                  <w14:solidFill>
                    <w14:schemeClr w14:val="tx1"/>
                  </w14:solidFill>
                </w14:textFill>
              </w:rPr>
            </w:pPr>
            <w:r>
              <w:rPr>
                <w:rFonts w:hint="eastAsia"/>
                <w:bCs/>
                <w:color w:val="000000" w:themeColor="text1"/>
                <w:sz w:val="24"/>
                <w:szCs w:val="24"/>
                <w:highlight w:val="none"/>
                <w14:textFill>
                  <w14:solidFill>
                    <w14:schemeClr w14:val="tx1"/>
                  </w14:solidFill>
                </w14:textFill>
              </w:rPr>
              <w:t>③对危险废物暂时贮存场所要加强管理，定期巡检，确保危险废物不扩散、不渗漏、不丢失等。</w:t>
            </w:r>
          </w:p>
          <w:p w14:paraId="6EA611CA">
            <w:pPr>
              <w:spacing w:line="360" w:lineRule="auto"/>
              <w:ind w:firstLine="360" w:firstLineChars="150"/>
              <w:rPr>
                <w:rFonts w:hint="eastAsia"/>
                <w:bCs/>
                <w:color w:val="000000" w:themeColor="text1"/>
                <w:sz w:val="24"/>
                <w:szCs w:val="24"/>
                <w:highlight w:val="none"/>
                <w14:textFill>
                  <w14:solidFill>
                    <w14:schemeClr w14:val="tx1"/>
                  </w14:solidFill>
                </w14:textFill>
              </w:rPr>
            </w:pPr>
            <w:r>
              <w:rPr>
                <w:rFonts w:hint="eastAsia"/>
                <w:bCs/>
                <w:color w:val="000000" w:themeColor="text1"/>
                <w:sz w:val="24"/>
                <w:szCs w:val="24"/>
                <w:highlight w:val="none"/>
                <w14:textFill>
                  <w14:solidFill>
                    <w14:schemeClr w14:val="tx1"/>
                  </w14:solidFill>
                </w14:textFill>
              </w:rPr>
              <w:t>④制定危险废物管理计划，并向区环境保护部门申报危险废物的种类、产生量、流向、贮存、处置等有关资料。</w:t>
            </w:r>
          </w:p>
          <w:p w14:paraId="30107915">
            <w:pPr>
              <w:spacing w:line="360" w:lineRule="auto"/>
              <w:ind w:firstLine="360" w:firstLineChars="150"/>
              <w:rPr>
                <w:rFonts w:hint="eastAsia"/>
                <w:bCs/>
                <w:color w:val="000000" w:themeColor="text1"/>
                <w:sz w:val="24"/>
                <w:szCs w:val="24"/>
                <w:highlight w:val="none"/>
                <w14:textFill>
                  <w14:solidFill>
                    <w14:schemeClr w14:val="tx1"/>
                  </w14:solidFill>
                </w14:textFill>
              </w:rPr>
            </w:pPr>
            <w:r>
              <w:rPr>
                <w:rFonts w:hint="eastAsia"/>
                <w:bCs/>
                <w:color w:val="000000" w:themeColor="text1"/>
                <w:sz w:val="24"/>
                <w:szCs w:val="24"/>
                <w:highlight w:val="none"/>
                <w14:textFill>
                  <w14:solidFill>
                    <w14:schemeClr w14:val="tx1"/>
                  </w14:solidFill>
                </w14:textFill>
              </w:rPr>
              <w:t>⑤禁止向环境倾倒、堆置危险废物。</w:t>
            </w:r>
          </w:p>
          <w:p w14:paraId="063758E5">
            <w:pPr>
              <w:spacing w:line="360" w:lineRule="auto"/>
              <w:ind w:firstLine="360" w:firstLineChars="150"/>
              <w:rPr>
                <w:rFonts w:hint="eastAsia"/>
                <w:bCs/>
                <w:color w:val="000000" w:themeColor="text1"/>
                <w:sz w:val="24"/>
                <w:szCs w:val="24"/>
                <w:highlight w:val="none"/>
                <w14:textFill>
                  <w14:solidFill>
                    <w14:schemeClr w14:val="tx1"/>
                  </w14:solidFill>
                </w14:textFill>
              </w:rPr>
            </w:pPr>
            <w:r>
              <w:rPr>
                <w:rFonts w:hint="eastAsia"/>
                <w:bCs/>
                <w:color w:val="000000" w:themeColor="text1"/>
                <w:sz w:val="24"/>
                <w:szCs w:val="24"/>
                <w:highlight w:val="none"/>
                <w14:textFill>
                  <w14:solidFill>
                    <w14:schemeClr w14:val="tx1"/>
                  </w14:solidFill>
                </w14:textFill>
              </w:rPr>
              <w:t>⑥禁止将危险废物混入非危险废物中收集、暂存、转移、处置。</w:t>
            </w:r>
          </w:p>
          <w:p w14:paraId="6DE14638">
            <w:pPr>
              <w:spacing w:line="360" w:lineRule="auto"/>
              <w:ind w:firstLine="360" w:firstLineChars="150"/>
              <w:rPr>
                <w:rFonts w:hint="eastAsia"/>
                <w:bCs/>
                <w:color w:val="000000" w:themeColor="text1"/>
                <w:sz w:val="24"/>
                <w:szCs w:val="24"/>
                <w:highlight w:val="none"/>
                <w14:textFill>
                  <w14:solidFill>
                    <w14:schemeClr w14:val="tx1"/>
                  </w14:solidFill>
                </w14:textFill>
              </w:rPr>
            </w:pPr>
            <w:r>
              <w:rPr>
                <w:rFonts w:hint="eastAsia"/>
                <w:bCs/>
                <w:color w:val="000000" w:themeColor="text1"/>
                <w:sz w:val="24"/>
                <w:szCs w:val="24"/>
                <w:highlight w:val="none"/>
                <w14:textFill>
                  <w14:solidFill>
                    <w14:schemeClr w14:val="tx1"/>
                  </w14:solidFill>
                </w14:textFill>
              </w:rPr>
              <w:t>⑦需要转移危险废物时，严格按照《危险废物转移联单管理办法》对危险废物进行转移处置，必须按照相关规定办理危险废物转移联单，未经批准，不得进行转移。</w:t>
            </w:r>
          </w:p>
          <w:p w14:paraId="3631684B">
            <w:pPr>
              <w:spacing w:line="360" w:lineRule="auto"/>
              <w:ind w:firstLine="360" w:firstLineChars="150"/>
              <w:rPr>
                <w:rFonts w:hint="eastAsia"/>
                <w:bCs/>
                <w:color w:val="000000" w:themeColor="text1"/>
                <w:sz w:val="24"/>
                <w:szCs w:val="24"/>
                <w:highlight w:val="none"/>
                <w14:textFill>
                  <w14:solidFill>
                    <w14:schemeClr w14:val="tx1"/>
                  </w14:solidFill>
                </w14:textFill>
              </w:rPr>
            </w:pPr>
            <w:r>
              <w:rPr>
                <w:rFonts w:hint="eastAsia"/>
                <w:bCs/>
                <w:color w:val="000000" w:themeColor="text1"/>
                <w:sz w:val="24"/>
                <w:szCs w:val="24"/>
                <w:highlight w:val="none"/>
                <w14:textFill>
                  <w14:solidFill>
                    <w14:schemeClr w14:val="tx1"/>
                  </w14:solidFill>
                </w14:textFill>
              </w:rPr>
              <w:t>⑧禁止将危险废物转移至无危险废物经营资质的单位。</w:t>
            </w:r>
          </w:p>
          <w:p w14:paraId="1BFEE7EC">
            <w:pPr>
              <w:spacing w:line="360" w:lineRule="auto"/>
              <w:ind w:firstLine="360" w:firstLineChars="150"/>
              <w:rPr>
                <w:rFonts w:hint="eastAsia"/>
                <w:bCs/>
                <w:color w:val="000000" w:themeColor="text1"/>
                <w:sz w:val="24"/>
                <w:szCs w:val="24"/>
                <w:highlight w:val="none"/>
                <w14:textFill>
                  <w14:solidFill>
                    <w14:schemeClr w14:val="tx1"/>
                  </w14:solidFill>
                </w14:textFill>
              </w:rPr>
            </w:pPr>
            <w:r>
              <w:rPr>
                <w:rFonts w:hint="eastAsia"/>
                <w:bCs/>
                <w:color w:val="000000" w:themeColor="text1"/>
                <w:sz w:val="24"/>
                <w:szCs w:val="24"/>
                <w:highlight w:val="none"/>
                <w14:textFill>
                  <w14:solidFill>
                    <w14:schemeClr w14:val="tx1"/>
                  </w14:solidFill>
                </w14:textFill>
              </w:rPr>
              <w:t>⑨运输危险废物，必须采取防止污染环境的措施，并遵守国家有关危险货物运输管理的规定。禁止将危险废物与旅客在同一运输工具上载运。</w:t>
            </w:r>
          </w:p>
          <w:p w14:paraId="0A15D949">
            <w:pPr>
              <w:spacing w:line="360" w:lineRule="auto"/>
              <w:ind w:firstLine="360" w:firstLineChars="150"/>
              <w:rPr>
                <w:rFonts w:hint="eastAsia"/>
                <w:bCs/>
                <w:color w:val="000000" w:themeColor="text1"/>
                <w:sz w:val="24"/>
                <w:szCs w:val="24"/>
                <w:highlight w:val="none"/>
                <w14:textFill>
                  <w14:solidFill>
                    <w14:schemeClr w14:val="tx1"/>
                  </w14:solidFill>
                </w14:textFill>
              </w:rPr>
            </w:pPr>
            <w:r>
              <w:rPr>
                <w:rFonts w:hint="eastAsia"/>
                <w:bCs/>
                <w:color w:val="000000" w:themeColor="text1"/>
                <w:sz w:val="24"/>
                <w:szCs w:val="24"/>
                <w:highlight w:val="none"/>
                <w14:textFill>
                  <w14:solidFill>
                    <w14:schemeClr w14:val="tx1"/>
                  </w14:solidFill>
                </w14:textFill>
              </w:rPr>
              <w:t>⑩制定危险废物污染事故防范措施和应急预案，并报市生态环境部门进行备案，建立健全危险废物管理台账。</w:t>
            </w:r>
          </w:p>
          <w:p w14:paraId="658A4062">
            <w:pPr>
              <w:widowControl/>
              <w:spacing w:line="360" w:lineRule="auto"/>
              <w:ind w:firstLine="480" w:firstLineChars="200"/>
              <w:jc w:val="left"/>
              <w:rPr>
                <w:rFonts w:hint="default" w:ascii="Times New Roman" w:hAnsi="Times New Roman" w:cs="Times New Roman"/>
                <w:caps w:val="0"/>
                <w:color w:val="000000" w:themeColor="text1"/>
                <w:kern w:val="0"/>
                <w:sz w:val="24"/>
                <w:highlight w:val="none"/>
                <w:lang w:bidi="ar"/>
                <w14:textFill>
                  <w14:solidFill>
                    <w14:schemeClr w14:val="tx1"/>
                  </w14:solidFill>
                </w14:textFill>
              </w:rPr>
            </w:pPr>
            <w:r>
              <w:rPr>
                <w:rFonts w:hint="eastAsia"/>
                <w:bCs/>
                <w:color w:val="000000" w:themeColor="text1"/>
                <w:sz w:val="24"/>
                <w:szCs w:val="24"/>
                <w:highlight w:val="none"/>
                <w14:textFill>
                  <w14:solidFill>
                    <w14:schemeClr w14:val="tx1"/>
                  </w14:solidFill>
                </w14:textFill>
              </w:rPr>
              <w:t>⑪因发生事故或者其他突发性事件，造成危险废物严重污染环境时，必须立即采取措施消除或者减轻对环境的污染危害，及时通报可能受到污染危害的单位和居民，并向市生态环境部门和有关部门报告，接受调查处理。</w:t>
            </w:r>
          </w:p>
          <w:p w14:paraId="135E0A37">
            <w:pPr>
              <w:adjustRightInd w:val="0"/>
              <w:snapToGrid w:val="0"/>
              <w:ind w:firstLine="480"/>
              <w:rPr>
                <w:rFonts w:cs="Times New Roman"/>
                <w:bCs/>
              </w:rPr>
            </w:pPr>
            <w:r>
              <w:rPr>
                <w:rFonts w:cs="Times New Roman"/>
                <w:bCs/>
              </w:rPr>
              <w:t>综上所述，在采取以上措施后，项目运营期产生的固体废弃物去向明确，处置合理，不会造成二次污染。</w:t>
            </w:r>
          </w:p>
          <w:p w14:paraId="273D6BDD">
            <w:pPr>
              <w:pStyle w:val="3"/>
              <w:spacing w:before="163"/>
            </w:pPr>
            <w:r>
              <w:t>5、地下水、土壤环境影响分析</w:t>
            </w:r>
          </w:p>
          <w:p w14:paraId="225B9981">
            <w:pPr>
              <w:autoSpaceDE w:val="0"/>
              <w:autoSpaceDN w:val="0"/>
              <w:adjustRightInd w:val="0"/>
              <w:snapToGrid w:val="0"/>
              <w:ind w:firstLine="482"/>
              <w:rPr>
                <w:rFonts w:cs="Times New Roman"/>
                <w:b/>
              </w:rPr>
            </w:pPr>
            <w:r>
              <w:rPr>
                <w:rFonts w:cs="Times New Roman"/>
                <w:b/>
              </w:rPr>
              <w:t>（1）防治地下水污染控制措施的原则</w:t>
            </w:r>
          </w:p>
          <w:p w14:paraId="2F1CBA1D">
            <w:pPr>
              <w:autoSpaceDE w:val="0"/>
              <w:autoSpaceDN w:val="0"/>
              <w:adjustRightInd w:val="0"/>
              <w:snapToGrid w:val="0"/>
              <w:ind w:firstLine="480"/>
              <w:rPr>
                <w:rFonts w:cs="Times New Roman"/>
                <w:kern w:val="0"/>
                <w:szCs w:val="21"/>
              </w:rPr>
            </w:pPr>
            <w:r>
              <w:rPr>
                <w:rFonts w:cs="Times New Roman"/>
                <w:kern w:val="0"/>
                <w:szCs w:val="21"/>
              </w:rPr>
              <w:t>为防止项目建设对地下水环境</w:t>
            </w:r>
            <w:r>
              <w:rPr>
                <w:rFonts w:hint="eastAsia" w:ascii="宋体" w:hAnsi="宋体" w:eastAsia="宋体" w:cs="宋体"/>
                <w:kern w:val="0"/>
                <w:szCs w:val="21"/>
              </w:rPr>
              <w:t>造成污染，建设单位应坚持“源头控制、监管、应急响应”的</w:t>
            </w:r>
            <w:r>
              <w:rPr>
                <w:rFonts w:cs="Times New Roman"/>
                <w:kern w:val="0"/>
                <w:szCs w:val="21"/>
              </w:rPr>
              <w:t>原则，即采取主动控制和被动控制相结合的措施。</w:t>
            </w:r>
          </w:p>
          <w:p w14:paraId="7C1CB29D">
            <w:pPr>
              <w:autoSpaceDE w:val="0"/>
              <w:autoSpaceDN w:val="0"/>
              <w:adjustRightInd w:val="0"/>
              <w:snapToGrid w:val="0"/>
              <w:ind w:firstLine="480"/>
              <w:rPr>
                <w:rFonts w:cs="Times New Roman"/>
                <w:kern w:val="0"/>
                <w:szCs w:val="21"/>
              </w:rPr>
            </w:pPr>
            <w:r>
              <w:rPr>
                <w:rFonts w:hint="eastAsia" w:ascii="宋体" w:hAnsi="宋体" w:cs="宋体"/>
                <w:kern w:val="0"/>
                <w:szCs w:val="21"/>
              </w:rPr>
              <w:t>①</w:t>
            </w:r>
            <w:r>
              <w:rPr>
                <w:rFonts w:cs="Times New Roman"/>
                <w:kern w:val="0"/>
                <w:szCs w:val="21"/>
              </w:rPr>
              <w:t>主动控制即从源头控制措施，将污染物泄漏的环境风险事故降到最低程度。</w:t>
            </w:r>
            <w:r>
              <w:rPr>
                <w:rFonts w:hint="eastAsia" w:ascii="宋体" w:hAnsi="宋体" w:cs="宋体"/>
                <w:kern w:val="0"/>
                <w:szCs w:val="21"/>
              </w:rPr>
              <w:t>②</w:t>
            </w:r>
            <w:r>
              <w:rPr>
                <w:rFonts w:cs="Times New Roman"/>
                <w:kern w:val="0"/>
                <w:szCs w:val="21"/>
              </w:rPr>
              <w:t>被动控制即末端控制措施，主要包括厂区污染区地面的防渗措施和泄漏、渗漏污染物收集措施，即在污染区地面进行防渗处理，防止洒落地面的污染物渗入地下。</w:t>
            </w:r>
          </w:p>
          <w:p w14:paraId="73FD2732">
            <w:pPr>
              <w:autoSpaceDE w:val="0"/>
              <w:autoSpaceDN w:val="0"/>
              <w:adjustRightInd w:val="0"/>
              <w:snapToGrid w:val="0"/>
              <w:ind w:firstLine="480"/>
              <w:rPr>
                <w:rFonts w:cs="Times New Roman"/>
                <w:kern w:val="0"/>
                <w:szCs w:val="21"/>
              </w:rPr>
            </w:pPr>
            <w:r>
              <w:rPr>
                <w:rFonts w:hint="eastAsia" w:ascii="宋体" w:hAnsi="宋体" w:cs="宋体"/>
                <w:kern w:val="0"/>
                <w:szCs w:val="21"/>
              </w:rPr>
              <w:t>②</w:t>
            </w:r>
            <w:r>
              <w:rPr>
                <w:rFonts w:cs="Times New Roman"/>
                <w:kern w:val="0"/>
                <w:szCs w:val="21"/>
              </w:rPr>
              <w:t>被动控制即末端控制措施，主要包括厂区污染区地面的防渗措施和泄漏、渗漏污染物收集措施，即在污染区地面进行防渗处理，防止洒落地面的污染物渗入地下。</w:t>
            </w:r>
          </w:p>
          <w:p w14:paraId="51D5943C">
            <w:pPr>
              <w:autoSpaceDE w:val="0"/>
              <w:autoSpaceDN w:val="0"/>
              <w:adjustRightInd w:val="0"/>
              <w:snapToGrid w:val="0"/>
              <w:ind w:firstLine="480"/>
              <w:rPr>
                <w:rFonts w:cs="Times New Roman"/>
                <w:kern w:val="0"/>
                <w:szCs w:val="21"/>
              </w:rPr>
            </w:pPr>
            <w:r>
              <w:rPr>
                <w:rFonts w:hint="eastAsia" w:ascii="宋体" w:hAnsi="宋体" w:cs="宋体"/>
                <w:kern w:val="0"/>
                <w:szCs w:val="21"/>
              </w:rPr>
              <w:t>③</w:t>
            </w:r>
            <w:r>
              <w:rPr>
                <w:rFonts w:cs="Times New Roman"/>
                <w:kern w:val="0"/>
                <w:szCs w:val="21"/>
              </w:rPr>
              <w:t>以重点装置区为主，一般生产区为辅；事故易发区为主，一般区为辅。</w:t>
            </w:r>
          </w:p>
          <w:p w14:paraId="09A4B15E">
            <w:pPr>
              <w:autoSpaceDE w:val="0"/>
              <w:autoSpaceDN w:val="0"/>
              <w:adjustRightInd w:val="0"/>
              <w:snapToGrid w:val="0"/>
              <w:ind w:firstLine="480"/>
              <w:rPr>
                <w:rFonts w:cs="Times New Roman"/>
                <w:kern w:val="0"/>
                <w:szCs w:val="21"/>
              </w:rPr>
            </w:pPr>
            <w:r>
              <w:rPr>
                <w:rFonts w:hint="eastAsia" w:ascii="宋体" w:hAnsi="宋体" w:cs="宋体"/>
                <w:kern w:val="0"/>
                <w:szCs w:val="21"/>
              </w:rPr>
              <w:t>④</w:t>
            </w:r>
            <w:r>
              <w:rPr>
                <w:rFonts w:cs="Times New Roman"/>
                <w:kern w:val="0"/>
                <w:szCs w:val="21"/>
              </w:rPr>
              <w:t>应急响应措施，包括一旦发现地下水污染事故，立即启动应急预案、采取应急措施控制地下水污染，并使污染得到治理。</w:t>
            </w:r>
          </w:p>
          <w:p w14:paraId="0E352863">
            <w:pPr>
              <w:wordWrap w:val="0"/>
              <w:ind w:firstLine="482"/>
              <w:jc w:val="left"/>
              <w:rPr>
                <w:rFonts w:cs="Times New Roman"/>
                <w:b/>
                <w:bCs/>
                <w:kern w:val="0"/>
                <w:lang w:bidi="ar"/>
              </w:rPr>
            </w:pPr>
            <w:r>
              <w:rPr>
                <w:rFonts w:cs="Times New Roman"/>
                <w:b/>
                <w:bCs/>
                <w:kern w:val="0"/>
                <w:lang w:bidi="ar"/>
              </w:rPr>
              <w:t>（2）源头控制措施</w:t>
            </w:r>
          </w:p>
          <w:p w14:paraId="285B0B26">
            <w:pPr>
              <w:wordWrap w:val="0"/>
              <w:ind w:firstLine="480"/>
              <w:jc w:val="left"/>
              <w:rPr>
                <w:rFonts w:cs="Times New Roman"/>
                <w:kern w:val="0"/>
                <w:lang w:bidi="ar"/>
              </w:rPr>
            </w:pPr>
            <w:r>
              <w:rPr>
                <w:rFonts w:hint="eastAsia" w:ascii="宋体" w:hAnsi="宋体" w:cs="宋体"/>
                <w:kern w:val="0"/>
                <w:lang w:bidi="ar"/>
              </w:rPr>
              <w:t>①</w:t>
            </w:r>
            <w:r>
              <w:rPr>
                <w:rFonts w:cs="Times New Roman"/>
                <w:kern w:val="0"/>
                <w:lang w:bidi="ar"/>
              </w:rPr>
              <w:t>积极推行实施清洁生产，实现废水的循环利用，减少污染物的排放量</w:t>
            </w:r>
            <w:r>
              <w:rPr>
                <w:rFonts w:hint="eastAsia" w:cs="Times New Roman"/>
                <w:kern w:val="0"/>
                <w:lang w:eastAsia="zh-CN" w:bidi="ar"/>
              </w:rPr>
              <w:t>；</w:t>
            </w:r>
          </w:p>
          <w:p w14:paraId="47C77896">
            <w:pPr>
              <w:wordWrap w:val="0"/>
              <w:ind w:firstLine="480"/>
              <w:jc w:val="left"/>
              <w:rPr>
                <w:rFonts w:cs="Times New Roman"/>
                <w:kern w:val="0"/>
                <w:lang w:bidi="ar"/>
              </w:rPr>
            </w:pPr>
            <w:r>
              <w:rPr>
                <w:rFonts w:hint="eastAsia" w:ascii="宋体" w:hAnsi="宋体" w:cs="宋体"/>
                <w:kern w:val="0"/>
                <w:lang w:bidi="ar"/>
              </w:rPr>
              <w:t>②</w:t>
            </w:r>
            <w:r>
              <w:rPr>
                <w:rFonts w:cs="Times New Roman"/>
                <w:kern w:val="0"/>
                <w:lang w:bidi="ar"/>
              </w:rPr>
              <w:t>根据国家现行相关规范加强环境管理，采取防止和降低污染物跑、冒、滴、漏的措施。正常生产过程中应加强巡检及时处理污染物跑、冒、滴、漏，同时应加强对防渗工程的检查，若发现防渗密封材料老化或损坏，应及时维修更换</w:t>
            </w:r>
            <w:r>
              <w:rPr>
                <w:rFonts w:hint="eastAsia" w:cs="Times New Roman"/>
                <w:kern w:val="0"/>
                <w:lang w:eastAsia="zh-CN" w:bidi="ar"/>
              </w:rPr>
              <w:t>；</w:t>
            </w:r>
          </w:p>
          <w:p w14:paraId="4A69ECC8">
            <w:pPr>
              <w:wordWrap w:val="0"/>
              <w:ind w:firstLine="480"/>
              <w:jc w:val="left"/>
              <w:rPr>
                <w:rFonts w:cs="Times New Roman"/>
                <w:kern w:val="0"/>
                <w:lang w:bidi="ar"/>
              </w:rPr>
            </w:pPr>
            <w:r>
              <w:rPr>
                <w:rFonts w:hint="eastAsia" w:ascii="宋体" w:hAnsi="宋体" w:cs="宋体"/>
                <w:kern w:val="0"/>
                <w:lang w:bidi="ar"/>
              </w:rPr>
              <w:t>③</w:t>
            </w:r>
            <w:r>
              <w:rPr>
                <w:rFonts w:cs="Times New Roman"/>
                <w:kern w:val="0"/>
                <w:lang w:bidi="ar"/>
              </w:rPr>
              <w:t>对工艺、管道、设备采取控制措施，防止污染物的跑、冒滴、漏，将污染物泄漏的环境风险事故降到最低限度。</w:t>
            </w:r>
          </w:p>
          <w:p w14:paraId="5CAD89C6">
            <w:pPr>
              <w:widowControl/>
              <w:ind w:firstLine="482"/>
              <w:jc w:val="left"/>
              <w:rPr>
                <w:rFonts w:cs="Times New Roman"/>
                <w:b/>
                <w:bCs/>
              </w:rPr>
            </w:pPr>
            <w:r>
              <w:rPr>
                <w:rFonts w:cs="Times New Roman"/>
                <w:b/>
                <w:bCs/>
              </w:rPr>
              <w:t>（3）防渗措施</w:t>
            </w:r>
          </w:p>
          <w:p w14:paraId="088B57F6">
            <w:pPr>
              <w:wordWrap w:val="0"/>
              <w:ind w:firstLine="480"/>
              <w:jc w:val="left"/>
              <w:rPr>
                <w:rFonts w:cs="Times New Roman"/>
              </w:rPr>
            </w:pPr>
            <w:r>
              <w:rPr>
                <w:rFonts w:cs="Times New Roman"/>
              </w:rPr>
              <w:t>为了降低本项目对地下水环境造成的影响，项目应严格按照《环境影响评价技术导则-地下水环境》（HJ610-2016）、《中华人民共和国水污染防治法》及《国务院关于印发土壤污染防治行动计划的通知》（国发〔2016〕31号）、《环境影响评价技术导则土壤环境（试行）》（HJ964-2018）的相关规定，按</w:t>
            </w:r>
            <w:r>
              <w:rPr>
                <w:rFonts w:hint="eastAsia" w:ascii="宋体" w:hAnsi="宋体" w:eastAsia="宋体" w:cs="宋体"/>
              </w:rPr>
              <w:t>照“源头控制、分区防治、污染监控、应急响应”的原则进行地下水、</w:t>
            </w:r>
            <w:r>
              <w:rPr>
                <w:rFonts w:cs="Times New Roman"/>
              </w:rPr>
              <w:t>土壤污染防治控制，本项目运营期产生危废和废水，如果管理不善，会因入渗而污染地下水。本项目产生的污水如果渗排、漏排，固体废物乱堆乱放，污染物经过土壤过滤、吸附、离子交换、沉淀、水解及生物积累等过程使部分污染物渗入地下，将对地下水造成严重污染。为保护该地下水，项目内防渗分区分为重点防渗区、一般防渗分区。具体措施如下：</w:t>
            </w:r>
          </w:p>
          <w:p w14:paraId="39B2DAE8">
            <w:pPr>
              <w:pStyle w:val="11"/>
              <w:rPr>
                <w:rFonts w:cs="Times New Roman"/>
                <w:sz w:val="24"/>
              </w:rPr>
            </w:pPr>
            <w:r>
              <w:rPr>
                <w:rFonts w:cs="Times New Roman"/>
              </w:rPr>
              <w:t>表</w:t>
            </w:r>
            <w:r>
              <w:rPr>
                <w:rFonts w:cs="Times New Roman"/>
              </w:rPr>
              <w:fldChar w:fldCharType="begin"/>
            </w:r>
            <w:r>
              <w:rPr>
                <w:rFonts w:cs="Times New Roman"/>
              </w:rPr>
              <w:instrText xml:space="preserve"> SEQ seq \c </w:instrText>
            </w:r>
            <w:r>
              <w:rPr>
                <w:rFonts w:cs="Times New Roman"/>
              </w:rPr>
              <w:fldChar w:fldCharType="separate"/>
            </w:r>
            <w:r>
              <w:rPr>
                <w:rFonts w:cs="Times New Roman"/>
              </w:rPr>
              <w:t>4</w:t>
            </w:r>
            <w:r>
              <w:rPr>
                <w:rFonts w:cs="Times New Roman"/>
              </w:rPr>
              <w:fldChar w:fldCharType="end"/>
            </w:r>
            <w:r>
              <w:rPr>
                <w:rFonts w:cs="Times New Roman"/>
              </w:rPr>
              <w:noBreakHyphen/>
            </w:r>
            <w:r>
              <w:rPr>
                <w:rFonts w:cs="Times New Roman"/>
              </w:rPr>
              <w:fldChar w:fldCharType="begin"/>
            </w:r>
            <w:r>
              <w:rPr>
                <w:rFonts w:cs="Times New Roman"/>
              </w:rPr>
              <w:instrText xml:space="preserve"> SEQ 表 \* ARABIC \s 1 </w:instrText>
            </w:r>
            <w:r>
              <w:rPr>
                <w:rFonts w:cs="Times New Roman"/>
              </w:rPr>
              <w:fldChar w:fldCharType="separate"/>
            </w:r>
            <w:r>
              <w:rPr>
                <w:rFonts w:cs="Times New Roman"/>
              </w:rPr>
              <w:t>10</w:t>
            </w:r>
            <w:r>
              <w:rPr>
                <w:rFonts w:cs="Times New Roman"/>
              </w:rPr>
              <w:fldChar w:fldCharType="end"/>
            </w:r>
            <w:r>
              <w:rPr>
                <w:rFonts w:cs="Times New Roman"/>
              </w:rPr>
              <w:t xml:space="preserve"> 项目分区防渗一览表</w:t>
            </w:r>
          </w:p>
          <w:tbl>
            <w:tblPr>
              <w:tblStyle w:val="26"/>
              <w:tblW w:w="4976" w:type="pct"/>
              <w:jc w:val="center"/>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Layout w:type="autofit"/>
              <w:tblCellMar>
                <w:top w:w="0" w:type="dxa"/>
                <w:left w:w="108" w:type="dxa"/>
                <w:bottom w:w="0" w:type="dxa"/>
                <w:right w:w="108" w:type="dxa"/>
              </w:tblCellMar>
            </w:tblPr>
            <w:tblGrid>
              <w:gridCol w:w="1269"/>
              <w:gridCol w:w="2200"/>
              <w:gridCol w:w="3265"/>
              <w:gridCol w:w="2035"/>
            </w:tblGrid>
            <w:tr w14:paraId="3081273C">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723" w:type="pct"/>
                  <w:tcBorders>
                    <w:tl2br w:val="nil"/>
                    <w:tr2bl w:val="nil"/>
                  </w:tcBorders>
                  <w:shd w:val="clear" w:color="auto" w:fill="auto"/>
                  <w:vAlign w:val="center"/>
                </w:tcPr>
                <w:p w14:paraId="1D84D60B">
                  <w:pPr>
                    <w:pStyle w:val="45"/>
                    <w:rPr>
                      <w:rFonts w:cs="Times New Roman"/>
                    </w:rPr>
                  </w:pPr>
                  <w:r>
                    <w:rPr>
                      <w:rFonts w:cs="Times New Roman"/>
                    </w:rPr>
                    <w:t>防渗分区</w:t>
                  </w:r>
                </w:p>
              </w:tc>
              <w:tc>
                <w:tcPr>
                  <w:tcW w:w="1254" w:type="pct"/>
                  <w:tcBorders>
                    <w:tl2br w:val="nil"/>
                    <w:tr2bl w:val="nil"/>
                  </w:tcBorders>
                  <w:shd w:val="clear" w:color="auto" w:fill="auto"/>
                  <w:vAlign w:val="center"/>
                </w:tcPr>
                <w:p w14:paraId="0C141CB8">
                  <w:pPr>
                    <w:pStyle w:val="45"/>
                    <w:rPr>
                      <w:rFonts w:cs="Times New Roman"/>
                    </w:rPr>
                  </w:pPr>
                  <w:r>
                    <w:rPr>
                      <w:rFonts w:cs="Times New Roman"/>
                    </w:rPr>
                    <w:t>防渗区域</w:t>
                  </w:r>
                </w:p>
              </w:tc>
              <w:tc>
                <w:tcPr>
                  <w:tcW w:w="1861" w:type="pct"/>
                  <w:tcBorders>
                    <w:tl2br w:val="nil"/>
                    <w:tr2bl w:val="nil"/>
                  </w:tcBorders>
                  <w:shd w:val="clear" w:color="auto" w:fill="auto"/>
                  <w:vAlign w:val="center"/>
                </w:tcPr>
                <w:p w14:paraId="7A9E8593">
                  <w:pPr>
                    <w:pStyle w:val="45"/>
                    <w:rPr>
                      <w:rFonts w:hint="eastAsia" w:eastAsia="宋体" w:cs="Times New Roman"/>
                      <w:lang w:eastAsia="zh-CN"/>
                    </w:rPr>
                  </w:pPr>
                  <w:r>
                    <w:rPr>
                      <w:rFonts w:cs="Times New Roman"/>
                    </w:rPr>
                    <w:t>防渗</w:t>
                  </w:r>
                  <w:r>
                    <w:rPr>
                      <w:rFonts w:hint="eastAsia" w:cs="Times New Roman"/>
                      <w:lang w:val="en-US" w:eastAsia="zh-CN"/>
                    </w:rPr>
                    <w:t>措施</w:t>
                  </w:r>
                </w:p>
              </w:tc>
              <w:tc>
                <w:tcPr>
                  <w:tcW w:w="1160" w:type="pct"/>
                  <w:tcBorders>
                    <w:tl2br w:val="nil"/>
                    <w:tr2bl w:val="nil"/>
                  </w:tcBorders>
                  <w:shd w:val="clear" w:color="auto" w:fill="auto"/>
                  <w:vAlign w:val="center"/>
                </w:tcPr>
                <w:p w14:paraId="2E77443A">
                  <w:pPr>
                    <w:pStyle w:val="45"/>
                    <w:rPr>
                      <w:rFonts w:hint="default" w:eastAsia="宋体" w:cs="Times New Roman"/>
                      <w:lang w:val="en-US" w:eastAsia="zh-CN"/>
                    </w:rPr>
                  </w:pPr>
                  <w:r>
                    <w:rPr>
                      <w:rFonts w:hint="eastAsia" w:cs="Times New Roman"/>
                      <w:lang w:val="en-US" w:eastAsia="zh-CN"/>
                    </w:rPr>
                    <w:t>防渗积水要求</w:t>
                  </w:r>
                </w:p>
              </w:tc>
            </w:tr>
            <w:tr w14:paraId="3C59B85A">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723" w:type="pct"/>
                  <w:vMerge w:val="restart"/>
                  <w:tcBorders>
                    <w:tl2br w:val="nil"/>
                    <w:tr2bl w:val="nil"/>
                  </w:tcBorders>
                  <w:shd w:val="clear" w:color="auto" w:fill="auto"/>
                  <w:vAlign w:val="center"/>
                </w:tcPr>
                <w:p w14:paraId="65CAEB2E">
                  <w:pPr>
                    <w:pStyle w:val="12"/>
                    <w:rPr>
                      <w:rFonts w:cs="Times New Roman"/>
                    </w:rPr>
                  </w:pPr>
                  <w:r>
                    <w:rPr>
                      <w:rFonts w:cs="Times New Roman"/>
                    </w:rPr>
                    <w:t>重点防渗</w:t>
                  </w:r>
                </w:p>
              </w:tc>
              <w:tc>
                <w:tcPr>
                  <w:tcW w:w="1254" w:type="pct"/>
                  <w:tcBorders>
                    <w:tl2br w:val="nil"/>
                    <w:tr2bl w:val="nil"/>
                  </w:tcBorders>
                  <w:shd w:val="clear" w:color="auto" w:fill="auto"/>
                  <w:vAlign w:val="center"/>
                </w:tcPr>
                <w:p w14:paraId="34AD415E">
                  <w:pPr>
                    <w:pStyle w:val="12"/>
                    <w:rPr>
                      <w:rFonts w:cs="Times New Roman"/>
                    </w:rPr>
                  </w:pPr>
                  <w:r>
                    <w:rPr>
                      <w:rFonts w:cs="Times New Roman"/>
                      <w:lang w:bidi="ar"/>
                    </w:rPr>
                    <w:t>危废暂存间</w:t>
                  </w:r>
                </w:p>
              </w:tc>
              <w:tc>
                <w:tcPr>
                  <w:tcW w:w="1861" w:type="pct"/>
                  <w:tcBorders>
                    <w:tl2br w:val="nil"/>
                    <w:tr2bl w:val="nil"/>
                  </w:tcBorders>
                  <w:shd w:val="clear" w:color="auto" w:fill="auto"/>
                  <w:vAlign w:val="center"/>
                </w:tcPr>
                <w:p w14:paraId="75B17E13">
                  <w:pPr>
                    <w:pStyle w:val="12"/>
                    <w:rPr>
                      <w:rFonts w:cs="Times New Roman"/>
                      <w:bCs/>
                    </w:rPr>
                  </w:pPr>
                  <w:r>
                    <w:rPr>
                      <w:rFonts w:hint="eastAsia" w:cs="Times New Roman"/>
                      <w:lang w:val="en-US" w:eastAsia="zh-CN" w:bidi="ar"/>
                    </w:rPr>
                    <w:t>防渗混凝土硬化+2mm厚人工防渗材料</w:t>
                  </w:r>
                  <w:r>
                    <w:rPr>
                      <w:rFonts w:hint="eastAsia" w:ascii="Times New Roman" w:hAnsi="Times New Roman" w:eastAsia="宋体" w:cs="Times New Roman"/>
                      <w:lang w:val="en-US" w:eastAsia="zh-CN" w:bidi="ar"/>
                    </w:rPr>
                    <w:t>，危废暂存设置防渗托盘，将液态危险废物容器置于托盘内</w:t>
                  </w:r>
                </w:p>
              </w:tc>
              <w:tc>
                <w:tcPr>
                  <w:tcW w:w="1160" w:type="pct"/>
                  <w:vMerge w:val="restart"/>
                  <w:tcBorders>
                    <w:tl2br w:val="nil"/>
                    <w:tr2bl w:val="nil"/>
                  </w:tcBorders>
                  <w:shd w:val="clear" w:color="auto" w:fill="auto"/>
                  <w:vAlign w:val="center"/>
                </w:tcPr>
                <w:p w14:paraId="529E706C">
                  <w:pPr>
                    <w:pStyle w:val="12"/>
                    <w:rPr>
                      <w:rFonts w:ascii="Times New Roman" w:hAnsi="Times New Roman" w:eastAsia="宋体" w:cs="Times New Roman"/>
                      <w:lang w:bidi="ar"/>
                    </w:rPr>
                  </w:pPr>
                  <w:r>
                    <w:rPr>
                      <w:rFonts w:hint="eastAsia" w:ascii="Times New Roman" w:hAnsi="Times New Roman" w:eastAsia="宋体" w:cs="Times New Roman"/>
                      <w:lang w:val="en-US" w:eastAsia="zh-CN" w:bidi="ar"/>
                    </w:rPr>
                    <w:t>等效粘土防渗层</w:t>
                  </w:r>
                  <w:r>
                    <w:rPr>
                      <w:rFonts w:hint="default" w:ascii="Times New Roman" w:hAnsi="Times New Roman" w:eastAsia="宋体" w:cs="Times New Roman"/>
                      <w:lang w:val="en-US" w:eastAsia="zh-CN" w:bidi="ar"/>
                    </w:rPr>
                    <w:t>Mb≥6.0m</w:t>
                  </w:r>
                  <w:r>
                    <w:rPr>
                      <w:rFonts w:hint="eastAsia" w:ascii="Times New Roman" w:hAnsi="Times New Roman" w:eastAsia="宋体" w:cs="Times New Roman"/>
                      <w:lang w:val="en-US" w:eastAsia="zh-CN" w:bidi="ar"/>
                    </w:rPr>
                    <w:t>，</w:t>
                  </w:r>
                </w:p>
                <w:p w14:paraId="0ECC306D">
                  <w:pPr>
                    <w:pStyle w:val="12"/>
                    <w:rPr>
                      <w:rFonts w:ascii="Times New Roman" w:hAnsi="Times New Roman" w:eastAsia="宋体" w:cs="Times New Roman"/>
                      <w:lang w:bidi="ar"/>
                    </w:rPr>
                  </w:pPr>
                  <w:r>
                    <w:rPr>
                      <w:rFonts w:hint="default" w:ascii="Times New Roman" w:hAnsi="Times New Roman" w:eastAsia="宋体" w:cs="Times New Roman"/>
                      <w:lang w:val="en-US" w:eastAsia="zh-CN" w:bidi="ar"/>
                    </w:rPr>
                    <w:t xml:space="preserve">K≤1×10 </w:t>
                  </w:r>
                  <w:r>
                    <w:rPr>
                      <w:rFonts w:hint="default" w:ascii="Times New Roman" w:hAnsi="Times New Roman" w:eastAsia="宋体" w:cs="Times New Roman"/>
                      <w:vertAlign w:val="superscript"/>
                      <w:lang w:val="en-US" w:eastAsia="zh-CN" w:bidi="ar"/>
                    </w:rPr>
                    <w:t>-7</w:t>
                  </w:r>
                  <w:r>
                    <w:rPr>
                      <w:rFonts w:hint="default" w:ascii="Times New Roman" w:hAnsi="Times New Roman" w:eastAsia="宋体" w:cs="Times New Roman"/>
                      <w:lang w:val="en-US" w:eastAsia="zh-CN" w:bidi="ar"/>
                    </w:rPr>
                    <w:t>cm/s</w:t>
                  </w:r>
                  <w:r>
                    <w:rPr>
                      <w:rFonts w:hint="eastAsia" w:ascii="Times New Roman" w:hAnsi="Times New Roman" w:eastAsia="宋体" w:cs="Times New Roman"/>
                      <w:lang w:val="en-US" w:eastAsia="zh-CN" w:bidi="ar"/>
                    </w:rPr>
                    <w:t xml:space="preserve">，或参 </w:t>
                  </w:r>
                </w:p>
                <w:p w14:paraId="512BA449">
                  <w:pPr>
                    <w:pStyle w:val="12"/>
                    <w:rPr>
                      <w:rFonts w:cs="Times New Roman"/>
                      <w:lang w:bidi="ar"/>
                    </w:rPr>
                  </w:pPr>
                  <w:r>
                    <w:rPr>
                      <w:rFonts w:hint="eastAsia" w:ascii="Times New Roman" w:hAnsi="Times New Roman" w:eastAsia="宋体" w:cs="Times New Roman"/>
                      <w:lang w:val="en-US" w:eastAsia="zh-CN" w:bidi="ar"/>
                    </w:rPr>
                    <w:t>照</w:t>
                  </w:r>
                  <w:r>
                    <w:rPr>
                      <w:rFonts w:hint="default" w:ascii="Times New Roman" w:hAnsi="Times New Roman" w:eastAsia="宋体" w:cs="Times New Roman"/>
                      <w:lang w:val="en-US" w:eastAsia="zh-CN" w:bidi="ar"/>
                    </w:rPr>
                    <w:t>B18598</w:t>
                  </w:r>
                  <w:r>
                    <w:rPr>
                      <w:rFonts w:hint="eastAsia" w:ascii="Times New Roman" w:hAnsi="Times New Roman" w:eastAsia="宋体" w:cs="Times New Roman"/>
                      <w:lang w:val="en-US" w:eastAsia="zh-CN" w:bidi="ar"/>
                    </w:rPr>
                    <w:t>执行</w:t>
                  </w:r>
                </w:p>
              </w:tc>
            </w:tr>
            <w:tr w14:paraId="50569784">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723" w:type="pct"/>
                  <w:vMerge w:val="continue"/>
                  <w:tcBorders>
                    <w:tl2br w:val="nil"/>
                    <w:tr2bl w:val="nil"/>
                  </w:tcBorders>
                  <w:shd w:val="clear" w:color="auto" w:fill="auto"/>
                  <w:vAlign w:val="center"/>
                </w:tcPr>
                <w:p w14:paraId="30BB03B7">
                  <w:pPr>
                    <w:pStyle w:val="12"/>
                    <w:rPr>
                      <w:rFonts w:cs="Times New Roman"/>
                    </w:rPr>
                  </w:pPr>
                </w:p>
              </w:tc>
              <w:tc>
                <w:tcPr>
                  <w:tcW w:w="1254" w:type="pct"/>
                  <w:tcBorders>
                    <w:tl2br w:val="nil"/>
                    <w:tr2bl w:val="nil"/>
                  </w:tcBorders>
                  <w:shd w:val="clear" w:color="auto" w:fill="auto"/>
                  <w:vAlign w:val="center"/>
                </w:tcPr>
                <w:p w14:paraId="118A4FB0">
                  <w:pPr>
                    <w:pStyle w:val="12"/>
                    <w:rPr>
                      <w:rFonts w:hint="default" w:eastAsia="宋体" w:cs="Times New Roman"/>
                      <w:lang w:val="en-US" w:eastAsia="zh-CN" w:bidi="ar"/>
                    </w:rPr>
                  </w:pPr>
                  <w:r>
                    <w:rPr>
                      <w:rFonts w:hint="eastAsia" w:cs="Times New Roman"/>
                      <w:lang w:val="en-US" w:eastAsia="zh-CN" w:bidi="ar"/>
                    </w:rPr>
                    <w:t>水基岩屑储存池、渗滤液池</w:t>
                  </w:r>
                </w:p>
              </w:tc>
              <w:tc>
                <w:tcPr>
                  <w:tcW w:w="1861" w:type="pct"/>
                  <w:vMerge w:val="restart"/>
                  <w:tcBorders>
                    <w:tl2br w:val="nil"/>
                    <w:tr2bl w:val="nil"/>
                  </w:tcBorders>
                  <w:shd w:val="clear" w:color="auto" w:fill="auto"/>
                  <w:vAlign w:val="center"/>
                </w:tcPr>
                <w:p w14:paraId="021FC781">
                  <w:pPr>
                    <w:pStyle w:val="12"/>
                    <w:rPr>
                      <w:rFonts w:hint="default" w:eastAsia="宋体" w:cs="Times New Roman"/>
                      <w:lang w:val="en-US" w:eastAsia="zh-CN" w:bidi="ar"/>
                    </w:rPr>
                  </w:pPr>
                  <w:r>
                    <w:rPr>
                      <w:rFonts w:hint="eastAsia"/>
                      <w:lang w:val="en-US" w:eastAsia="zh-CN"/>
                    </w:rPr>
                    <w:t>2mm厚HDPE防渗膜+</w:t>
                  </w:r>
                  <w:r>
                    <w:rPr>
                      <w:rFonts w:hint="eastAsia" w:cs="Times New Roman"/>
                      <w:lang w:val="en-US" w:eastAsia="zh-CN" w:bidi="ar"/>
                    </w:rPr>
                    <w:t>抗渗混凝土硬化</w:t>
                  </w:r>
                </w:p>
              </w:tc>
              <w:tc>
                <w:tcPr>
                  <w:tcW w:w="1160" w:type="pct"/>
                  <w:vMerge w:val="continue"/>
                  <w:tcBorders>
                    <w:tl2br w:val="nil"/>
                    <w:tr2bl w:val="nil"/>
                  </w:tcBorders>
                  <w:shd w:val="clear" w:color="auto" w:fill="auto"/>
                  <w:vAlign w:val="center"/>
                </w:tcPr>
                <w:p w14:paraId="1835504F">
                  <w:pPr>
                    <w:pStyle w:val="12"/>
                    <w:rPr>
                      <w:rFonts w:cs="Times New Roman"/>
                      <w:lang w:bidi="ar"/>
                    </w:rPr>
                  </w:pPr>
                </w:p>
              </w:tc>
            </w:tr>
            <w:tr w14:paraId="425742C0">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723" w:type="pct"/>
                  <w:vMerge w:val="continue"/>
                  <w:tcBorders>
                    <w:tl2br w:val="nil"/>
                    <w:tr2bl w:val="nil"/>
                  </w:tcBorders>
                  <w:shd w:val="clear" w:color="auto" w:fill="auto"/>
                  <w:vAlign w:val="center"/>
                </w:tcPr>
                <w:p w14:paraId="6F2C8948">
                  <w:pPr>
                    <w:pStyle w:val="12"/>
                    <w:rPr>
                      <w:rFonts w:cs="Times New Roman"/>
                    </w:rPr>
                  </w:pPr>
                </w:p>
              </w:tc>
              <w:tc>
                <w:tcPr>
                  <w:tcW w:w="1254" w:type="pct"/>
                  <w:tcBorders>
                    <w:tl2br w:val="nil"/>
                    <w:tr2bl w:val="nil"/>
                  </w:tcBorders>
                  <w:shd w:val="clear" w:color="auto" w:fill="auto"/>
                  <w:vAlign w:val="center"/>
                </w:tcPr>
                <w:p w14:paraId="2516912E">
                  <w:pPr>
                    <w:pStyle w:val="12"/>
                    <w:rPr>
                      <w:rFonts w:hint="eastAsia" w:cs="Times New Roman"/>
                      <w:lang w:val="en-US" w:eastAsia="zh-CN" w:bidi="ar"/>
                    </w:rPr>
                  </w:pPr>
                  <w:r>
                    <w:rPr>
                      <w:rFonts w:hint="eastAsia" w:cs="Times New Roman"/>
                      <w:lang w:val="en-US" w:eastAsia="zh-CN" w:bidi="ar"/>
                    </w:rPr>
                    <w:t>干水基岩屑堆存区</w:t>
                  </w:r>
                </w:p>
              </w:tc>
              <w:tc>
                <w:tcPr>
                  <w:tcW w:w="1861" w:type="pct"/>
                  <w:vMerge w:val="continue"/>
                  <w:tcBorders>
                    <w:tl2br w:val="nil"/>
                    <w:tr2bl w:val="nil"/>
                  </w:tcBorders>
                  <w:shd w:val="clear" w:color="auto" w:fill="auto"/>
                  <w:vAlign w:val="center"/>
                </w:tcPr>
                <w:p w14:paraId="352FF5D9">
                  <w:pPr>
                    <w:pStyle w:val="12"/>
                    <w:rPr>
                      <w:rFonts w:hint="eastAsia"/>
                      <w:lang w:val="en-US" w:eastAsia="zh-CN"/>
                    </w:rPr>
                  </w:pPr>
                </w:p>
              </w:tc>
              <w:tc>
                <w:tcPr>
                  <w:tcW w:w="1160" w:type="pct"/>
                  <w:vMerge w:val="continue"/>
                  <w:tcBorders>
                    <w:tl2br w:val="nil"/>
                    <w:tr2bl w:val="nil"/>
                  </w:tcBorders>
                  <w:shd w:val="clear" w:color="auto" w:fill="auto"/>
                  <w:vAlign w:val="center"/>
                </w:tcPr>
                <w:p w14:paraId="7895737B">
                  <w:pPr>
                    <w:pStyle w:val="12"/>
                    <w:rPr>
                      <w:rFonts w:cs="Times New Roman"/>
                      <w:lang w:bidi="ar"/>
                    </w:rPr>
                  </w:pPr>
                </w:p>
              </w:tc>
            </w:tr>
            <w:tr w14:paraId="231B63F3">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723" w:type="pct"/>
                  <w:vMerge w:val="continue"/>
                  <w:tcBorders>
                    <w:tl2br w:val="nil"/>
                    <w:tr2bl w:val="nil"/>
                  </w:tcBorders>
                  <w:shd w:val="clear" w:color="auto" w:fill="auto"/>
                  <w:vAlign w:val="center"/>
                </w:tcPr>
                <w:p w14:paraId="0CBACB20">
                  <w:pPr>
                    <w:pStyle w:val="12"/>
                    <w:rPr>
                      <w:rFonts w:cs="Times New Roman"/>
                    </w:rPr>
                  </w:pPr>
                </w:p>
              </w:tc>
              <w:tc>
                <w:tcPr>
                  <w:tcW w:w="1254" w:type="pct"/>
                  <w:tcBorders>
                    <w:tl2br w:val="nil"/>
                    <w:tr2bl w:val="nil"/>
                  </w:tcBorders>
                  <w:shd w:val="clear" w:color="auto" w:fill="auto"/>
                  <w:vAlign w:val="center"/>
                </w:tcPr>
                <w:p w14:paraId="4569C95F">
                  <w:pPr>
                    <w:pStyle w:val="12"/>
                    <w:rPr>
                      <w:rFonts w:hint="default" w:cs="Times New Roman"/>
                      <w:lang w:val="en-US" w:eastAsia="zh-CN" w:bidi="ar"/>
                    </w:rPr>
                  </w:pPr>
                  <w:r>
                    <w:rPr>
                      <w:rFonts w:hint="eastAsia" w:cs="Times New Roman"/>
                      <w:lang w:val="en-US" w:eastAsia="zh-CN" w:bidi="ar"/>
                    </w:rPr>
                    <w:t>热脱附干渣堆存区</w:t>
                  </w:r>
                </w:p>
              </w:tc>
              <w:tc>
                <w:tcPr>
                  <w:tcW w:w="1861" w:type="pct"/>
                  <w:vMerge w:val="continue"/>
                  <w:tcBorders>
                    <w:tl2br w:val="nil"/>
                    <w:tr2bl w:val="nil"/>
                  </w:tcBorders>
                  <w:shd w:val="clear" w:color="auto" w:fill="auto"/>
                  <w:vAlign w:val="center"/>
                </w:tcPr>
                <w:p w14:paraId="69F1A623">
                  <w:pPr>
                    <w:pStyle w:val="12"/>
                    <w:rPr>
                      <w:rFonts w:hint="eastAsia"/>
                      <w:lang w:val="en-US" w:eastAsia="zh-CN"/>
                    </w:rPr>
                  </w:pPr>
                </w:p>
              </w:tc>
              <w:tc>
                <w:tcPr>
                  <w:tcW w:w="1160" w:type="pct"/>
                  <w:vMerge w:val="continue"/>
                  <w:tcBorders>
                    <w:tl2br w:val="nil"/>
                    <w:tr2bl w:val="nil"/>
                  </w:tcBorders>
                  <w:shd w:val="clear" w:color="auto" w:fill="auto"/>
                  <w:vAlign w:val="center"/>
                </w:tcPr>
                <w:p w14:paraId="35AC2B20">
                  <w:pPr>
                    <w:pStyle w:val="12"/>
                    <w:rPr>
                      <w:rFonts w:cs="Times New Roman"/>
                      <w:lang w:bidi="ar"/>
                    </w:rPr>
                  </w:pPr>
                </w:p>
              </w:tc>
            </w:tr>
            <w:tr w14:paraId="4C660D26">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723" w:type="pct"/>
                  <w:vMerge w:val="continue"/>
                  <w:tcBorders>
                    <w:tl2br w:val="nil"/>
                    <w:tr2bl w:val="nil"/>
                  </w:tcBorders>
                  <w:shd w:val="clear" w:color="auto" w:fill="auto"/>
                  <w:vAlign w:val="center"/>
                </w:tcPr>
                <w:p w14:paraId="58B35A65">
                  <w:pPr>
                    <w:pStyle w:val="12"/>
                    <w:rPr>
                      <w:rFonts w:cs="Times New Roman"/>
                    </w:rPr>
                  </w:pPr>
                </w:p>
              </w:tc>
              <w:tc>
                <w:tcPr>
                  <w:tcW w:w="1254" w:type="pct"/>
                  <w:tcBorders>
                    <w:tl2br w:val="nil"/>
                    <w:tr2bl w:val="nil"/>
                  </w:tcBorders>
                  <w:shd w:val="clear" w:color="auto" w:fill="auto"/>
                  <w:vAlign w:val="center"/>
                </w:tcPr>
                <w:p w14:paraId="04AFA684">
                  <w:pPr>
                    <w:pStyle w:val="12"/>
                    <w:rPr>
                      <w:rFonts w:hint="default" w:eastAsia="宋体" w:cs="Times New Roman"/>
                      <w:lang w:val="en-US" w:eastAsia="zh-CN" w:bidi="ar"/>
                    </w:rPr>
                  </w:pPr>
                  <w:r>
                    <w:rPr>
                      <w:rFonts w:hint="eastAsia" w:cs="Times New Roman"/>
                      <w:lang w:val="en-US" w:eastAsia="zh-CN" w:bidi="ar"/>
                    </w:rPr>
                    <w:t>水基岩屑预处理区域</w:t>
                  </w:r>
                </w:p>
              </w:tc>
              <w:tc>
                <w:tcPr>
                  <w:tcW w:w="1861" w:type="pct"/>
                  <w:vMerge w:val="restart"/>
                  <w:tcBorders>
                    <w:tl2br w:val="nil"/>
                    <w:tr2bl w:val="nil"/>
                  </w:tcBorders>
                  <w:shd w:val="clear" w:color="auto" w:fill="auto"/>
                  <w:vAlign w:val="center"/>
                </w:tcPr>
                <w:p w14:paraId="6193CA2D">
                  <w:pPr>
                    <w:pStyle w:val="12"/>
                    <w:rPr>
                      <w:rFonts w:cs="Times New Roman"/>
                      <w:lang w:bidi="ar"/>
                    </w:rPr>
                  </w:pPr>
                  <w:r>
                    <w:rPr>
                      <w:rFonts w:hint="eastAsia" w:cs="Times New Roman"/>
                      <w:lang w:val="en-US" w:eastAsia="zh-CN" w:bidi="ar"/>
                    </w:rPr>
                    <w:t>防渗混凝土硬化+2mm厚人工防渗材料</w:t>
                  </w:r>
                </w:p>
              </w:tc>
              <w:tc>
                <w:tcPr>
                  <w:tcW w:w="1160" w:type="pct"/>
                  <w:vMerge w:val="continue"/>
                  <w:tcBorders>
                    <w:tl2br w:val="nil"/>
                    <w:tr2bl w:val="nil"/>
                  </w:tcBorders>
                  <w:shd w:val="clear" w:color="auto" w:fill="auto"/>
                  <w:vAlign w:val="center"/>
                </w:tcPr>
                <w:p w14:paraId="7DC01156">
                  <w:pPr>
                    <w:pStyle w:val="12"/>
                    <w:rPr>
                      <w:rFonts w:cs="Times New Roman"/>
                      <w:lang w:bidi="ar"/>
                    </w:rPr>
                  </w:pPr>
                </w:p>
              </w:tc>
            </w:tr>
            <w:tr w14:paraId="469380E9">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723" w:type="pct"/>
                  <w:vMerge w:val="restart"/>
                  <w:tcBorders>
                    <w:tl2br w:val="nil"/>
                    <w:tr2bl w:val="nil"/>
                  </w:tcBorders>
                  <w:shd w:val="clear" w:color="auto" w:fill="auto"/>
                  <w:vAlign w:val="center"/>
                </w:tcPr>
                <w:p w14:paraId="267E993F">
                  <w:pPr>
                    <w:pStyle w:val="12"/>
                    <w:rPr>
                      <w:rFonts w:hint="default" w:eastAsia="宋体" w:cs="Times New Roman"/>
                      <w:lang w:val="en-US" w:eastAsia="zh-CN"/>
                    </w:rPr>
                  </w:pPr>
                  <w:r>
                    <w:rPr>
                      <w:rFonts w:hint="eastAsia" w:cs="Times New Roman"/>
                      <w:lang w:val="en-US" w:eastAsia="zh-CN"/>
                    </w:rPr>
                    <w:t>一般防渗区</w:t>
                  </w:r>
                </w:p>
              </w:tc>
              <w:tc>
                <w:tcPr>
                  <w:tcW w:w="1254" w:type="pct"/>
                  <w:tcBorders>
                    <w:tl2br w:val="nil"/>
                    <w:tr2bl w:val="nil"/>
                  </w:tcBorders>
                  <w:shd w:val="clear" w:color="auto" w:fill="auto"/>
                  <w:vAlign w:val="center"/>
                </w:tcPr>
                <w:p w14:paraId="32803B67">
                  <w:pPr>
                    <w:pStyle w:val="12"/>
                    <w:rPr>
                      <w:rFonts w:hint="eastAsia" w:cs="Times New Roman"/>
                      <w:lang w:val="en-US" w:eastAsia="zh-CN" w:bidi="ar"/>
                    </w:rPr>
                  </w:pPr>
                  <w:r>
                    <w:rPr>
                      <w:rFonts w:hint="eastAsia" w:cs="Times New Roman"/>
                      <w:lang w:val="en-US" w:eastAsia="zh-CN" w:bidi="ar"/>
                    </w:rPr>
                    <w:t>洗车区</w:t>
                  </w:r>
                </w:p>
              </w:tc>
              <w:tc>
                <w:tcPr>
                  <w:tcW w:w="1861" w:type="pct"/>
                  <w:tcBorders>
                    <w:tl2br w:val="nil"/>
                    <w:tr2bl w:val="nil"/>
                  </w:tcBorders>
                  <w:shd w:val="clear" w:color="auto" w:fill="auto"/>
                  <w:vAlign w:val="center"/>
                </w:tcPr>
                <w:p w14:paraId="334F8D69">
                  <w:pPr>
                    <w:pStyle w:val="12"/>
                    <w:rPr>
                      <w:rFonts w:hint="eastAsia" w:ascii="Times New Roman" w:hAnsi="Times New Roman" w:eastAsia="宋体" w:cs="Times New Roman"/>
                      <w:lang w:val="en-US" w:eastAsia="zh-CN" w:bidi="ar"/>
                    </w:rPr>
                  </w:pPr>
                  <w:r>
                    <w:rPr>
                      <w:rFonts w:hint="eastAsia" w:cs="Times New Roman"/>
                      <w:lang w:val="en-US" w:eastAsia="zh-CN" w:bidi="ar"/>
                    </w:rPr>
                    <w:t>防渗混凝土硬化</w:t>
                  </w:r>
                </w:p>
              </w:tc>
              <w:tc>
                <w:tcPr>
                  <w:tcW w:w="1160" w:type="pct"/>
                  <w:vMerge w:val="restart"/>
                  <w:tcBorders>
                    <w:tl2br w:val="nil"/>
                    <w:tr2bl w:val="nil"/>
                  </w:tcBorders>
                  <w:shd w:val="clear" w:color="auto" w:fill="auto"/>
                  <w:vAlign w:val="center"/>
                </w:tcPr>
                <w:p w14:paraId="06AACB90">
                  <w:pPr>
                    <w:pStyle w:val="12"/>
                    <w:rPr>
                      <w:rFonts w:ascii="Times New Roman" w:hAnsi="Times New Roman" w:eastAsia="宋体" w:cs="Times New Roman"/>
                      <w:lang w:bidi="ar"/>
                    </w:rPr>
                  </w:pPr>
                  <w:r>
                    <w:rPr>
                      <w:rFonts w:hint="eastAsia" w:ascii="Times New Roman" w:hAnsi="Times New Roman" w:eastAsia="宋体" w:cs="Times New Roman"/>
                      <w:lang w:val="en-US" w:eastAsia="zh-CN" w:bidi="ar"/>
                    </w:rPr>
                    <w:t>等效粘土防渗层</w:t>
                  </w:r>
                  <w:r>
                    <w:rPr>
                      <w:rFonts w:hint="default" w:ascii="Times New Roman" w:hAnsi="Times New Roman" w:eastAsia="宋体" w:cs="Times New Roman"/>
                      <w:lang w:val="en-US" w:eastAsia="zh-CN" w:bidi="ar"/>
                    </w:rPr>
                    <w:t>Mb≥</w:t>
                  </w:r>
                  <w:r>
                    <w:rPr>
                      <w:rFonts w:hint="eastAsia" w:ascii="Times New Roman" w:hAnsi="Times New Roman" w:eastAsia="宋体" w:cs="Times New Roman"/>
                      <w:lang w:val="en-US" w:eastAsia="zh-CN" w:bidi="ar"/>
                    </w:rPr>
                    <w:t>1.5</w:t>
                  </w:r>
                  <w:r>
                    <w:rPr>
                      <w:rFonts w:hint="default" w:ascii="Times New Roman" w:hAnsi="Times New Roman" w:eastAsia="宋体" w:cs="Times New Roman"/>
                      <w:lang w:val="en-US" w:eastAsia="zh-CN" w:bidi="ar"/>
                    </w:rPr>
                    <w:t>m</w:t>
                  </w:r>
                  <w:r>
                    <w:rPr>
                      <w:rFonts w:hint="eastAsia" w:ascii="Times New Roman" w:hAnsi="Times New Roman" w:eastAsia="宋体" w:cs="Times New Roman"/>
                      <w:lang w:val="en-US" w:eastAsia="zh-CN" w:bidi="ar"/>
                    </w:rPr>
                    <w:t>，</w:t>
                  </w:r>
                </w:p>
                <w:p w14:paraId="356F16AD">
                  <w:pPr>
                    <w:pStyle w:val="12"/>
                    <w:rPr>
                      <w:rFonts w:ascii="Times New Roman" w:hAnsi="Times New Roman" w:eastAsia="宋体" w:cs="Times New Roman"/>
                      <w:lang w:bidi="ar"/>
                    </w:rPr>
                  </w:pPr>
                  <w:r>
                    <w:rPr>
                      <w:rFonts w:hint="default" w:ascii="Times New Roman" w:hAnsi="Times New Roman" w:eastAsia="宋体" w:cs="Times New Roman"/>
                      <w:lang w:val="en-US" w:eastAsia="zh-CN" w:bidi="ar"/>
                    </w:rPr>
                    <w:t xml:space="preserve">K≤1×10 </w:t>
                  </w:r>
                  <w:r>
                    <w:rPr>
                      <w:rFonts w:hint="default" w:ascii="Times New Roman" w:hAnsi="Times New Roman" w:eastAsia="宋体" w:cs="Times New Roman"/>
                      <w:vertAlign w:val="superscript"/>
                      <w:lang w:val="en-US" w:eastAsia="zh-CN" w:bidi="ar"/>
                    </w:rPr>
                    <w:t>-7</w:t>
                  </w:r>
                  <w:r>
                    <w:rPr>
                      <w:rFonts w:hint="default" w:ascii="Times New Roman" w:hAnsi="Times New Roman" w:eastAsia="宋体" w:cs="Times New Roman"/>
                      <w:lang w:val="en-US" w:eastAsia="zh-CN" w:bidi="ar"/>
                    </w:rPr>
                    <w:t>cm/s</w:t>
                  </w:r>
                  <w:r>
                    <w:rPr>
                      <w:rFonts w:hint="eastAsia" w:ascii="Times New Roman" w:hAnsi="Times New Roman" w:eastAsia="宋体" w:cs="Times New Roman"/>
                      <w:lang w:val="en-US" w:eastAsia="zh-CN" w:bidi="ar"/>
                    </w:rPr>
                    <w:t xml:space="preserve">，或参 </w:t>
                  </w:r>
                </w:p>
                <w:p w14:paraId="4A413CB4">
                  <w:pPr>
                    <w:pStyle w:val="12"/>
                    <w:rPr>
                      <w:rFonts w:cs="Times New Roman"/>
                      <w:lang w:bidi="ar"/>
                    </w:rPr>
                  </w:pPr>
                  <w:r>
                    <w:rPr>
                      <w:rFonts w:hint="eastAsia" w:ascii="Times New Roman" w:hAnsi="Times New Roman" w:eastAsia="宋体" w:cs="Times New Roman"/>
                      <w:lang w:val="en-US" w:eastAsia="zh-CN" w:bidi="ar"/>
                    </w:rPr>
                    <w:t>照</w:t>
                  </w:r>
                  <w:r>
                    <w:rPr>
                      <w:rFonts w:hint="default" w:ascii="Times New Roman" w:hAnsi="Times New Roman" w:eastAsia="宋体" w:cs="Times New Roman"/>
                      <w:lang w:val="en-US" w:eastAsia="zh-CN" w:bidi="ar"/>
                    </w:rPr>
                    <w:t>B18598</w:t>
                  </w:r>
                  <w:r>
                    <w:rPr>
                      <w:rFonts w:hint="eastAsia" w:ascii="Times New Roman" w:hAnsi="Times New Roman" w:eastAsia="宋体" w:cs="Times New Roman"/>
                      <w:lang w:val="en-US" w:eastAsia="zh-CN" w:bidi="ar"/>
                    </w:rPr>
                    <w:t>执行</w:t>
                  </w:r>
                </w:p>
              </w:tc>
            </w:tr>
            <w:tr w14:paraId="7C95B2D0">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723" w:type="pct"/>
                  <w:vMerge w:val="continue"/>
                  <w:tcBorders>
                    <w:tl2br w:val="nil"/>
                    <w:tr2bl w:val="nil"/>
                  </w:tcBorders>
                  <w:shd w:val="clear" w:color="auto" w:fill="auto"/>
                  <w:vAlign w:val="center"/>
                </w:tcPr>
                <w:p w14:paraId="11FB8C1E">
                  <w:pPr>
                    <w:pStyle w:val="12"/>
                    <w:rPr>
                      <w:rFonts w:cs="Times New Roman"/>
                    </w:rPr>
                  </w:pPr>
                </w:p>
              </w:tc>
              <w:tc>
                <w:tcPr>
                  <w:tcW w:w="1254" w:type="pct"/>
                  <w:tcBorders>
                    <w:tl2br w:val="nil"/>
                    <w:tr2bl w:val="nil"/>
                  </w:tcBorders>
                  <w:shd w:val="clear" w:color="auto" w:fill="auto"/>
                  <w:vAlign w:val="center"/>
                </w:tcPr>
                <w:p w14:paraId="717A43E7">
                  <w:pPr>
                    <w:pStyle w:val="12"/>
                    <w:rPr>
                      <w:rFonts w:hint="default" w:cs="Times New Roman"/>
                      <w:lang w:val="en-US" w:eastAsia="zh-CN" w:bidi="ar"/>
                    </w:rPr>
                  </w:pPr>
                  <w:r>
                    <w:rPr>
                      <w:rFonts w:cs="Times New Roman"/>
                      <w:lang w:bidi="ar"/>
                    </w:rPr>
                    <w:t>生产车间其余区域</w:t>
                  </w:r>
                </w:p>
              </w:tc>
              <w:tc>
                <w:tcPr>
                  <w:tcW w:w="1861" w:type="pct"/>
                  <w:tcBorders>
                    <w:tl2br w:val="nil"/>
                    <w:tr2bl w:val="nil"/>
                  </w:tcBorders>
                  <w:shd w:val="clear" w:color="auto" w:fill="auto"/>
                  <w:vAlign w:val="center"/>
                </w:tcPr>
                <w:p w14:paraId="4CBB69CA">
                  <w:pPr>
                    <w:pStyle w:val="12"/>
                    <w:rPr>
                      <w:rFonts w:hint="default" w:cs="Times New Roman"/>
                      <w:lang w:val="en-US" w:eastAsia="zh-CN" w:bidi="ar"/>
                    </w:rPr>
                  </w:pPr>
                  <w:r>
                    <w:rPr>
                      <w:rFonts w:hint="eastAsia" w:cs="Times New Roman"/>
                      <w:lang w:val="en-US" w:eastAsia="zh-CN" w:bidi="ar"/>
                    </w:rPr>
                    <w:t>防渗混凝土硬化</w:t>
                  </w:r>
                </w:p>
              </w:tc>
              <w:tc>
                <w:tcPr>
                  <w:tcW w:w="1160" w:type="pct"/>
                  <w:vMerge w:val="continue"/>
                  <w:tcBorders>
                    <w:tl2br w:val="nil"/>
                    <w:tr2bl w:val="nil"/>
                  </w:tcBorders>
                  <w:shd w:val="clear" w:color="auto" w:fill="auto"/>
                  <w:vAlign w:val="center"/>
                </w:tcPr>
                <w:p w14:paraId="37D0323D">
                  <w:pPr>
                    <w:pStyle w:val="12"/>
                    <w:rPr>
                      <w:rFonts w:cs="Times New Roman"/>
                      <w:lang w:bidi="ar"/>
                    </w:rPr>
                  </w:pPr>
                </w:p>
              </w:tc>
            </w:tr>
            <w:tr w14:paraId="3EB9A85F">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723" w:type="pct"/>
                  <w:tcBorders>
                    <w:tl2br w:val="nil"/>
                    <w:tr2bl w:val="nil"/>
                  </w:tcBorders>
                  <w:shd w:val="clear" w:color="auto" w:fill="auto"/>
                  <w:vAlign w:val="center"/>
                </w:tcPr>
                <w:p w14:paraId="59022C0F">
                  <w:pPr>
                    <w:pStyle w:val="12"/>
                    <w:rPr>
                      <w:rFonts w:hint="default" w:eastAsia="宋体" w:cs="Times New Roman"/>
                      <w:lang w:val="en-US" w:eastAsia="zh-CN"/>
                    </w:rPr>
                  </w:pPr>
                  <w:r>
                    <w:rPr>
                      <w:rFonts w:hint="eastAsia" w:cs="Times New Roman"/>
                      <w:lang w:val="en-US" w:eastAsia="zh-CN"/>
                    </w:rPr>
                    <w:t>简单防渗区</w:t>
                  </w:r>
                </w:p>
              </w:tc>
              <w:tc>
                <w:tcPr>
                  <w:tcW w:w="1254" w:type="pct"/>
                  <w:tcBorders>
                    <w:tl2br w:val="nil"/>
                    <w:tr2bl w:val="nil"/>
                  </w:tcBorders>
                  <w:shd w:val="clear" w:color="auto" w:fill="auto"/>
                  <w:vAlign w:val="center"/>
                </w:tcPr>
                <w:p w14:paraId="436133B6">
                  <w:pPr>
                    <w:pStyle w:val="12"/>
                    <w:rPr>
                      <w:rFonts w:hint="default" w:eastAsia="宋体" w:cs="Times New Roman"/>
                      <w:lang w:val="en-US" w:eastAsia="zh-CN"/>
                    </w:rPr>
                  </w:pPr>
                  <w:r>
                    <w:rPr>
                      <w:rFonts w:hint="eastAsia" w:cs="Times New Roman"/>
                      <w:lang w:val="en-US" w:eastAsia="zh-CN" w:bidi="ar"/>
                    </w:rPr>
                    <w:t>磅房、办公楼、宿舍楼</w:t>
                  </w:r>
                </w:p>
              </w:tc>
              <w:tc>
                <w:tcPr>
                  <w:tcW w:w="1861" w:type="pct"/>
                  <w:tcBorders>
                    <w:tl2br w:val="nil"/>
                    <w:tr2bl w:val="nil"/>
                  </w:tcBorders>
                  <w:shd w:val="clear" w:color="auto" w:fill="auto"/>
                  <w:vAlign w:val="center"/>
                </w:tcPr>
                <w:p w14:paraId="0309950D">
                  <w:pPr>
                    <w:pStyle w:val="12"/>
                    <w:rPr>
                      <w:rFonts w:hint="default" w:eastAsia="宋体" w:cs="Times New Roman"/>
                      <w:lang w:val="en-US" w:eastAsia="zh-CN"/>
                    </w:rPr>
                  </w:pPr>
                  <w:r>
                    <w:rPr>
                      <w:rFonts w:hint="eastAsia" w:cs="Times New Roman"/>
                      <w:lang w:val="en-US" w:eastAsia="zh-CN"/>
                    </w:rPr>
                    <w:t>一般水泥硬化</w:t>
                  </w:r>
                </w:p>
              </w:tc>
              <w:tc>
                <w:tcPr>
                  <w:tcW w:w="1160" w:type="pct"/>
                  <w:tcBorders>
                    <w:tl2br w:val="nil"/>
                    <w:tr2bl w:val="nil"/>
                  </w:tcBorders>
                  <w:shd w:val="clear" w:color="auto" w:fill="auto"/>
                  <w:vAlign w:val="center"/>
                </w:tcPr>
                <w:p w14:paraId="553E741E">
                  <w:pPr>
                    <w:pStyle w:val="12"/>
                    <w:rPr>
                      <w:rFonts w:hint="default" w:eastAsia="宋体" w:cs="Times New Roman"/>
                      <w:lang w:val="en-US" w:eastAsia="zh-CN" w:bidi="ar"/>
                    </w:rPr>
                  </w:pPr>
                  <w:r>
                    <w:rPr>
                      <w:rFonts w:hint="eastAsia" w:cs="Times New Roman"/>
                      <w:lang w:val="en-US" w:eastAsia="zh-CN" w:bidi="ar"/>
                    </w:rPr>
                    <w:t>一般地面硬化</w:t>
                  </w:r>
                </w:p>
              </w:tc>
            </w:tr>
          </w:tbl>
          <w:p w14:paraId="09AC156F">
            <w:pPr>
              <w:keepNext w:val="0"/>
              <w:keepLines w:val="0"/>
              <w:widowControl/>
              <w:suppressLineNumbers w:val="0"/>
              <w:jc w:val="left"/>
            </w:pPr>
            <w:r>
              <w:rPr>
                <w:rFonts w:hint="eastAsia" w:ascii="宋体" w:hAnsi="宋体" w:eastAsia="宋体" w:cs="宋体"/>
                <w:color w:val="000000"/>
                <w:kern w:val="0"/>
                <w:sz w:val="24"/>
                <w:szCs w:val="24"/>
                <w:lang w:val="en-US" w:eastAsia="zh-CN" w:bidi="ar"/>
              </w:rPr>
              <w:t xml:space="preserve">由上述措施可知，本项目针对可能造成地下水和土壤污染影响的各途径均进行有效预防，在确保各项防控措施得以落实，并加强环境管理的前提下，可有效防止对地下水和土壤造成影响。 </w:t>
            </w:r>
          </w:p>
          <w:p w14:paraId="7AEBE711">
            <w:pPr>
              <w:pStyle w:val="3"/>
              <w:spacing w:before="163"/>
            </w:pPr>
            <w:r>
              <w:t>6、生态环境影响</w:t>
            </w:r>
          </w:p>
          <w:p w14:paraId="5FF377E4">
            <w:pPr>
              <w:ind w:firstLine="480"/>
              <w:rPr>
                <w:rFonts w:cs="Times New Roman"/>
              </w:rPr>
            </w:pPr>
            <w:r>
              <w:rPr>
                <w:rFonts w:cs="Times New Roman"/>
                <w:kern w:val="0"/>
              </w:rPr>
              <w:t>本项目所在区域周围无生态敏感保护目标，周边植被以人工绿化植物为主。本项目建设地块属工业用地，位于工业园区内，现状为已建成的厂区和厂房。项目建设完成后将设置绿化措施，基本不会对区域生态环境造成影响。</w:t>
            </w:r>
          </w:p>
          <w:p w14:paraId="345921D6">
            <w:pPr>
              <w:pStyle w:val="3"/>
              <w:spacing w:before="163"/>
            </w:pPr>
            <w:r>
              <w:t>7、环境风险分析</w:t>
            </w:r>
          </w:p>
          <w:p w14:paraId="402F776D">
            <w:pPr>
              <w:ind w:firstLine="482"/>
              <w:rPr>
                <w:rFonts w:cs="Times New Roman"/>
                <w:b/>
              </w:rPr>
            </w:pPr>
            <w:r>
              <w:rPr>
                <w:rFonts w:cs="Times New Roman"/>
                <w:b/>
              </w:rPr>
              <w:t>（1）风险物质识别</w:t>
            </w:r>
          </w:p>
          <w:p w14:paraId="0252AC0D">
            <w:pPr>
              <w:ind w:firstLine="480"/>
              <w:rPr>
                <w:rFonts w:cs="Times New Roman"/>
              </w:rPr>
            </w:pPr>
            <w:r>
              <w:rPr>
                <w:rFonts w:cs="Times New Roman"/>
              </w:rPr>
              <w:t>依据《建设项目风险评价技术导则》（HJT169-2018）--附录C计算危险物质数量与临界量比值（Q）。</w:t>
            </w:r>
          </w:p>
          <w:p w14:paraId="389F18D5">
            <w:pPr>
              <w:ind w:firstLine="480"/>
              <w:rPr>
                <w:rFonts w:cs="Times New Roman"/>
              </w:rPr>
            </w:pPr>
            <w:r>
              <w:rPr>
                <w:rFonts w:cs="Times New Roman"/>
              </w:rPr>
              <w:t>计算所涉及的每种危险物质在厂界内的最大存在总量与其在附录B中对应临界量的比值Q。在不同厂区的同一物质，按其在厂界内的最大存在总量计算。对于长输管线项目，按照两个截断阀室之间的管段危险物质最大存在总量计算。</w:t>
            </w:r>
          </w:p>
          <w:p w14:paraId="4A88805E">
            <w:pPr>
              <w:ind w:firstLine="480"/>
              <w:rPr>
                <w:rFonts w:cs="Times New Roman"/>
              </w:rPr>
            </w:pPr>
            <w:r>
              <w:rPr>
                <w:rFonts w:cs="Times New Roman"/>
              </w:rPr>
              <w:t>当只涉及一种危险物质时，计算该物质的总量与其临界量比值，即为Q；</w:t>
            </w:r>
          </w:p>
          <w:p w14:paraId="71B17096">
            <w:pPr>
              <w:ind w:firstLine="480"/>
              <w:rPr>
                <w:rFonts w:cs="Times New Roman"/>
              </w:rPr>
            </w:pPr>
            <w:r>
              <w:rPr>
                <w:rFonts w:cs="Times New Roman"/>
              </w:rPr>
              <w:t>当存在多种危险物质时，则按以下公式计算物质总量与其临界量比值（Q）；</w:t>
            </w:r>
          </w:p>
          <w:p w14:paraId="3F390D8C">
            <w:pPr>
              <w:ind w:firstLine="480"/>
              <w:jc w:val="center"/>
              <w:rPr>
                <w:rFonts w:cs="Times New Roman"/>
                <w:vertAlign w:val="subscript"/>
              </w:rPr>
            </w:pPr>
            <w:r>
              <w:rPr>
                <w:rFonts w:cs="Times New Roman"/>
              </w:rPr>
              <w:t>Q=q</w:t>
            </w:r>
            <w:r>
              <w:rPr>
                <w:rFonts w:cs="Times New Roman"/>
                <w:vertAlign w:val="subscript"/>
              </w:rPr>
              <w:t>1</w:t>
            </w:r>
            <w:r>
              <w:rPr>
                <w:rFonts w:cs="Times New Roman"/>
              </w:rPr>
              <w:t>/Q</w:t>
            </w:r>
            <w:r>
              <w:rPr>
                <w:rFonts w:cs="Times New Roman"/>
                <w:vertAlign w:val="subscript"/>
              </w:rPr>
              <w:t>1</w:t>
            </w:r>
            <w:r>
              <w:rPr>
                <w:rFonts w:cs="Times New Roman"/>
              </w:rPr>
              <w:t>+q</w:t>
            </w:r>
            <w:r>
              <w:rPr>
                <w:rFonts w:cs="Times New Roman"/>
                <w:vertAlign w:val="subscript"/>
              </w:rPr>
              <w:t>2</w:t>
            </w:r>
            <w:r>
              <w:rPr>
                <w:rFonts w:cs="Times New Roman"/>
              </w:rPr>
              <w:t>/Q</w:t>
            </w:r>
            <w:r>
              <w:rPr>
                <w:rFonts w:cs="Times New Roman"/>
                <w:vertAlign w:val="subscript"/>
              </w:rPr>
              <w:t>2</w:t>
            </w:r>
            <w:r>
              <w:rPr>
                <w:rFonts w:cs="Times New Roman"/>
              </w:rPr>
              <w:t>+……+q</w:t>
            </w:r>
            <w:r>
              <w:rPr>
                <w:rFonts w:cs="Times New Roman"/>
                <w:vertAlign w:val="subscript"/>
              </w:rPr>
              <w:t>n</w:t>
            </w:r>
            <w:r>
              <w:rPr>
                <w:rFonts w:cs="Times New Roman"/>
              </w:rPr>
              <w:t>/Q</w:t>
            </w:r>
            <w:r>
              <w:rPr>
                <w:rFonts w:cs="Times New Roman"/>
                <w:vertAlign w:val="subscript"/>
              </w:rPr>
              <w:t>n</w:t>
            </w:r>
          </w:p>
          <w:p w14:paraId="0AC992CC">
            <w:pPr>
              <w:ind w:firstLine="480"/>
              <w:rPr>
                <w:rFonts w:cs="Times New Roman"/>
              </w:rPr>
            </w:pPr>
            <w:r>
              <w:rPr>
                <w:rFonts w:cs="Times New Roman"/>
              </w:rPr>
              <w:t>式中：q</w:t>
            </w:r>
            <w:r>
              <w:rPr>
                <w:rFonts w:cs="Times New Roman"/>
                <w:vertAlign w:val="subscript"/>
              </w:rPr>
              <w:t>1</w:t>
            </w:r>
            <w:r>
              <w:rPr>
                <w:rFonts w:cs="Times New Roman"/>
              </w:rPr>
              <w:t>，q</w:t>
            </w:r>
            <w:r>
              <w:rPr>
                <w:rFonts w:cs="Times New Roman"/>
                <w:vertAlign w:val="subscript"/>
              </w:rPr>
              <w:t>2</w:t>
            </w:r>
            <w:r>
              <w:rPr>
                <w:rFonts w:cs="Times New Roman"/>
              </w:rPr>
              <w:t>，……，q</w:t>
            </w:r>
            <w:r>
              <w:rPr>
                <w:rFonts w:cs="Times New Roman"/>
                <w:vertAlign w:val="subscript"/>
              </w:rPr>
              <w:t>n</w:t>
            </w:r>
            <w:r>
              <w:rPr>
                <w:rFonts w:cs="Times New Roman"/>
              </w:rPr>
              <w:t>——每种危险物质的最大存在总量，t；</w:t>
            </w:r>
          </w:p>
          <w:p w14:paraId="721154E7">
            <w:pPr>
              <w:ind w:firstLine="480"/>
              <w:rPr>
                <w:rFonts w:cs="Times New Roman"/>
              </w:rPr>
            </w:pPr>
            <w:r>
              <w:rPr>
                <w:rFonts w:cs="Times New Roman"/>
              </w:rPr>
              <w:t xml:space="preserve">      Q</w:t>
            </w:r>
            <w:r>
              <w:rPr>
                <w:rFonts w:cs="Times New Roman"/>
                <w:vertAlign w:val="subscript"/>
              </w:rPr>
              <w:t>1</w:t>
            </w:r>
            <w:r>
              <w:rPr>
                <w:rFonts w:cs="Times New Roman"/>
              </w:rPr>
              <w:t>，Q</w:t>
            </w:r>
            <w:r>
              <w:rPr>
                <w:rFonts w:cs="Times New Roman"/>
                <w:vertAlign w:val="subscript"/>
              </w:rPr>
              <w:t>2</w:t>
            </w:r>
            <w:r>
              <w:rPr>
                <w:rFonts w:cs="Times New Roman"/>
              </w:rPr>
              <w:t>，……，Q</w:t>
            </w:r>
            <w:r>
              <w:rPr>
                <w:rFonts w:cs="Times New Roman"/>
                <w:vertAlign w:val="subscript"/>
              </w:rPr>
              <w:t>n</w:t>
            </w:r>
            <w:r>
              <w:rPr>
                <w:rFonts w:cs="Times New Roman"/>
              </w:rPr>
              <w:t>——每种危险物质的临界量，t。</w:t>
            </w:r>
          </w:p>
          <w:p w14:paraId="1DF315FC">
            <w:pPr>
              <w:ind w:firstLine="480"/>
              <w:rPr>
                <w:rFonts w:cs="Times New Roman"/>
              </w:rPr>
            </w:pPr>
            <w:r>
              <w:rPr>
                <w:rFonts w:cs="Times New Roman"/>
              </w:rPr>
              <w:t xml:space="preserve">      当Q＜1时，该项目环境风险潜势为</w:t>
            </w:r>
            <w:r>
              <w:rPr>
                <w:rFonts w:cs="Times New Roman"/>
                <w:szCs w:val="21"/>
              </w:rPr>
              <w:t>Ⅰ。</w:t>
            </w:r>
          </w:p>
          <w:p w14:paraId="119F25F6">
            <w:pPr>
              <w:ind w:firstLine="480"/>
              <w:rPr>
                <w:rFonts w:cs="Times New Roman"/>
              </w:rPr>
            </w:pPr>
            <w:r>
              <w:rPr>
                <w:rFonts w:cs="Times New Roman"/>
              </w:rPr>
              <w:t xml:space="preserve">      当Q≥1时，将Q值划分为：（1）1≤Q＜10；（2）10≤Q＜100；（3）Q≥100。</w:t>
            </w:r>
          </w:p>
          <w:p w14:paraId="6AAD8796">
            <w:pPr>
              <w:ind w:firstLine="480"/>
              <w:rPr>
                <w:rFonts w:cs="Times New Roman"/>
              </w:rPr>
            </w:pPr>
            <w:r>
              <w:rPr>
                <w:rFonts w:cs="Times New Roman"/>
              </w:rPr>
              <w:t>依据《建设项目风险评价技术导则》（HJT169-2018）--附录B重点关注的危险物质及临界量，找出与本项目相关的危险物质的临界量。</w:t>
            </w:r>
          </w:p>
          <w:p w14:paraId="218017CD">
            <w:pPr>
              <w:ind w:firstLine="480"/>
              <w:rPr>
                <w:rFonts w:cs="Times New Roman"/>
              </w:rPr>
            </w:pPr>
            <w:r>
              <w:rPr>
                <w:rFonts w:hint="eastAsia" w:cs="Times New Roman"/>
                <w:lang w:val="en-US" w:eastAsia="zh-CN"/>
              </w:rPr>
              <w:t>液压油、废液压油均由厂家更换，不在厂内暂存。因此，</w:t>
            </w:r>
            <w:r>
              <w:rPr>
                <w:rFonts w:cs="Times New Roman"/>
              </w:rPr>
              <w:t>本项目涉及风险物质为机油、</w:t>
            </w:r>
            <w:r>
              <w:rPr>
                <w:rFonts w:hint="eastAsia" w:cs="Times New Roman"/>
                <w:lang w:val="en-US" w:eastAsia="zh-CN"/>
              </w:rPr>
              <w:t>废机油</w:t>
            </w:r>
            <w:r>
              <w:rPr>
                <w:rFonts w:cs="Times New Roman"/>
              </w:rPr>
              <w:t>。</w:t>
            </w:r>
          </w:p>
          <w:p w14:paraId="2EB9E6EF">
            <w:pPr>
              <w:pStyle w:val="11"/>
              <w:rPr>
                <w:rFonts w:cs="Times New Roman"/>
              </w:rPr>
            </w:pPr>
            <w:bookmarkStart w:id="78" w:name="OLE_LINK211"/>
            <w:bookmarkStart w:id="79" w:name="OLE_LINK210"/>
            <w:r>
              <w:rPr>
                <w:rFonts w:cs="Times New Roman"/>
              </w:rPr>
              <w:t>表</w:t>
            </w:r>
            <w:r>
              <w:rPr>
                <w:rFonts w:cs="Times New Roman"/>
              </w:rPr>
              <w:fldChar w:fldCharType="begin"/>
            </w:r>
            <w:r>
              <w:rPr>
                <w:rFonts w:cs="Times New Roman"/>
              </w:rPr>
              <w:instrText xml:space="preserve"> SEQ seq \c </w:instrText>
            </w:r>
            <w:r>
              <w:rPr>
                <w:rFonts w:cs="Times New Roman"/>
              </w:rPr>
              <w:fldChar w:fldCharType="separate"/>
            </w:r>
            <w:r>
              <w:rPr>
                <w:rFonts w:cs="Times New Roman"/>
              </w:rPr>
              <w:t>4</w:t>
            </w:r>
            <w:r>
              <w:rPr>
                <w:rFonts w:cs="Times New Roman"/>
              </w:rPr>
              <w:fldChar w:fldCharType="end"/>
            </w:r>
            <w:r>
              <w:rPr>
                <w:rFonts w:cs="Times New Roman"/>
              </w:rPr>
              <w:noBreakHyphen/>
            </w:r>
            <w:r>
              <w:rPr>
                <w:rFonts w:cs="Times New Roman"/>
              </w:rPr>
              <w:fldChar w:fldCharType="begin"/>
            </w:r>
            <w:r>
              <w:rPr>
                <w:rFonts w:cs="Times New Roman"/>
              </w:rPr>
              <w:instrText xml:space="preserve"> SEQ 表 \* ARABIC \s 1 </w:instrText>
            </w:r>
            <w:r>
              <w:rPr>
                <w:rFonts w:cs="Times New Roman"/>
              </w:rPr>
              <w:fldChar w:fldCharType="separate"/>
            </w:r>
            <w:r>
              <w:rPr>
                <w:rFonts w:cs="Times New Roman"/>
              </w:rPr>
              <w:t>11</w:t>
            </w:r>
            <w:r>
              <w:rPr>
                <w:rFonts w:cs="Times New Roman"/>
              </w:rPr>
              <w:fldChar w:fldCharType="end"/>
            </w:r>
            <w:r>
              <w:rPr>
                <w:rFonts w:cs="Times New Roman"/>
              </w:rPr>
              <w:t xml:space="preserve"> </w:t>
            </w:r>
            <w:bookmarkEnd w:id="78"/>
            <w:bookmarkEnd w:id="79"/>
            <w:r>
              <w:rPr>
                <w:rFonts w:cs="Times New Roman"/>
              </w:rPr>
              <w:t>突发环境事件风险物质及临界量</w:t>
            </w:r>
          </w:p>
          <w:tbl>
            <w:tblPr>
              <w:tblStyle w:val="2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1152"/>
              <w:gridCol w:w="1101"/>
              <w:gridCol w:w="856"/>
              <w:gridCol w:w="733"/>
              <w:gridCol w:w="981"/>
              <w:gridCol w:w="981"/>
              <w:gridCol w:w="712"/>
              <w:gridCol w:w="717"/>
              <w:gridCol w:w="729"/>
              <w:gridCol w:w="844"/>
            </w:tblGrid>
            <w:tr w14:paraId="49FB8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654" w:type="pct"/>
                  <w:shd w:val="clear" w:color="auto" w:fill="auto"/>
                  <w:vAlign w:val="center"/>
                </w:tcPr>
                <w:p w14:paraId="685E8F6C">
                  <w:pPr>
                    <w:pStyle w:val="45"/>
                    <w:rPr>
                      <w:rFonts w:cs="Times New Roman"/>
                      <w:b/>
                      <w:bCs w:val="0"/>
                      <w:color w:val="auto"/>
                    </w:rPr>
                  </w:pPr>
                  <w:r>
                    <w:rPr>
                      <w:rFonts w:cs="Times New Roman"/>
                      <w:b/>
                      <w:bCs w:val="0"/>
                      <w:color w:val="auto"/>
                    </w:rPr>
                    <w:t>材料名称</w:t>
                  </w:r>
                </w:p>
              </w:tc>
              <w:tc>
                <w:tcPr>
                  <w:tcW w:w="625" w:type="pct"/>
                  <w:shd w:val="clear" w:color="auto" w:fill="auto"/>
                  <w:vAlign w:val="center"/>
                </w:tcPr>
                <w:p w14:paraId="2562A2E3">
                  <w:pPr>
                    <w:pStyle w:val="45"/>
                    <w:rPr>
                      <w:rFonts w:cs="Times New Roman"/>
                      <w:b/>
                      <w:bCs w:val="0"/>
                      <w:color w:val="auto"/>
                    </w:rPr>
                  </w:pPr>
                  <w:r>
                    <w:rPr>
                      <w:rFonts w:cs="Times New Roman"/>
                      <w:b/>
                      <w:bCs w:val="0"/>
                      <w:color w:val="auto"/>
                    </w:rPr>
                    <w:t>CAS号</w:t>
                  </w:r>
                </w:p>
              </w:tc>
              <w:tc>
                <w:tcPr>
                  <w:tcW w:w="486" w:type="pct"/>
                  <w:shd w:val="clear" w:color="auto" w:fill="auto"/>
                  <w:vAlign w:val="center"/>
                </w:tcPr>
                <w:p w14:paraId="584853E2">
                  <w:pPr>
                    <w:pStyle w:val="45"/>
                    <w:rPr>
                      <w:rFonts w:cs="Times New Roman"/>
                      <w:b/>
                      <w:bCs w:val="0"/>
                      <w:color w:val="auto"/>
                    </w:rPr>
                  </w:pPr>
                  <w:r>
                    <w:rPr>
                      <w:rFonts w:cs="Times New Roman"/>
                      <w:b/>
                      <w:bCs w:val="0"/>
                      <w:color w:val="auto"/>
                    </w:rPr>
                    <w:t>包装</w:t>
                  </w:r>
                </w:p>
                <w:p w14:paraId="41A1B21D">
                  <w:pPr>
                    <w:pStyle w:val="45"/>
                    <w:rPr>
                      <w:rFonts w:cs="Times New Roman"/>
                      <w:b/>
                      <w:bCs w:val="0"/>
                      <w:color w:val="auto"/>
                    </w:rPr>
                  </w:pPr>
                  <w:r>
                    <w:rPr>
                      <w:rFonts w:cs="Times New Roman"/>
                      <w:b/>
                      <w:bCs w:val="0"/>
                      <w:color w:val="auto"/>
                    </w:rPr>
                    <w:t>方式</w:t>
                  </w:r>
                </w:p>
              </w:tc>
              <w:tc>
                <w:tcPr>
                  <w:tcW w:w="416" w:type="pct"/>
                  <w:shd w:val="clear" w:color="auto" w:fill="auto"/>
                  <w:vAlign w:val="center"/>
                </w:tcPr>
                <w:p w14:paraId="39224540">
                  <w:pPr>
                    <w:pStyle w:val="45"/>
                    <w:rPr>
                      <w:rFonts w:cs="Times New Roman"/>
                      <w:b/>
                      <w:bCs w:val="0"/>
                      <w:color w:val="auto"/>
                    </w:rPr>
                  </w:pPr>
                  <w:r>
                    <w:rPr>
                      <w:rFonts w:cs="Times New Roman"/>
                      <w:b/>
                      <w:bCs w:val="0"/>
                      <w:color w:val="auto"/>
                    </w:rPr>
                    <w:t>包装</w:t>
                  </w:r>
                </w:p>
                <w:p w14:paraId="32433FC4">
                  <w:pPr>
                    <w:pStyle w:val="45"/>
                    <w:rPr>
                      <w:rFonts w:cs="Times New Roman"/>
                      <w:b/>
                      <w:bCs w:val="0"/>
                      <w:color w:val="auto"/>
                    </w:rPr>
                  </w:pPr>
                  <w:r>
                    <w:rPr>
                      <w:rFonts w:cs="Times New Roman"/>
                      <w:b/>
                      <w:bCs w:val="0"/>
                      <w:color w:val="auto"/>
                    </w:rPr>
                    <w:t>规格</w:t>
                  </w:r>
                </w:p>
              </w:tc>
              <w:tc>
                <w:tcPr>
                  <w:tcW w:w="557" w:type="pct"/>
                  <w:shd w:val="clear" w:color="auto" w:fill="auto"/>
                  <w:vAlign w:val="center"/>
                </w:tcPr>
                <w:p w14:paraId="52E183C3">
                  <w:pPr>
                    <w:pStyle w:val="45"/>
                    <w:rPr>
                      <w:rFonts w:cs="Times New Roman"/>
                      <w:b/>
                      <w:bCs w:val="0"/>
                      <w:color w:val="auto"/>
                    </w:rPr>
                  </w:pPr>
                  <w:r>
                    <w:rPr>
                      <w:rFonts w:cs="Times New Roman"/>
                      <w:b/>
                      <w:bCs w:val="0"/>
                      <w:color w:val="auto"/>
                    </w:rPr>
                    <w:t>储存周期</w:t>
                  </w:r>
                </w:p>
              </w:tc>
              <w:tc>
                <w:tcPr>
                  <w:tcW w:w="557" w:type="pct"/>
                  <w:shd w:val="clear" w:color="auto" w:fill="auto"/>
                  <w:vAlign w:val="center"/>
                </w:tcPr>
                <w:p w14:paraId="75BC40B2">
                  <w:pPr>
                    <w:pStyle w:val="45"/>
                    <w:rPr>
                      <w:rFonts w:cs="Times New Roman"/>
                      <w:b/>
                      <w:bCs w:val="0"/>
                      <w:color w:val="auto"/>
                    </w:rPr>
                  </w:pPr>
                  <w:r>
                    <w:rPr>
                      <w:rFonts w:cs="Times New Roman"/>
                      <w:b/>
                      <w:bCs w:val="0"/>
                      <w:color w:val="auto"/>
                    </w:rPr>
                    <w:t>最大</w:t>
                  </w:r>
                  <w:r>
                    <w:rPr>
                      <w:rFonts w:hint="eastAsia" w:cs="Times New Roman"/>
                      <w:b/>
                      <w:bCs w:val="0"/>
                      <w:color w:val="auto"/>
                    </w:rPr>
                    <w:t>储存</w:t>
                  </w:r>
                  <w:r>
                    <w:rPr>
                      <w:rFonts w:cs="Times New Roman"/>
                      <w:b/>
                      <w:bCs w:val="0"/>
                      <w:color w:val="auto"/>
                    </w:rPr>
                    <w:t>量（t/a）</w:t>
                  </w:r>
                </w:p>
              </w:tc>
              <w:tc>
                <w:tcPr>
                  <w:tcW w:w="404" w:type="pct"/>
                </w:tcPr>
                <w:p w14:paraId="7CC51C52">
                  <w:pPr>
                    <w:pStyle w:val="45"/>
                    <w:rPr>
                      <w:rFonts w:cs="Times New Roman"/>
                      <w:b/>
                      <w:bCs w:val="0"/>
                      <w:color w:val="auto"/>
                    </w:rPr>
                  </w:pPr>
                  <w:r>
                    <w:rPr>
                      <w:rFonts w:hint="eastAsia" w:cs="Times New Roman"/>
                      <w:b/>
                      <w:bCs w:val="0"/>
                      <w:color w:val="auto"/>
                    </w:rPr>
                    <w:t>最大在线量</w:t>
                  </w:r>
                  <w:r>
                    <w:rPr>
                      <w:rFonts w:cs="Times New Roman"/>
                      <w:b/>
                      <w:bCs w:val="0"/>
                      <w:color w:val="auto"/>
                    </w:rPr>
                    <w:t>（t/a）</w:t>
                  </w:r>
                </w:p>
              </w:tc>
              <w:tc>
                <w:tcPr>
                  <w:tcW w:w="407" w:type="pct"/>
                </w:tcPr>
                <w:p w14:paraId="39CCE3F9">
                  <w:pPr>
                    <w:pStyle w:val="45"/>
                    <w:rPr>
                      <w:rFonts w:cs="Times New Roman"/>
                      <w:b/>
                      <w:bCs w:val="0"/>
                      <w:color w:val="auto"/>
                    </w:rPr>
                  </w:pPr>
                  <w:r>
                    <w:rPr>
                      <w:rFonts w:hint="eastAsia" w:cs="Times New Roman"/>
                      <w:b/>
                      <w:bCs w:val="0"/>
                      <w:color w:val="auto"/>
                    </w:rPr>
                    <w:t>最大总存在量</w:t>
                  </w:r>
                  <w:r>
                    <w:rPr>
                      <w:rFonts w:cs="Times New Roman"/>
                      <w:b/>
                      <w:bCs w:val="0"/>
                      <w:color w:val="auto"/>
                    </w:rPr>
                    <w:t>（t）</w:t>
                  </w:r>
                </w:p>
              </w:tc>
              <w:tc>
                <w:tcPr>
                  <w:tcW w:w="413" w:type="pct"/>
                  <w:shd w:val="clear" w:color="auto" w:fill="auto"/>
                  <w:vAlign w:val="center"/>
                </w:tcPr>
                <w:p w14:paraId="37F1EF8B">
                  <w:pPr>
                    <w:pStyle w:val="45"/>
                    <w:rPr>
                      <w:rFonts w:cs="Times New Roman"/>
                      <w:b/>
                      <w:bCs w:val="0"/>
                      <w:color w:val="auto"/>
                    </w:rPr>
                  </w:pPr>
                  <w:r>
                    <w:rPr>
                      <w:rFonts w:cs="Times New Roman"/>
                      <w:b/>
                      <w:bCs w:val="0"/>
                      <w:color w:val="auto"/>
                    </w:rPr>
                    <w:t>临界量（t）</w:t>
                  </w:r>
                </w:p>
              </w:tc>
              <w:tc>
                <w:tcPr>
                  <w:tcW w:w="479" w:type="pct"/>
                  <w:shd w:val="clear" w:color="auto" w:fill="auto"/>
                  <w:vAlign w:val="center"/>
                </w:tcPr>
                <w:p w14:paraId="168A8207">
                  <w:pPr>
                    <w:pStyle w:val="45"/>
                    <w:rPr>
                      <w:rFonts w:cs="Times New Roman"/>
                      <w:b/>
                      <w:bCs w:val="0"/>
                      <w:color w:val="auto"/>
                    </w:rPr>
                  </w:pPr>
                  <w:r>
                    <w:rPr>
                      <w:rFonts w:cs="Times New Roman"/>
                      <w:b/>
                      <w:bCs w:val="0"/>
                      <w:color w:val="auto"/>
                    </w:rPr>
                    <w:t>Q值</w:t>
                  </w:r>
                </w:p>
              </w:tc>
            </w:tr>
            <w:tr w14:paraId="396FB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654" w:type="pct"/>
                  <w:shd w:val="clear" w:color="auto" w:fill="auto"/>
                  <w:vAlign w:val="center"/>
                </w:tcPr>
                <w:p w14:paraId="5219EF3D">
                  <w:pPr>
                    <w:pStyle w:val="12"/>
                    <w:rPr>
                      <w:rFonts w:cs="Times New Roman"/>
                      <w:b w:val="0"/>
                      <w:bCs/>
                      <w:color w:val="auto"/>
                    </w:rPr>
                  </w:pPr>
                  <w:r>
                    <w:rPr>
                      <w:rFonts w:cs="Times New Roman"/>
                      <w:b w:val="0"/>
                      <w:bCs/>
                      <w:color w:val="auto"/>
                    </w:rPr>
                    <w:t>机油</w:t>
                  </w:r>
                </w:p>
              </w:tc>
              <w:tc>
                <w:tcPr>
                  <w:tcW w:w="625" w:type="pct"/>
                  <w:shd w:val="clear" w:color="auto" w:fill="auto"/>
                  <w:vAlign w:val="center"/>
                </w:tcPr>
                <w:p w14:paraId="634E4F53">
                  <w:pPr>
                    <w:pStyle w:val="12"/>
                    <w:rPr>
                      <w:rFonts w:cs="Times New Roman"/>
                      <w:b w:val="0"/>
                      <w:bCs/>
                      <w:color w:val="auto"/>
                    </w:rPr>
                  </w:pPr>
                  <w:r>
                    <w:rPr>
                      <w:rFonts w:cs="Times New Roman"/>
                      <w:b w:val="0"/>
                      <w:bCs/>
                      <w:color w:val="auto"/>
                    </w:rPr>
                    <w:t>/</w:t>
                  </w:r>
                </w:p>
              </w:tc>
              <w:tc>
                <w:tcPr>
                  <w:tcW w:w="486" w:type="pct"/>
                  <w:shd w:val="clear" w:color="auto" w:fill="auto"/>
                  <w:vAlign w:val="center"/>
                </w:tcPr>
                <w:p w14:paraId="105DC8FB">
                  <w:pPr>
                    <w:pStyle w:val="12"/>
                    <w:rPr>
                      <w:rFonts w:cs="Times New Roman"/>
                      <w:b w:val="0"/>
                      <w:bCs/>
                      <w:color w:val="auto"/>
                    </w:rPr>
                  </w:pPr>
                  <w:r>
                    <w:rPr>
                      <w:rFonts w:cs="Times New Roman"/>
                      <w:b w:val="0"/>
                      <w:bCs/>
                      <w:color w:val="auto"/>
                    </w:rPr>
                    <w:t>桶装</w:t>
                  </w:r>
                </w:p>
              </w:tc>
              <w:tc>
                <w:tcPr>
                  <w:tcW w:w="416" w:type="pct"/>
                  <w:shd w:val="clear" w:color="auto" w:fill="auto"/>
                  <w:vAlign w:val="center"/>
                </w:tcPr>
                <w:p w14:paraId="4430A73B">
                  <w:pPr>
                    <w:pStyle w:val="12"/>
                    <w:rPr>
                      <w:rFonts w:cs="Times New Roman"/>
                      <w:b w:val="0"/>
                      <w:bCs/>
                      <w:color w:val="auto"/>
                    </w:rPr>
                  </w:pPr>
                  <w:r>
                    <w:rPr>
                      <w:rFonts w:hint="eastAsia" w:cs="Times New Roman"/>
                      <w:b w:val="0"/>
                      <w:bCs/>
                      <w:color w:val="auto"/>
                      <w:lang w:val="en-US" w:eastAsia="zh-CN"/>
                    </w:rPr>
                    <w:t>10</w:t>
                  </w:r>
                  <w:r>
                    <w:rPr>
                      <w:rFonts w:cs="Times New Roman"/>
                      <w:b w:val="0"/>
                      <w:bCs/>
                      <w:color w:val="auto"/>
                    </w:rPr>
                    <w:t>L</w:t>
                  </w:r>
                </w:p>
              </w:tc>
              <w:tc>
                <w:tcPr>
                  <w:tcW w:w="557" w:type="pct"/>
                  <w:shd w:val="clear" w:color="auto" w:fill="auto"/>
                  <w:vAlign w:val="center"/>
                </w:tcPr>
                <w:p w14:paraId="2C39E4EE">
                  <w:pPr>
                    <w:pStyle w:val="12"/>
                    <w:rPr>
                      <w:rFonts w:cs="Times New Roman"/>
                      <w:b w:val="0"/>
                      <w:bCs/>
                      <w:color w:val="auto"/>
                    </w:rPr>
                  </w:pPr>
                  <w:r>
                    <w:rPr>
                      <w:rFonts w:cs="Times New Roman"/>
                      <w:b w:val="0"/>
                      <w:bCs/>
                      <w:color w:val="auto"/>
                    </w:rPr>
                    <w:t>年</w:t>
                  </w:r>
                </w:p>
              </w:tc>
              <w:tc>
                <w:tcPr>
                  <w:tcW w:w="557" w:type="pct"/>
                  <w:shd w:val="clear" w:color="auto" w:fill="auto"/>
                  <w:vAlign w:val="center"/>
                </w:tcPr>
                <w:p w14:paraId="61C7B695">
                  <w:pPr>
                    <w:pStyle w:val="12"/>
                    <w:rPr>
                      <w:rFonts w:hint="eastAsia" w:eastAsia="宋体" w:cs="Times New Roman"/>
                      <w:b w:val="0"/>
                      <w:bCs/>
                      <w:color w:val="auto"/>
                      <w:lang w:eastAsia="zh-CN"/>
                    </w:rPr>
                  </w:pPr>
                  <w:r>
                    <w:rPr>
                      <w:rFonts w:cs="Times New Roman"/>
                      <w:b w:val="0"/>
                      <w:bCs/>
                      <w:color w:val="auto"/>
                    </w:rPr>
                    <w:t>0.</w:t>
                  </w:r>
                  <w:r>
                    <w:rPr>
                      <w:rFonts w:hint="eastAsia" w:cs="Times New Roman"/>
                      <w:b w:val="0"/>
                      <w:bCs/>
                      <w:color w:val="auto"/>
                      <w:lang w:val="en-US" w:eastAsia="zh-CN"/>
                    </w:rPr>
                    <w:t>4</w:t>
                  </w:r>
                </w:p>
              </w:tc>
              <w:tc>
                <w:tcPr>
                  <w:tcW w:w="404" w:type="pct"/>
                  <w:vAlign w:val="center"/>
                </w:tcPr>
                <w:p w14:paraId="1D4A6374">
                  <w:pPr>
                    <w:pStyle w:val="12"/>
                    <w:jc w:val="center"/>
                    <w:rPr>
                      <w:rFonts w:hint="eastAsia" w:cs="Times New Roman"/>
                      <w:b w:val="0"/>
                      <w:bCs/>
                      <w:color w:val="auto"/>
                      <w:lang w:eastAsia="zh-CN"/>
                    </w:rPr>
                  </w:pPr>
                  <w:r>
                    <w:rPr>
                      <w:rFonts w:hint="eastAsia" w:cs="Times New Roman"/>
                      <w:b w:val="0"/>
                      <w:bCs/>
                      <w:color w:val="auto"/>
                    </w:rPr>
                    <w:t>0</w:t>
                  </w:r>
                  <w:r>
                    <w:rPr>
                      <w:rFonts w:cs="Times New Roman"/>
                      <w:b w:val="0"/>
                      <w:bCs/>
                      <w:color w:val="auto"/>
                    </w:rPr>
                    <w:t>.</w:t>
                  </w:r>
                  <w:r>
                    <w:rPr>
                      <w:rFonts w:hint="eastAsia" w:cs="Times New Roman"/>
                      <w:b w:val="0"/>
                      <w:bCs/>
                      <w:color w:val="auto"/>
                      <w:lang w:val="en-US" w:eastAsia="zh-CN"/>
                    </w:rPr>
                    <w:t>4</w:t>
                  </w:r>
                </w:p>
              </w:tc>
              <w:tc>
                <w:tcPr>
                  <w:tcW w:w="407" w:type="pct"/>
                  <w:vAlign w:val="center"/>
                </w:tcPr>
                <w:p w14:paraId="46D7F794">
                  <w:pPr>
                    <w:pStyle w:val="12"/>
                    <w:jc w:val="center"/>
                    <w:rPr>
                      <w:rFonts w:hint="default" w:eastAsia="宋体" w:cs="Times New Roman"/>
                      <w:b w:val="0"/>
                      <w:bCs/>
                      <w:color w:val="auto"/>
                      <w:lang w:val="en-US" w:eastAsia="zh-CN"/>
                    </w:rPr>
                  </w:pPr>
                  <w:r>
                    <w:rPr>
                      <w:rFonts w:hint="eastAsia" w:cs="Times New Roman"/>
                      <w:b w:val="0"/>
                      <w:bCs/>
                      <w:color w:val="auto"/>
                      <w:lang w:val="en-US" w:eastAsia="zh-CN"/>
                    </w:rPr>
                    <w:t>0.4</w:t>
                  </w:r>
                </w:p>
              </w:tc>
              <w:tc>
                <w:tcPr>
                  <w:tcW w:w="413" w:type="pct"/>
                  <w:shd w:val="clear" w:color="auto" w:fill="auto"/>
                  <w:noWrap/>
                  <w:vAlign w:val="center"/>
                </w:tcPr>
                <w:p w14:paraId="2AE2D0BC">
                  <w:pPr>
                    <w:pStyle w:val="12"/>
                    <w:rPr>
                      <w:rFonts w:cs="Times New Roman"/>
                      <w:b w:val="0"/>
                      <w:bCs/>
                      <w:color w:val="auto"/>
                    </w:rPr>
                  </w:pPr>
                  <w:r>
                    <w:rPr>
                      <w:rFonts w:cs="Times New Roman"/>
                      <w:b w:val="0"/>
                      <w:bCs/>
                      <w:color w:val="auto"/>
                    </w:rPr>
                    <w:t>2500</w:t>
                  </w:r>
                </w:p>
              </w:tc>
              <w:tc>
                <w:tcPr>
                  <w:tcW w:w="479" w:type="pct"/>
                  <w:shd w:val="clear" w:color="auto" w:fill="auto"/>
                  <w:vAlign w:val="center"/>
                </w:tcPr>
                <w:p w14:paraId="47E7604F">
                  <w:pPr>
                    <w:pStyle w:val="12"/>
                    <w:rPr>
                      <w:rFonts w:hint="default" w:cs="Times New Roman"/>
                      <w:b w:val="0"/>
                      <w:bCs/>
                      <w:color w:val="auto"/>
                      <w:lang w:val="en-US"/>
                    </w:rPr>
                  </w:pPr>
                  <w:r>
                    <w:rPr>
                      <w:rFonts w:hint="eastAsia" w:cs="Times New Roman"/>
                      <w:b w:val="0"/>
                      <w:bCs/>
                      <w:color w:val="auto"/>
                      <w:lang w:val="en-US" w:eastAsia="zh-CN"/>
                    </w:rPr>
                    <w:t>0.00016</w:t>
                  </w:r>
                </w:p>
              </w:tc>
            </w:tr>
            <w:tr w14:paraId="0A504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654" w:type="pct"/>
                  <w:shd w:val="clear" w:color="auto" w:fill="auto"/>
                  <w:vAlign w:val="center"/>
                </w:tcPr>
                <w:p w14:paraId="45289641">
                  <w:pPr>
                    <w:pStyle w:val="12"/>
                    <w:rPr>
                      <w:rFonts w:hint="default" w:eastAsia="宋体" w:cs="Times New Roman"/>
                      <w:b w:val="0"/>
                      <w:bCs/>
                      <w:color w:val="auto"/>
                      <w:lang w:val="en-US" w:eastAsia="zh-CN"/>
                    </w:rPr>
                  </w:pPr>
                  <w:r>
                    <w:rPr>
                      <w:rFonts w:hint="eastAsia" w:cs="Times New Roman"/>
                      <w:b w:val="0"/>
                      <w:bCs/>
                      <w:color w:val="auto"/>
                      <w:lang w:val="en-US" w:eastAsia="zh-CN"/>
                    </w:rPr>
                    <w:t>废机油</w:t>
                  </w:r>
                </w:p>
              </w:tc>
              <w:tc>
                <w:tcPr>
                  <w:tcW w:w="625" w:type="pct"/>
                  <w:shd w:val="clear" w:color="auto" w:fill="auto"/>
                  <w:vAlign w:val="center"/>
                </w:tcPr>
                <w:p w14:paraId="48B70754">
                  <w:pPr>
                    <w:pStyle w:val="12"/>
                    <w:ind w:firstLine="0" w:firstLineChars="0"/>
                    <w:rPr>
                      <w:rFonts w:cs="Times New Roman"/>
                      <w:b w:val="0"/>
                      <w:bCs/>
                      <w:color w:val="auto"/>
                    </w:rPr>
                  </w:pPr>
                  <w:r>
                    <w:rPr>
                      <w:rFonts w:cs="Times New Roman"/>
                      <w:b w:val="0"/>
                      <w:bCs/>
                      <w:color w:val="auto"/>
                    </w:rPr>
                    <w:t>/</w:t>
                  </w:r>
                </w:p>
              </w:tc>
              <w:tc>
                <w:tcPr>
                  <w:tcW w:w="486" w:type="pct"/>
                  <w:shd w:val="clear" w:color="auto" w:fill="auto"/>
                  <w:vAlign w:val="center"/>
                </w:tcPr>
                <w:p w14:paraId="12D50C5B">
                  <w:pPr>
                    <w:pStyle w:val="12"/>
                    <w:ind w:firstLine="0" w:firstLineChars="0"/>
                    <w:rPr>
                      <w:rFonts w:cs="Times New Roman"/>
                      <w:b w:val="0"/>
                      <w:bCs/>
                      <w:color w:val="auto"/>
                    </w:rPr>
                  </w:pPr>
                  <w:r>
                    <w:rPr>
                      <w:rFonts w:cs="Times New Roman"/>
                      <w:b w:val="0"/>
                      <w:bCs/>
                      <w:color w:val="auto"/>
                    </w:rPr>
                    <w:t>桶装</w:t>
                  </w:r>
                </w:p>
              </w:tc>
              <w:tc>
                <w:tcPr>
                  <w:tcW w:w="416" w:type="pct"/>
                  <w:shd w:val="clear" w:color="auto" w:fill="auto"/>
                  <w:vAlign w:val="center"/>
                </w:tcPr>
                <w:p w14:paraId="7D1A53B1">
                  <w:pPr>
                    <w:pStyle w:val="12"/>
                    <w:ind w:firstLine="0" w:firstLineChars="0"/>
                    <w:rPr>
                      <w:rFonts w:cs="Times New Roman"/>
                      <w:b w:val="0"/>
                      <w:bCs/>
                      <w:color w:val="auto"/>
                    </w:rPr>
                  </w:pPr>
                  <w:r>
                    <w:rPr>
                      <w:rFonts w:hint="eastAsia" w:cs="Times New Roman"/>
                      <w:b w:val="0"/>
                      <w:bCs/>
                      <w:color w:val="auto"/>
                      <w:lang w:val="en-US" w:eastAsia="zh-CN"/>
                    </w:rPr>
                    <w:t>10</w:t>
                  </w:r>
                  <w:r>
                    <w:rPr>
                      <w:rFonts w:cs="Times New Roman"/>
                      <w:b w:val="0"/>
                      <w:bCs/>
                      <w:color w:val="auto"/>
                    </w:rPr>
                    <w:t>L</w:t>
                  </w:r>
                </w:p>
              </w:tc>
              <w:tc>
                <w:tcPr>
                  <w:tcW w:w="557" w:type="pct"/>
                  <w:shd w:val="clear" w:color="auto" w:fill="auto"/>
                  <w:vAlign w:val="center"/>
                </w:tcPr>
                <w:p w14:paraId="3043BFF5">
                  <w:pPr>
                    <w:pStyle w:val="12"/>
                    <w:ind w:firstLine="0" w:firstLineChars="0"/>
                    <w:rPr>
                      <w:rFonts w:cs="Times New Roman"/>
                      <w:b w:val="0"/>
                      <w:bCs/>
                      <w:color w:val="auto"/>
                    </w:rPr>
                  </w:pPr>
                  <w:r>
                    <w:rPr>
                      <w:rFonts w:cs="Times New Roman"/>
                      <w:b w:val="0"/>
                      <w:bCs/>
                      <w:color w:val="auto"/>
                    </w:rPr>
                    <w:t>年</w:t>
                  </w:r>
                </w:p>
              </w:tc>
              <w:tc>
                <w:tcPr>
                  <w:tcW w:w="557" w:type="pct"/>
                  <w:shd w:val="clear" w:color="auto" w:fill="auto"/>
                  <w:vAlign w:val="center"/>
                </w:tcPr>
                <w:p w14:paraId="6E705D0C">
                  <w:pPr>
                    <w:pStyle w:val="12"/>
                    <w:rPr>
                      <w:rFonts w:hint="default" w:eastAsia="宋体" w:cs="Times New Roman"/>
                      <w:b w:val="0"/>
                      <w:bCs/>
                      <w:color w:val="auto"/>
                      <w:lang w:val="en-US" w:eastAsia="zh-CN"/>
                    </w:rPr>
                  </w:pPr>
                  <w:r>
                    <w:rPr>
                      <w:rFonts w:hint="eastAsia" w:cs="Times New Roman"/>
                      <w:b w:val="0"/>
                      <w:bCs/>
                      <w:color w:val="auto"/>
                      <w:lang w:val="en-US" w:eastAsia="zh-CN"/>
                    </w:rPr>
                    <w:t>0.4</w:t>
                  </w:r>
                </w:p>
              </w:tc>
              <w:tc>
                <w:tcPr>
                  <w:tcW w:w="404" w:type="pct"/>
                  <w:vAlign w:val="center"/>
                </w:tcPr>
                <w:p w14:paraId="40405D89">
                  <w:pPr>
                    <w:pStyle w:val="12"/>
                    <w:jc w:val="center"/>
                    <w:rPr>
                      <w:rFonts w:hint="eastAsia" w:cs="Times New Roman"/>
                      <w:b w:val="0"/>
                      <w:bCs/>
                      <w:color w:val="auto"/>
                      <w:lang w:val="en-US" w:eastAsia="zh-CN"/>
                    </w:rPr>
                  </w:pPr>
                  <w:r>
                    <w:rPr>
                      <w:rFonts w:hint="eastAsia" w:cs="Times New Roman"/>
                      <w:b w:val="0"/>
                      <w:bCs/>
                      <w:color w:val="auto"/>
                      <w:lang w:val="en-US" w:eastAsia="zh-CN"/>
                    </w:rPr>
                    <w:t>0</w:t>
                  </w:r>
                </w:p>
              </w:tc>
              <w:tc>
                <w:tcPr>
                  <w:tcW w:w="407" w:type="pct"/>
                  <w:vAlign w:val="center"/>
                </w:tcPr>
                <w:p w14:paraId="4354DF45">
                  <w:pPr>
                    <w:pStyle w:val="12"/>
                    <w:jc w:val="center"/>
                    <w:rPr>
                      <w:rFonts w:hint="default" w:cs="Times New Roman"/>
                      <w:b w:val="0"/>
                      <w:bCs/>
                      <w:color w:val="auto"/>
                      <w:lang w:val="en-US" w:eastAsia="zh-CN"/>
                    </w:rPr>
                  </w:pPr>
                  <w:r>
                    <w:rPr>
                      <w:rFonts w:hint="eastAsia" w:cs="Times New Roman"/>
                      <w:b w:val="0"/>
                      <w:bCs/>
                      <w:color w:val="auto"/>
                      <w:lang w:val="en-US" w:eastAsia="zh-CN"/>
                    </w:rPr>
                    <w:t>0.4</w:t>
                  </w:r>
                </w:p>
              </w:tc>
              <w:tc>
                <w:tcPr>
                  <w:tcW w:w="413" w:type="pct"/>
                  <w:shd w:val="clear" w:color="auto" w:fill="auto"/>
                  <w:noWrap/>
                  <w:vAlign w:val="center"/>
                </w:tcPr>
                <w:p w14:paraId="16001380">
                  <w:pPr>
                    <w:pStyle w:val="12"/>
                    <w:ind w:firstLine="0" w:firstLineChars="0"/>
                    <w:rPr>
                      <w:rFonts w:cs="Times New Roman"/>
                      <w:b w:val="0"/>
                      <w:bCs/>
                      <w:color w:val="auto"/>
                    </w:rPr>
                  </w:pPr>
                  <w:r>
                    <w:rPr>
                      <w:rFonts w:cs="Times New Roman"/>
                      <w:b w:val="0"/>
                      <w:bCs/>
                      <w:color w:val="auto"/>
                    </w:rPr>
                    <w:t>2500</w:t>
                  </w:r>
                </w:p>
              </w:tc>
              <w:tc>
                <w:tcPr>
                  <w:tcW w:w="479" w:type="pct"/>
                  <w:shd w:val="clear" w:color="auto" w:fill="auto"/>
                  <w:vAlign w:val="center"/>
                </w:tcPr>
                <w:p w14:paraId="3E2392D3">
                  <w:pPr>
                    <w:pStyle w:val="12"/>
                    <w:rPr>
                      <w:rFonts w:hint="eastAsia" w:cs="Times New Roman"/>
                      <w:b w:val="0"/>
                      <w:bCs/>
                      <w:color w:val="auto"/>
                      <w:lang w:val="en-US" w:eastAsia="zh-CN"/>
                    </w:rPr>
                  </w:pPr>
                  <w:r>
                    <w:rPr>
                      <w:rFonts w:hint="eastAsia" w:cs="Times New Roman"/>
                      <w:b w:val="0"/>
                      <w:bCs/>
                      <w:color w:val="auto"/>
                      <w:lang w:val="en-US" w:eastAsia="zh-CN"/>
                    </w:rPr>
                    <w:t>0.00016</w:t>
                  </w:r>
                </w:p>
              </w:tc>
            </w:tr>
            <w:tr w14:paraId="33FA3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4520" w:type="pct"/>
                  <w:gridSpan w:val="9"/>
                </w:tcPr>
                <w:p w14:paraId="53284B0C">
                  <w:pPr>
                    <w:pStyle w:val="12"/>
                    <w:rPr>
                      <w:rFonts w:cs="Times New Roman"/>
                      <w:b w:val="0"/>
                      <w:bCs/>
                      <w:color w:val="auto"/>
                    </w:rPr>
                  </w:pPr>
                  <w:r>
                    <w:rPr>
                      <w:rFonts w:cs="Times New Roman"/>
                      <w:b w:val="0"/>
                      <w:bCs/>
                      <w:color w:val="auto"/>
                    </w:rPr>
                    <w:t>合计</w:t>
                  </w:r>
                </w:p>
              </w:tc>
              <w:tc>
                <w:tcPr>
                  <w:tcW w:w="479" w:type="pct"/>
                  <w:shd w:val="clear" w:color="auto" w:fill="auto"/>
                  <w:vAlign w:val="center"/>
                </w:tcPr>
                <w:p w14:paraId="74DE7FD2">
                  <w:pPr>
                    <w:pStyle w:val="12"/>
                    <w:rPr>
                      <w:rFonts w:hint="default" w:cs="Times New Roman"/>
                      <w:b w:val="0"/>
                      <w:bCs/>
                      <w:color w:val="auto"/>
                      <w:lang w:val="en-US"/>
                    </w:rPr>
                  </w:pPr>
                  <w:r>
                    <w:rPr>
                      <w:rFonts w:hint="eastAsia" w:cs="Times New Roman"/>
                      <w:b w:val="0"/>
                      <w:bCs/>
                      <w:color w:val="auto"/>
                      <w:lang w:val="en-US" w:eastAsia="zh-CN"/>
                    </w:rPr>
                    <w:t>0.00032</w:t>
                  </w:r>
                </w:p>
              </w:tc>
            </w:tr>
          </w:tbl>
          <w:p w14:paraId="715B067D">
            <w:pPr>
              <w:ind w:firstLine="480"/>
              <w:rPr>
                <w:rFonts w:cs="Times New Roman"/>
              </w:rPr>
            </w:pPr>
            <w:r>
              <w:rPr>
                <w:rFonts w:cs="Times New Roman"/>
              </w:rPr>
              <w:t>从以上表格判定可以看出，本项目Q=0.000</w:t>
            </w:r>
            <w:r>
              <w:rPr>
                <w:rFonts w:hint="eastAsia" w:cs="Times New Roman"/>
                <w:lang w:val="en-US" w:eastAsia="zh-CN"/>
              </w:rPr>
              <w:t>32</w:t>
            </w:r>
            <w:r>
              <w:rPr>
                <w:rFonts w:cs="Times New Roman"/>
              </w:rPr>
              <w:t>＜1，不构成重大危险源，环境风险潜势为Ⅰ</w:t>
            </w:r>
            <w:r>
              <w:rPr>
                <w:rFonts w:hint="eastAsia" w:cs="Times New Roman"/>
                <w:lang w:eastAsia="zh-CN"/>
              </w:rPr>
              <w:t>，</w:t>
            </w:r>
            <w:r>
              <w:rPr>
                <w:rFonts w:hint="eastAsia" w:cs="Times New Roman"/>
                <w:lang w:val="en-US" w:eastAsia="zh-CN"/>
              </w:rPr>
              <w:t>本次评价进行简单分析</w:t>
            </w:r>
            <w:r>
              <w:rPr>
                <w:rFonts w:cs="Times New Roman"/>
              </w:rPr>
              <w:t>。</w:t>
            </w:r>
          </w:p>
          <w:p w14:paraId="5AC8AF96">
            <w:pPr>
              <w:ind w:firstLine="482"/>
              <w:rPr>
                <w:rFonts w:cs="Times New Roman"/>
                <w:b/>
              </w:rPr>
            </w:pPr>
            <w:r>
              <w:rPr>
                <w:rFonts w:cs="Times New Roman"/>
                <w:b/>
              </w:rPr>
              <w:t>（2）环境风险识别</w:t>
            </w:r>
          </w:p>
          <w:p w14:paraId="48061866">
            <w:pPr>
              <w:ind w:firstLine="480"/>
              <w:rPr>
                <w:rFonts w:hint="eastAsia" w:cs="Times New Roman"/>
                <w:bCs/>
                <w:lang w:val="en-US" w:eastAsia="zh-CN" w:bidi="ar"/>
              </w:rPr>
            </w:pPr>
            <w:r>
              <w:rPr>
                <w:rFonts w:cs="Times New Roman"/>
                <w:bCs/>
                <w:lang w:bidi="ar"/>
              </w:rPr>
              <w:t>物质危险性识别：本项目运营过程中涉及油类物质，为易燃有毒物质。</w:t>
            </w:r>
            <w:r>
              <w:rPr>
                <w:rFonts w:hint="eastAsia" w:cs="Times New Roman"/>
                <w:bCs/>
                <w:lang w:val="en-US" w:eastAsia="zh-CN" w:bidi="ar"/>
              </w:rPr>
              <w:t>本项目采用天然气为燃料，属易燃易爆气体。</w:t>
            </w:r>
          </w:p>
          <w:p w14:paraId="3788685E">
            <w:pPr>
              <w:ind w:firstLine="480"/>
              <w:rPr>
                <w:rFonts w:cs="Times New Roman"/>
                <w:bCs/>
                <w:lang w:bidi="ar"/>
              </w:rPr>
            </w:pPr>
            <w:r>
              <w:rPr>
                <w:rFonts w:cs="Times New Roman"/>
                <w:bCs/>
                <w:lang w:bidi="ar"/>
              </w:rPr>
              <w:t>生产系统危险性识别：项目生产过程不涉及≥300℃高温，故项目生产过程不属于危险工艺过程。</w:t>
            </w:r>
          </w:p>
          <w:p w14:paraId="0718AD0D">
            <w:pPr>
              <w:ind w:firstLine="480"/>
              <w:rPr>
                <w:rFonts w:hint="default" w:eastAsia="宋体" w:cs="Times New Roman"/>
                <w:bCs/>
                <w:lang w:val="en-US" w:eastAsia="zh-CN" w:bidi="ar"/>
              </w:rPr>
            </w:pPr>
            <w:r>
              <w:rPr>
                <w:rFonts w:cs="Times New Roman"/>
                <w:bCs/>
                <w:lang w:bidi="ar"/>
              </w:rPr>
              <w:t>储存过程风险识别：油类物质若管理不善，可能由于包装材料损坏，或受外因诱导（如热源、火源、电击等）时，会引发泄漏、火灾、爆炸事故。</w:t>
            </w:r>
            <w:r>
              <w:rPr>
                <w:rFonts w:hint="eastAsia" w:cs="Times New Roman"/>
                <w:bCs/>
                <w:lang w:val="en-US" w:eastAsia="zh-CN" w:bidi="ar"/>
              </w:rPr>
              <w:t>天然气管线破碎，可能引发泄漏、火灾、爆炸事故。</w:t>
            </w:r>
          </w:p>
          <w:p w14:paraId="58B38976">
            <w:pPr>
              <w:ind w:firstLine="480"/>
              <w:rPr>
                <w:rFonts w:hint="default" w:eastAsia="宋体" w:cs="Times New Roman"/>
                <w:bCs/>
                <w:lang w:val="en-US" w:eastAsia="zh-CN" w:bidi="ar"/>
              </w:rPr>
            </w:pPr>
            <w:r>
              <w:rPr>
                <w:rFonts w:cs="Times New Roman"/>
                <w:bCs/>
                <w:lang w:bidi="ar"/>
              </w:rPr>
              <w:t>环境风险类型及危害性分析：项目环境风险为液体</w:t>
            </w:r>
            <w:r>
              <w:rPr>
                <w:rFonts w:hint="eastAsia" w:cs="Times New Roman"/>
                <w:bCs/>
                <w:lang w:val="en-US" w:eastAsia="zh-CN" w:bidi="ar"/>
              </w:rPr>
              <w:t>辅料和危险废物</w:t>
            </w:r>
            <w:r>
              <w:rPr>
                <w:rFonts w:cs="Times New Roman"/>
                <w:bCs/>
                <w:lang w:bidi="ar"/>
              </w:rPr>
              <w:t>的泄漏，造成区域地表水体、地下水和土壤造成污染，以及火灾事故后产生的事故污水和有毒有害物质燃烧烟气</w:t>
            </w:r>
            <w:r>
              <w:rPr>
                <w:rFonts w:hint="eastAsia" w:cs="Times New Roman"/>
                <w:bCs/>
                <w:lang w:eastAsia="zh-CN" w:bidi="ar"/>
              </w:rPr>
              <w:t>；</w:t>
            </w:r>
            <w:r>
              <w:rPr>
                <w:rFonts w:hint="eastAsia" w:cs="Times New Roman"/>
                <w:bCs/>
                <w:lang w:val="en-US" w:eastAsia="zh-CN" w:bidi="ar"/>
              </w:rPr>
              <w:t>废气处理设施故障，废气事故排放；天然气泄漏引发火灾爆炸事故产生次生影响。</w:t>
            </w:r>
          </w:p>
          <w:p w14:paraId="1FADA41B">
            <w:pPr>
              <w:ind w:firstLine="482"/>
              <w:rPr>
                <w:rFonts w:cs="Times New Roman"/>
                <w:b/>
                <w:bCs/>
                <w:lang w:bidi="ar"/>
              </w:rPr>
            </w:pPr>
            <w:r>
              <w:rPr>
                <w:rFonts w:cs="Times New Roman"/>
                <w:b/>
                <w:bCs/>
                <w:lang w:bidi="ar"/>
              </w:rPr>
              <w:t>（3）环境风险分析</w:t>
            </w:r>
          </w:p>
          <w:p w14:paraId="045E582D">
            <w:pPr>
              <w:ind w:firstLine="480"/>
              <w:rPr>
                <w:rFonts w:cs="Times New Roman"/>
              </w:rPr>
            </w:pPr>
            <w:r>
              <w:rPr>
                <w:rFonts w:cs="Times New Roman"/>
              </w:rPr>
              <w:t>根据类比调查，本项目发生可能性较大的事故有：油类物料</w:t>
            </w:r>
            <w:r>
              <w:rPr>
                <w:rFonts w:hint="eastAsia" w:cs="Times New Roman"/>
                <w:lang w:eastAsia="zh-CN"/>
              </w:rPr>
              <w:t>（</w:t>
            </w:r>
            <w:r>
              <w:rPr>
                <w:rFonts w:hint="eastAsia" w:cs="Times New Roman"/>
                <w:lang w:val="en-US" w:eastAsia="zh-CN"/>
              </w:rPr>
              <w:t>含危险废物</w:t>
            </w:r>
            <w:r>
              <w:rPr>
                <w:rFonts w:hint="eastAsia" w:cs="Times New Roman"/>
                <w:lang w:eastAsia="zh-CN"/>
              </w:rPr>
              <w:t>）</w:t>
            </w:r>
            <w:r>
              <w:rPr>
                <w:rFonts w:cs="Times New Roman"/>
              </w:rPr>
              <w:t>泄漏、污染治理设施非正常运行</w:t>
            </w:r>
            <w:r>
              <w:rPr>
                <w:rFonts w:hint="eastAsia" w:cs="Times New Roman"/>
                <w:lang w:eastAsia="zh-CN"/>
              </w:rPr>
              <w:t>、</w:t>
            </w:r>
            <w:r>
              <w:rPr>
                <w:rFonts w:hint="eastAsia" w:cs="Times New Roman"/>
                <w:lang w:val="en-US" w:eastAsia="zh-CN"/>
              </w:rPr>
              <w:t>天然气管道泄漏</w:t>
            </w:r>
            <w:r>
              <w:rPr>
                <w:rFonts w:cs="Times New Roman"/>
              </w:rPr>
              <w:t>。</w:t>
            </w:r>
          </w:p>
          <w:p w14:paraId="32697C2F">
            <w:pPr>
              <w:ind w:firstLine="480"/>
              <w:rPr>
                <w:rFonts w:cs="Times New Roman"/>
              </w:rPr>
            </w:pPr>
            <w:r>
              <w:rPr>
                <w:rFonts w:hint="eastAsia" w:ascii="宋体" w:hAnsi="宋体" w:cs="宋体"/>
              </w:rPr>
              <w:t>①</w:t>
            </w:r>
            <w:r>
              <w:rPr>
                <w:rFonts w:cs="Times New Roman"/>
              </w:rPr>
              <w:t>油类物质</w:t>
            </w:r>
            <w:r>
              <w:rPr>
                <w:rFonts w:hint="eastAsia" w:cs="Times New Roman"/>
                <w:lang w:val="en-US" w:eastAsia="zh-CN"/>
              </w:rPr>
              <w:t>或危险废物</w:t>
            </w:r>
            <w:r>
              <w:rPr>
                <w:rFonts w:cs="Times New Roman"/>
              </w:rPr>
              <w:t>泄漏</w:t>
            </w:r>
          </w:p>
          <w:p w14:paraId="13CDD5A4">
            <w:pPr>
              <w:ind w:firstLine="480"/>
              <w:rPr>
                <w:rFonts w:hint="default" w:eastAsia="宋体" w:cs="Times New Roman"/>
                <w:lang w:val="en-US" w:eastAsia="zh-CN"/>
              </w:rPr>
            </w:pPr>
            <w:r>
              <w:rPr>
                <w:rFonts w:cs="Times New Roman"/>
              </w:rPr>
              <w:t>项目使用机油、液压油等油类物质</w:t>
            </w:r>
            <w:r>
              <w:rPr>
                <w:rFonts w:hint="eastAsia" w:cs="Times New Roman"/>
                <w:lang w:eastAsia="zh-CN"/>
              </w:rPr>
              <w:t>，</w:t>
            </w:r>
            <w:r>
              <w:rPr>
                <w:rFonts w:hint="eastAsia" w:cs="Times New Roman"/>
                <w:lang w:val="en-US" w:eastAsia="zh-CN"/>
              </w:rPr>
              <w:t>产生废机油、废液压油</w:t>
            </w:r>
            <w:r>
              <w:rPr>
                <w:rFonts w:cs="Times New Roman"/>
              </w:rPr>
              <w:t>。项目发生泄漏事故的原因主要有：储存不当导致泄漏；自然灾害造成的泄漏，如地震、洪水等非人为因素。油类物质泄漏可能造成较大的环境影响，泄漏物质进入环境，对河流、土壤、生物、地下水造成极为严重的污染，这种污染</w:t>
            </w:r>
            <w:r>
              <w:rPr>
                <w:rFonts w:hint="eastAsia" w:cs="Times New Roman"/>
                <w:lang w:eastAsia="zh-CN"/>
              </w:rPr>
              <w:t>一般</w:t>
            </w:r>
            <w:r>
              <w:rPr>
                <w:rFonts w:cs="Times New Roman"/>
              </w:rPr>
              <w:t>范围较广、面积较大、后果较为严重，达到自然环境的完全恢复需要相当长的时间。本项目油类物质均采取桶装并</w:t>
            </w:r>
            <w:r>
              <w:rPr>
                <w:rFonts w:hint="eastAsia" w:cs="Times New Roman"/>
                <w:lang w:eastAsia="zh-CN"/>
              </w:rPr>
              <w:t>放置</w:t>
            </w:r>
            <w:r>
              <w:rPr>
                <w:rFonts w:cs="Times New Roman"/>
              </w:rPr>
              <w:t>在托盘上，发生</w:t>
            </w:r>
            <w:r>
              <w:rPr>
                <w:rFonts w:hint="eastAsia" w:cs="Times New Roman"/>
                <w:lang w:eastAsia="zh-CN"/>
              </w:rPr>
              <w:t>泄漏</w:t>
            </w:r>
            <w:r>
              <w:rPr>
                <w:rFonts w:cs="Times New Roman"/>
              </w:rPr>
              <w:t>的概率很小。</w:t>
            </w:r>
          </w:p>
          <w:p w14:paraId="5A89C1C1">
            <w:pPr>
              <w:ind w:firstLine="480"/>
              <w:rPr>
                <w:rFonts w:cs="Times New Roman"/>
              </w:rPr>
            </w:pPr>
            <w:r>
              <w:rPr>
                <w:rFonts w:hint="eastAsia" w:ascii="宋体" w:hAnsi="宋体" w:cs="宋体"/>
              </w:rPr>
              <w:t>②</w:t>
            </w:r>
            <w:r>
              <w:rPr>
                <w:rFonts w:cs="Times New Roman"/>
              </w:rPr>
              <w:t>污染治理设施非正常运行</w:t>
            </w:r>
          </w:p>
          <w:p w14:paraId="71DAE665">
            <w:pPr>
              <w:ind w:firstLine="480"/>
              <w:rPr>
                <w:rFonts w:cs="Times New Roman"/>
              </w:rPr>
            </w:pPr>
            <w:r>
              <w:rPr>
                <w:rFonts w:cs="Times New Roman"/>
              </w:rPr>
              <w:t>废气处理设施故障运行，造成废气未经处理直接排放进入大气，对周边大气环境造成影响。</w:t>
            </w:r>
          </w:p>
          <w:p w14:paraId="75C5B65C">
            <w:pPr>
              <w:ind w:firstLine="480"/>
              <w:rPr>
                <w:rFonts w:cs="Times New Roman"/>
              </w:rPr>
            </w:pPr>
            <w:r>
              <w:rPr>
                <w:rFonts w:hint="eastAsia" w:ascii="宋体" w:hAnsi="宋体" w:cs="宋体"/>
              </w:rPr>
              <w:t>③</w:t>
            </w:r>
            <w:r>
              <w:rPr>
                <w:rFonts w:hint="eastAsia" w:cs="Times New Roman"/>
                <w:lang w:val="en-US" w:eastAsia="zh-CN"/>
              </w:rPr>
              <w:t>天然气管道泄漏</w:t>
            </w:r>
            <w:r>
              <w:rPr>
                <w:rFonts w:cs="Times New Roman"/>
              </w:rPr>
              <w:t>事故影响分析</w:t>
            </w:r>
          </w:p>
          <w:p w14:paraId="0709E002">
            <w:pPr>
              <w:ind w:firstLine="480"/>
              <w:rPr>
                <w:rFonts w:hint="eastAsia" w:cs="Times New Roman"/>
                <w:bCs/>
                <w:lang w:val="en-US" w:eastAsia="zh-CN" w:bidi="ar"/>
              </w:rPr>
            </w:pPr>
            <w:r>
              <w:rPr>
                <w:rFonts w:hint="eastAsia" w:cs="Times New Roman"/>
                <w:bCs/>
                <w:lang w:val="en-US" w:eastAsia="zh-CN" w:bidi="ar"/>
              </w:rPr>
              <w:t>天然气泄漏可能引发火灾爆炸事故产生次生影响。</w:t>
            </w:r>
          </w:p>
          <w:p w14:paraId="5D010E7C">
            <w:pPr>
              <w:ind w:firstLine="480"/>
              <w:rPr>
                <w:rFonts w:hint="default" w:cs="Times New Roman"/>
                <w:bCs/>
                <w:lang w:val="en-US" w:eastAsia="zh-CN" w:bidi="ar"/>
              </w:rPr>
            </w:pPr>
            <w:r>
              <w:rPr>
                <w:rFonts w:hint="eastAsia" w:cs="Times New Roman"/>
                <w:bCs/>
                <w:lang w:val="en-US" w:eastAsia="zh-CN" w:bidi="ar"/>
              </w:rPr>
              <w:t>④火灾爆炸事故影响分析</w:t>
            </w:r>
          </w:p>
          <w:p w14:paraId="3CF1E96C">
            <w:pPr>
              <w:ind w:firstLine="480"/>
              <w:rPr>
                <w:rFonts w:cs="Times New Roman"/>
              </w:rPr>
            </w:pPr>
            <w:r>
              <w:rPr>
                <w:rFonts w:cs="Times New Roman"/>
              </w:rPr>
              <w:t>火灾爆炸事故主要为可燃液体</w:t>
            </w:r>
            <w:r>
              <w:rPr>
                <w:rFonts w:hint="eastAsia" w:cs="Times New Roman"/>
                <w:lang w:val="en-US" w:eastAsia="zh-CN"/>
              </w:rPr>
              <w:t>或天然气</w:t>
            </w:r>
            <w:r>
              <w:rPr>
                <w:rFonts w:cs="Times New Roman"/>
              </w:rPr>
              <w:t>等遇火源等引发的火灾及燃爆事故。火灾事故产生的浓烟会以起火点为中心在一定范围内降落大量烟尘，局部气温、气压、能见度等会产生明显的变化，对局部大气环境（包括下风向大气环境）造成较大的短期影响；火灾事故同时伴随着物料的泄漏，会影响周围大气地表水环境。火灾对周围环境的影响体现在火灾期间有毒烟气对周围环境的影响，这种影响一般是短暂的。燃烧时可能产生黑烟、一氧化碳、二氧化碳、烃类、氮氧化物等，其烟气对眼睛、呼吸道以及皮肤有一定的刺激性，过度接触可导致头痛、发寒、发烧、呕吐等症状。</w:t>
            </w:r>
          </w:p>
          <w:p w14:paraId="59D2E03A">
            <w:pPr>
              <w:ind w:firstLine="482"/>
              <w:rPr>
                <w:rFonts w:cs="Times New Roman"/>
                <w:b/>
                <w:bCs/>
                <w:lang w:bidi="ar"/>
              </w:rPr>
            </w:pPr>
            <w:r>
              <w:rPr>
                <w:rFonts w:cs="Times New Roman"/>
                <w:b/>
                <w:bCs/>
                <w:lang w:bidi="ar"/>
              </w:rPr>
              <w:t>（4）风险防范措施及应急要求</w:t>
            </w:r>
          </w:p>
          <w:p w14:paraId="3A1EEE60">
            <w:pPr>
              <w:ind w:firstLine="480"/>
              <w:rPr>
                <w:rFonts w:hint="eastAsia" w:cs="Times New Roman"/>
                <w:b/>
                <w:bCs w:val="0"/>
                <w:lang w:val="en-US" w:eastAsia="zh-CN" w:bidi="ar"/>
              </w:rPr>
            </w:pPr>
            <w:r>
              <w:rPr>
                <w:rFonts w:cs="Times New Roman"/>
                <w:b/>
                <w:bCs w:val="0"/>
                <w:lang w:bidi="ar"/>
              </w:rPr>
              <w:t>1）</w:t>
            </w:r>
            <w:r>
              <w:rPr>
                <w:rFonts w:hint="eastAsia" w:cs="Times New Roman"/>
                <w:b/>
                <w:bCs w:val="0"/>
                <w:lang w:val="en-US" w:eastAsia="zh-CN" w:bidi="ar"/>
              </w:rPr>
              <w:t>油类物质泄漏风险防范措施</w:t>
            </w:r>
          </w:p>
          <w:p w14:paraId="5FDDAE1D">
            <w:pPr>
              <w:keepNext w:val="0"/>
              <w:keepLines w:val="0"/>
              <w:widowControl/>
              <w:suppressLineNumbers w:val="0"/>
              <w:jc w:val="left"/>
              <w:rPr>
                <w:rFonts w:cs="Times New Roman"/>
                <w:bCs/>
                <w:lang w:bidi="ar"/>
              </w:rPr>
            </w:pPr>
            <w:r>
              <w:rPr>
                <w:rFonts w:hint="eastAsia" w:ascii="宋体" w:hAnsi="宋体" w:cs="宋体"/>
                <w:bCs/>
                <w:lang w:bidi="ar"/>
              </w:rPr>
              <w:t>①</w:t>
            </w:r>
            <w:r>
              <w:rPr>
                <w:rFonts w:cs="Times New Roman"/>
                <w:bCs/>
                <w:lang w:bidi="ar"/>
              </w:rPr>
              <w:t>液态危险废物（废机油、废液压油）应专桶收集暂存于危废暂存间，</w:t>
            </w:r>
            <w:r>
              <w:rPr>
                <w:rFonts w:hint="eastAsia" w:ascii="宋体" w:hAnsi="宋体" w:eastAsia="宋体" w:cs="宋体"/>
                <w:color w:val="000000"/>
                <w:kern w:val="0"/>
                <w:sz w:val="24"/>
                <w:szCs w:val="24"/>
                <w:lang w:val="en-US" w:eastAsia="zh-CN" w:bidi="ar"/>
              </w:rPr>
              <w:t>规范设置危废暂存间，将液态危险废物容器置于托盘内</w:t>
            </w:r>
            <w:r>
              <w:rPr>
                <w:rFonts w:cs="Times New Roman"/>
                <w:bCs/>
                <w:lang w:bidi="ar"/>
              </w:rPr>
              <w:t>，确保事故状态下废液不进入外环境。</w:t>
            </w:r>
            <w:r>
              <w:rPr>
                <w:rFonts w:hint="eastAsia" w:cs="Times New Roman"/>
                <w:bCs/>
                <w:lang w:val="en-US" w:eastAsia="zh-CN" w:bidi="ar"/>
              </w:rPr>
              <w:t>所有危险废物</w:t>
            </w:r>
            <w:r>
              <w:rPr>
                <w:rFonts w:cs="Times New Roman"/>
                <w:bCs/>
                <w:lang w:bidi="ar"/>
              </w:rPr>
              <w:t>委托相关资质单位处理，并建立、落实联单制度，严禁私自处理。</w:t>
            </w:r>
          </w:p>
          <w:p w14:paraId="43A918A9">
            <w:pPr>
              <w:ind w:firstLine="480"/>
              <w:rPr>
                <w:rFonts w:cs="Times New Roman"/>
                <w:bCs/>
                <w:lang w:bidi="ar"/>
              </w:rPr>
            </w:pPr>
            <w:r>
              <w:rPr>
                <w:rFonts w:hint="eastAsia" w:ascii="宋体" w:hAnsi="宋体" w:cs="宋体"/>
                <w:bCs/>
                <w:lang w:bidi="ar"/>
              </w:rPr>
              <w:t>②</w:t>
            </w:r>
            <w:r>
              <w:rPr>
                <w:rFonts w:cs="Times New Roman"/>
                <w:bCs/>
                <w:lang w:bidi="ar"/>
              </w:rPr>
              <w:t>危险废物妥善收集，临时堆存时间不得过长，堆存量不得超过规定要求，以防造成渗漏等二次污染或安全事故。按照相关规范暂存危废，避免或减轻由安全事故引发的环境风险。</w:t>
            </w:r>
          </w:p>
          <w:p w14:paraId="4BE6077F">
            <w:pPr>
              <w:ind w:firstLine="480"/>
              <w:rPr>
                <w:rFonts w:cs="Times New Roman"/>
                <w:bCs/>
                <w:lang w:bidi="ar"/>
              </w:rPr>
            </w:pPr>
            <w:r>
              <w:rPr>
                <w:rFonts w:hint="eastAsia" w:ascii="宋体" w:hAnsi="宋体" w:cs="宋体"/>
                <w:bCs/>
                <w:lang w:bidi="ar"/>
              </w:rPr>
              <w:t>③</w:t>
            </w:r>
            <w:r>
              <w:rPr>
                <w:rFonts w:cs="Times New Roman"/>
                <w:bCs/>
                <w:lang w:bidi="ar"/>
              </w:rPr>
              <w:t>未使用的机油应密封在桶内，并在桶下</w:t>
            </w:r>
            <w:r>
              <w:rPr>
                <w:rFonts w:hint="eastAsia" w:cs="Times New Roman"/>
                <w:bCs/>
                <w:lang w:val="en-US" w:eastAsia="zh-CN" w:bidi="ar"/>
              </w:rPr>
              <w:t>方</w:t>
            </w:r>
            <w:r>
              <w:rPr>
                <w:rFonts w:cs="Times New Roman"/>
                <w:bCs/>
                <w:lang w:bidi="ar"/>
              </w:rPr>
              <w:t>设置防泄漏托盘，在</w:t>
            </w:r>
            <w:r>
              <w:rPr>
                <w:rFonts w:hint="eastAsia" w:cs="Times New Roman"/>
                <w:bCs/>
                <w:lang w:val="en-US" w:eastAsia="zh-CN" w:bidi="ar"/>
              </w:rPr>
              <w:t>药剂堆存区</w:t>
            </w:r>
            <w:r>
              <w:rPr>
                <w:rFonts w:cs="Times New Roman"/>
                <w:bCs/>
                <w:lang w:bidi="ar"/>
              </w:rPr>
              <w:t>集中放置，地面做好防渗措施，严禁烟火，注意通风。</w:t>
            </w:r>
          </w:p>
          <w:p w14:paraId="0E429736">
            <w:pPr>
              <w:spacing w:line="360" w:lineRule="auto"/>
              <w:ind w:firstLine="482" w:firstLineChars="200"/>
              <w:rPr>
                <w:rFonts w:hint="default" w:ascii="Times New Roman" w:hAnsi="Times New Roman" w:cs="Times New Roman"/>
                <w:b/>
                <w:bCs/>
                <w:color w:val="000000" w:themeColor="text1"/>
                <w:sz w:val="24"/>
                <w:szCs w:val="24"/>
                <w:highlight w:val="none"/>
                <w14:textFill>
                  <w14:solidFill>
                    <w14:schemeClr w14:val="tx1"/>
                  </w14:solidFill>
                </w14:textFill>
              </w:rPr>
            </w:pPr>
            <w:r>
              <w:rPr>
                <w:rFonts w:hint="eastAsia" w:cs="Times New Roman"/>
                <w:b/>
                <w:bCs w:val="0"/>
                <w:lang w:val="en-US" w:eastAsia="zh-CN" w:bidi="ar"/>
              </w:rPr>
              <w:t>2）</w:t>
            </w:r>
            <w:r>
              <w:rPr>
                <w:rFonts w:hint="default" w:ascii="Times New Roman" w:hAnsi="Times New Roman" w:cs="Times New Roman"/>
                <w:b/>
                <w:bCs/>
                <w:color w:val="000000" w:themeColor="text1"/>
                <w:sz w:val="24"/>
                <w:szCs w:val="24"/>
                <w:highlight w:val="none"/>
                <w14:textFill>
                  <w14:solidFill>
                    <w14:schemeClr w14:val="tx1"/>
                  </w14:solidFill>
                </w14:textFill>
              </w:rPr>
              <w:t>危险废物储存过程中风险防范措施</w:t>
            </w:r>
          </w:p>
          <w:p w14:paraId="69C8DD30">
            <w:pPr>
              <w:spacing w:line="360" w:lineRule="auto"/>
              <w:ind w:firstLine="480" w:firstLineChars="200"/>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①门口贴标识标牌，设防火提示牌，门口设置警示牌。</w:t>
            </w:r>
          </w:p>
          <w:p w14:paraId="45748381">
            <w:pPr>
              <w:spacing w:line="360" w:lineRule="auto"/>
              <w:ind w:firstLine="480" w:firstLineChars="200"/>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②设置管理责任人，作业人员须了解其接触的危险废物的性质、危害特性。</w:t>
            </w:r>
          </w:p>
          <w:p w14:paraId="28DB8EEC">
            <w:pPr>
              <w:spacing w:line="360" w:lineRule="auto"/>
              <w:ind w:firstLine="480" w:firstLineChars="200"/>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③危废间内设置空桶作为应急收容设施，并设置不锈钢防渗托盘。</w:t>
            </w:r>
          </w:p>
          <w:p w14:paraId="0DCE8FC7">
            <w:pPr>
              <w:spacing w:line="360" w:lineRule="auto"/>
              <w:ind w:firstLine="480" w:firstLineChars="200"/>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④危险废物暂存间地面全部进行重点防渗处理，</w:t>
            </w:r>
            <w:r>
              <w:rPr>
                <w:rFonts w:hint="eastAsia" w:cs="Times New Roman"/>
                <w:color w:val="000000" w:themeColor="text1"/>
                <w:sz w:val="24"/>
                <w:szCs w:val="24"/>
                <w:highlight w:val="none"/>
                <w:lang w:val="en-US" w:eastAsia="zh-CN"/>
                <w14:textFill>
                  <w14:solidFill>
                    <w14:schemeClr w14:val="tx1"/>
                  </w14:solidFill>
                </w14:textFill>
              </w:rPr>
              <w:t>液体危险废物容器置于防渗托盘内，</w:t>
            </w:r>
            <w:r>
              <w:rPr>
                <w:rFonts w:hint="default" w:ascii="Times New Roman" w:hAnsi="Times New Roman" w:cs="Times New Roman"/>
                <w:color w:val="000000" w:themeColor="text1"/>
                <w:sz w:val="24"/>
                <w:szCs w:val="24"/>
                <w:highlight w:val="none"/>
                <w14:textFill>
                  <w14:solidFill>
                    <w14:schemeClr w14:val="tx1"/>
                  </w14:solidFill>
                </w14:textFill>
              </w:rPr>
              <w:t>防止</w:t>
            </w:r>
            <w:r>
              <w:rPr>
                <w:rFonts w:hint="eastAsia" w:ascii="Times New Roman" w:hAnsi="Times New Roman" w:cs="Times New Roman"/>
                <w:color w:val="000000" w:themeColor="text1"/>
                <w:sz w:val="24"/>
                <w:szCs w:val="24"/>
                <w:highlight w:val="none"/>
                <w:lang w:eastAsia="zh-CN"/>
                <w14:textFill>
                  <w14:solidFill>
                    <w14:schemeClr w14:val="tx1"/>
                  </w14:solidFill>
                </w14:textFill>
              </w:rPr>
              <w:t>泄漏</w:t>
            </w:r>
            <w:r>
              <w:rPr>
                <w:rFonts w:hint="default" w:ascii="Times New Roman" w:hAnsi="Times New Roman" w:cs="Times New Roman"/>
                <w:color w:val="000000" w:themeColor="text1"/>
                <w:sz w:val="24"/>
                <w:szCs w:val="24"/>
                <w:highlight w:val="none"/>
                <w14:textFill>
                  <w14:solidFill>
                    <w14:schemeClr w14:val="tx1"/>
                  </w14:solidFill>
                </w14:textFill>
              </w:rPr>
              <w:t>液流散到库房外部。</w:t>
            </w:r>
          </w:p>
          <w:p w14:paraId="68722793">
            <w:pPr>
              <w:spacing w:line="360" w:lineRule="auto"/>
              <w:ind w:firstLine="480" w:firstLineChars="200"/>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⑤危险废物妥善收集，</w:t>
            </w:r>
            <w:r>
              <w:rPr>
                <w:rFonts w:hint="default" w:ascii="Times New Roman" w:hAnsi="Times New Roman" w:cs="Times New Roman"/>
                <w:color w:val="000000" w:themeColor="text1"/>
                <w:sz w:val="24"/>
                <w:szCs w:val="24"/>
                <w:highlight w:val="none"/>
                <w:lang w:eastAsia="zh-CN"/>
                <w14:textFill>
                  <w14:solidFill>
                    <w14:schemeClr w14:val="tx1"/>
                  </w14:solidFill>
                </w14:textFill>
              </w:rPr>
              <w:t>做好</w:t>
            </w:r>
            <w:r>
              <w:rPr>
                <w:rFonts w:hint="default" w:ascii="Times New Roman" w:hAnsi="Times New Roman" w:cs="Times New Roman"/>
                <w:color w:val="000000" w:themeColor="text1"/>
                <w:sz w:val="24"/>
                <w:szCs w:val="24"/>
                <w:highlight w:val="none"/>
                <w14:textFill>
                  <w14:solidFill>
                    <w14:schemeClr w14:val="tx1"/>
                  </w14:solidFill>
                </w14:textFill>
              </w:rPr>
              <w:t>防渗透处理，临时堆存时间不得过长，堆存量不得超过规定要求，以防造成渗漏等二次污染或安全事故。</w:t>
            </w:r>
          </w:p>
          <w:p w14:paraId="25C7F14C">
            <w:pPr>
              <w:spacing w:line="360" w:lineRule="auto"/>
              <w:ind w:firstLine="480" w:firstLineChars="200"/>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⑥危废暂存间进行重点防渗处理（</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防渗混凝土+2mm厚人工防渗材料</w:t>
            </w:r>
            <w:r>
              <w:rPr>
                <w:rFonts w:hint="default" w:ascii="Times New Roman" w:hAnsi="Times New Roman" w:cs="Times New Roman"/>
                <w:color w:val="000000" w:themeColor="text1"/>
                <w:sz w:val="24"/>
                <w:szCs w:val="24"/>
                <w:highlight w:val="none"/>
                <w14:textFill>
                  <w14:solidFill>
                    <w14:schemeClr w14:val="tx1"/>
                  </w14:solidFill>
                </w14:textFill>
              </w:rPr>
              <w:t>）</w:t>
            </w:r>
            <w:r>
              <w:rPr>
                <w:rFonts w:hint="eastAsia" w:cs="Times New Roman"/>
                <w:color w:val="000000" w:themeColor="text1"/>
                <w:sz w:val="24"/>
                <w:szCs w:val="24"/>
                <w:highlight w:val="none"/>
                <w:lang w:eastAsia="zh-CN"/>
                <w14:textFill>
                  <w14:solidFill>
                    <w14:schemeClr w14:val="tx1"/>
                  </w14:solidFill>
                </w14:textFill>
              </w:rPr>
              <w:t>，</w:t>
            </w:r>
            <w:r>
              <w:rPr>
                <w:rFonts w:hint="eastAsia" w:cs="Times New Roman"/>
                <w:color w:val="000000" w:themeColor="text1"/>
                <w:sz w:val="24"/>
                <w:szCs w:val="24"/>
                <w:highlight w:val="none"/>
                <w:lang w:val="en-US" w:eastAsia="zh-CN"/>
                <w14:textFill>
                  <w14:solidFill>
                    <w14:schemeClr w14:val="tx1"/>
                  </w14:solidFill>
                </w14:textFill>
              </w:rPr>
              <w:t>液体危险废物容器置于防渗托盘内，</w:t>
            </w:r>
            <w:r>
              <w:rPr>
                <w:rFonts w:hint="default" w:ascii="Times New Roman" w:hAnsi="Times New Roman" w:cs="Times New Roman"/>
                <w:color w:val="000000" w:themeColor="text1"/>
                <w:sz w:val="24"/>
                <w:szCs w:val="24"/>
                <w:highlight w:val="none"/>
                <w14:textFill>
                  <w14:solidFill>
                    <w14:schemeClr w14:val="tx1"/>
                  </w14:solidFill>
                </w14:textFill>
              </w:rPr>
              <w:t>用于收集危废暂存间的泄漏物。</w:t>
            </w:r>
          </w:p>
          <w:p w14:paraId="37DD7222">
            <w:pPr>
              <w:ind w:firstLine="480"/>
              <w:rPr>
                <w:rFonts w:hint="eastAsia" w:cs="Times New Roman"/>
                <w:b/>
                <w:bCs w:val="0"/>
                <w:lang w:val="en-US" w:eastAsia="zh-CN" w:bidi="ar"/>
              </w:rPr>
            </w:pPr>
            <w:r>
              <w:rPr>
                <w:rFonts w:hint="eastAsia" w:cs="Times New Roman"/>
                <w:b/>
                <w:bCs w:val="0"/>
                <w:lang w:val="en-US" w:eastAsia="zh-CN" w:bidi="ar"/>
              </w:rPr>
              <w:t>3）废气治理设施故障风险防范措施</w:t>
            </w:r>
          </w:p>
          <w:p w14:paraId="5993C86B">
            <w:pPr>
              <w:ind w:firstLine="480"/>
              <w:rPr>
                <w:rFonts w:cs="Times New Roman"/>
                <w:bCs/>
                <w:lang w:bidi="ar"/>
              </w:rPr>
            </w:pPr>
            <w:r>
              <w:rPr>
                <w:rFonts w:cs="Times New Roman"/>
                <w:bCs/>
                <w:lang w:bidi="ar"/>
              </w:rPr>
              <w:t>如发现</w:t>
            </w:r>
            <w:r>
              <w:rPr>
                <w:rFonts w:hint="eastAsia" w:cs="Times New Roman"/>
                <w:bCs/>
                <w:lang w:val="en-US" w:eastAsia="zh-CN" w:bidi="ar"/>
              </w:rPr>
              <w:t>废气</w:t>
            </w:r>
            <w:r>
              <w:rPr>
                <w:rFonts w:cs="Times New Roman"/>
                <w:bCs/>
                <w:lang w:bidi="ar"/>
              </w:rPr>
              <w:t>处理装置出现故障，立即停产，立即修复，事故情况下厂区不得生产。同时，还通过以下措施防止事故废气对区域环境造成不利影响。</w:t>
            </w:r>
          </w:p>
          <w:p w14:paraId="0BD41DC6">
            <w:pPr>
              <w:ind w:firstLine="480"/>
              <w:rPr>
                <w:rFonts w:cs="Times New Roman"/>
                <w:bCs/>
                <w:lang w:bidi="ar"/>
              </w:rPr>
            </w:pPr>
            <w:r>
              <w:rPr>
                <w:rFonts w:hint="eastAsia" w:ascii="宋体" w:hAnsi="宋体" w:cs="宋体"/>
                <w:bCs/>
                <w:lang w:bidi="ar"/>
              </w:rPr>
              <w:t>①</w:t>
            </w:r>
            <w:r>
              <w:rPr>
                <w:rFonts w:cs="Times New Roman"/>
                <w:bCs/>
                <w:lang w:bidi="ar"/>
              </w:rPr>
              <w:t>定期检测各生产区间设置的废气处理装置，发现装置未工作等情况立即停机检查维修。</w:t>
            </w:r>
          </w:p>
          <w:p w14:paraId="150E3A18">
            <w:pPr>
              <w:ind w:firstLine="480"/>
              <w:rPr>
                <w:rFonts w:cs="Times New Roman"/>
                <w:bCs/>
                <w:lang w:bidi="ar"/>
              </w:rPr>
            </w:pPr>
            <w:r>
              <w:rPr>
                <w:rFonts w:hint="eastAsia" w:ascii="宋体" w:hAnsi="宋体" w:cs="宋体"/>
                <w:bCs/>
                <w:lang w:bidi="ar"/>
              </w:rPr>
              <w:t>②</w:t>
            </w:r>
            <w:r>
              <w:rPr>
                <w:rFonts w:cs="Times New Roman"/>
                <w:bCs/>
                <w:lang w:bidi="ar"/>
              </w:rPr>
              <w:t>指派专人每周对厂房内粉尘处理状况以及相关环保装置进行检查，排除事故。</w:t>
            </w:r>
          </w:p>
          <w:p w14:paraId="6E8570D3">
            <w:pPr>
              <w:ind w:firstLine="480"/>
              <w:rPr>
                <w:rFonts w:cs="Times New Roman"/>
                <w:bCs/>
                <w:lang w:bidi="ar"/>
              </w:rPr>
            </w:pPr>
            <w:r>
              <w:rPr>
                <w:rFonts w:hint="eastAsia" w:ascii="宋体" w:hAnsi="宋体" w:cs="宋体"/>
                <w:bCs/>
                <w:lang w:bidi="ar"/>
              </w:rPr>
              <w:t>③</w:t>
            </w:r>
            <w:r>
              <w:rPr>
                <w:rFonts w:cs="Times New Roman"/>
                <w:bCs/>
                <w:lang w:bidi="ar"/>
              </w:rPr>
              <w:t>定期清除布袋除尘器的</w:t>
            </w:r>
            <w:r>
              <w:rPr>
                <w:rFonts w:hint="eastAsia" w:cs="Times New Roman"/>
                <w:bCs/>
                <w:lang w:val="en-US" w:eastAsia="zh-CN" w:bidi="ar"/>
              </w:rPr>
              <w:t>集尘</w:t>
            </w:r>
            <w:r>
              <w:rPr>
                <w:rFonts w:cs="Times New Roman"/>
                <w:bCs/>
                <w:lang w:bidi="ar"/>
              </w:rPr>
              <w:t>，避免影响处理效率。</w:t>
            </w:r>
          </w:p>
          <w:p w14:paraId="0FCC7553">
            <w:pPr>
              <w:ind w:firstLine="480"/>
              <w:rPr>
                <w:rFonts w:cs="Times New Roman"/>
                <w:bCs/>
                <w:lang w:bidi="ar"/>
              </w:rPr>
            </w:pPr>
            <w:r>
              <w:rPr>
                <w:rFonts w:cs="Times New Roman"/>
                <w:bCs/>
                <w:lang w:bidi="ar"/>
              </w:rPr>
              <w:t>厂区内应加强设备的运行管理和维护保养、使各项环保设备设施保持良好运转，避免因设备故障而发生环境污染事件。</w:t>
            </w:r>
          </w:p>
          <w:p w14:paraId="51620D5D">
            <w:pPr>
              <w:ind w:firstLine="480"/>
              <w:rPr>
                <w:rFonts w:hint="eastAsia" w:cs="Times New Roman"/>
                <w:b/>
                <w:bCs w:val="0"/>
                <w:lang w:val="en-US" w:eastAsia="zh-CN" w:bidi="ar"/>
              </w:rPr>
            </w:pPr>
            <w:r>
              <w:rPr>
                <w:rFonts w:hint="eastAsia" w:cs="Times New Roman"/>
                <w:b/>
                <w:bCs w:val="0"/>
                <w:lang w:val="en-US" w:eastAsia="zh-CN" w:bidi="ar"/>
              </w:rPr>
              <w:t>4）天然气泄漏风险防范措施</w:t>
            </w:r>
          </w:p>
          <w:p w14:paraId="3730CCC9">
            <w:pPr>
              <w:keepNext w:val="0"/>
              <w:keepLines w:val="0"/>
              <w:widowControl/>
              <w:suppressLineNumbers w:val="0"/>
              <w:jc w:val="left"/>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①设备设有温度显示，所有烧嘴的控制设有自动温控和自动、手动点火</w:t>
            </w:r>
            <w:r>
              <w:rPr>
                <w:rFonts w:hint="default" w:ascii="Times New Roman" w:hAnsi="Times New Roman" w:eastAsia="宋体" w:cs="Times New Roman"/>
                <w:color w:val="000000"/>
                <w:kern w:val="0"/>
                <w:sz w:val="24"/>
                <w:szCs w:val="24"/>
                <w:lang w:val="en-US" w:eastAsia="zh-CN" w:bidi="ar"/>
              </w:rPr>
              <w:t>/</w:t>
            </w:r>
            <w:r>
              <w:rPr>
                <w:rFonts w:hint="eastAsia" w:ascii="宋体" w:hAnsi="宋体" w:eastAsia="宋体" w:cs="宋体"/>
                <w:color w:val="000000"/>
                <w:kern w:val="0"/>
                <w:sz w:val="24"/>
                <w:szCs w:val="24"/>
                <w:lang w:val="en-US" w:eastAsia="zh-CN" w:bidi="ar"/>
              </w:rPr>
              <w:t>熄火</w:t>
            </w:r>
            <w:r>
              <w:rPr>
                <w:rFonts w:hint="default" w:ascii="Times New Roman" w:hAnsi="Times New Roman" w:eastAsia="宋体" w:cs="Times New Roman"/>
                <w:color w:val="000000"/>
                <w:kern w:val="0"/>
                <w:sz w:val="24"/>
                <w:szCs w:val="24"/>
                <w:lang w:val="en-US" w:eastAsia="zh-CN" w:bidi="ar"/>
              </w:rPr>
              <w:t>/</w:t>
            </w:r>
            <w:r>
              <w:rPr>
                <w:rFonts w:hint="eastAsia" w:ascii="宋体" w:hAnsi="宋体" w:eastAsia="宋体" w:cs="宋体"/>
                <w:color w:val="000000"/>
                <w:kern w:val="0"/>
                <w:sz w:val="24"/>
                <w:szCs w:val="24"/>
                <w:lang w:val="en-US" w:eastAsia="zh-CN" w:bidi="ar"/>
              </w:rPr>
              <w:t>报警</w:t>
            </w:r>
            <w:r>
              <w:rPr>
                <w:rFonts w:hint="default" w:ascii="Times New Roman" w:hAnsi="Times New Roman" w:eastAsia="宋体" w:cs="Times New Roman"/>
                <w:color w:val="000000"/>
                <w:kern w:val="0"/>
                <w:sz w:val="24"/>
                <w:szCs w:val="24"/>
                <w:lang w:val="en-US" w:eastAsia="zh-CN" w:bidi="ar"/>
              </w:rPr>
              <w:t>/</w:t>
            </w:r>
            <w:r>
              <w:rPr>
                <w:rFonts w:hint="eastAsia" w:ascii="宋体" w:hAnsi="宋体" w:eastAsia="宋体" w:cs="宋体"/>
                <w:color w:val="000000"/>
                <w:kern w:val="0"/>
                <w:sz w:val="24"/>
                <w:szCs w:val="24"/>
                <w:lang w:val="en-US" w:eastAsia="zh-CN" w:bidi="ar"/>
              </w:rPr>
              <w:t>火焰检测功能，烧嘴运行设有移位报警装置，燃气管道阀门设有停电自动切断功能，所有设备开停设置为</w:t>
            </w:r>
            <w:r>
              <w:rPr>
                <w:rFonts w:hint="eastAsia" w:ascii="宋体" w:hAnsi="宋体" w:cs="宋体"/>
                <w:color w:val="000000"/>
                <w:kern w:val="0"/>
                <w:sz w:val="24"/>
                <w:szCs w:val="24"/>
                <w:lang w:val="en-US" w:eastAsia="zh-CN" w:bidi="ar"/>
              </w:rPr>
              <w:t>联锁</w:t>
            </w:r>
            <w:r>
              <w:rPr>
                <w:rFonts w:hint="eastAsia" w:ascii="宋体" w:hAnsi="宋体" w:eastAsia="宋体" w:cs="宋体"/>
                <w:color w:val="000000"/>
                <w:kern w:val="0"/>
                <w:sz w:val="24"/>
                <w:szCs w:val="24"/>
                <w:lang w:val="en-US" w:eastAsia="zh-CN" w:bidi="ar"/>
              </w:rPr>
              <w:t>控制。</w:t>
            </w:r>
          </w:p>
          <w:p w14:paraId="6B33EF28">
            <w:pPr>
              <w:keepNext w:val="0"/>
              <w:keepLines w:val="0"/>
              <w:widowControl/>
              <w:suppressLineNumbers w:val="0"/>
              <w:jc w:val="left"/>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②加强防火安全管理，杜绝明火先从人员入厂开始，凡进入车间人员一律严禁携带火种。做到对燃气管道的日常巡检，及时检修、检测安全技术装置，如安全阀，泄压防护装置等。进行职工安全教育，提高技术素质，消除主客观危害因素。</w:t>
            </w:r>
          </w:p>
          <w:p w14:paraId="3E4CA4D6">
            <w:pPr>
              <w:keepNext w:val="0"/>
              <w:keepLines w:val="0"/>
              <w:widowControl/>
              <w:suppressLineNumbers w:val="0"/>
              <w:jc w:val="left"/>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③制定详细的燃气设备使用规程、日常巡检制度、风险防范措施等，定期</w:t>
            </w:r>
            <w:r>
              <w:rPr>
                <w:rFonts w:hint="eastAsia" w:ascii="宋体" w:hAnsi="宋体" w:cs="宋体"/>
                <w:color w:val="000000"/>
                <w:kern w:val="0"/>
                <w:sz w:val="24"/>
                <w:szCs w:val="24"/>
                <w:lang w:val="en-US" w:eastAsia="zh-CN" w:bidi="ar"/>
              </w:rPr>
              <w:t>对</w:t>
            </w:r>
            <w:r>
              <w:rPr>
                <w:rFonts w:hint="eastAsia" w:ascii="宋体" w:hAnsi="宋体" w:eastAsia="宋体" w:cs="宋体"/>
                <w:color w:val="000000"/>
                <w:kern w:val="0"/>
                <w:sz w:val="24"/>
                <w:szCs w:val="24"/>
                <w:lang w:val="en-US" w:eastAsia="zh-CN" w:bidi="ar"/>
              </w:rPr>
              <w:t>相关人员开展天然气使用的安全培训。指定专人负责管道压力表的监控和记录，并建立档案。定期委托天然气供气公司进行校对检查压力表和报警装置，确保压力表的可靠性和精确性、报警装置的灵敏性等。</w:t>
            </w:r>
          </w:p>
          <w:p w14:paraId="5FEB2AAF">
            <w:pPr>
              <w:keepNext w:val="0"/>
              <w:keepLines w:val="0"/>
              <w:widowControl/>
              <w:suppressLineNumbers w:val="0"/>
              <w:jc w:val="left"/>
              <w:rPr>
                <w:rFonts w:hint="default" w:ascii="宋体" w:hAnsi="宋体" w:eastAsia="宋体" w:cs="宋体"/>
                <w:b/>
                <w:bCs/>
                <w:color w:val="000000"/>
                <w:kern w:val="0"/>
                <w:sz w:val="24"/>
                <w:szCs w:val="24"/>
                <w:lang w:val="en-US" w:eastAsia="zh-CN" w:bidi="ar"/>
              </w:rPr>
            </w:pPr>
            <w:r>
              <w:rPr>
                <w:rFonts w:hint="default" w:ascii="Times New Roman" w:hAnsi="Times New Roman" w:cs="Times New Roman"/>
                <w:b/>
                <w:bCs/>
                <w:color w:val="000000"/>
                <w:kern w:val="0"/>
                <w:sz w:val="24"/>
                <w:szCs w:val="24"/>
                <w:lang w:val="en-US" w:eastAsia="zh-CN" w:bidi="ar"/>
              </w:rPr>
              <w:t>5</w:t>
            </w:r>
            <w:r>
              <w:rPr>
                <w:rFonts w:hint="default" w:ascii="Times New Roman" w:hAnsi="Times New Roman" w:eastAsia="宋体" w:cs="Times New Roman"/>
                <w:b/>
                <w:bCs/>
                <w:color w:val="000000"/>
                <w:kern w:val="0"/>
                <w:sz w:val="24"/>
                <w:szCs w:val="24"/>
                <w:lang w:val="en-US" w:eastAsia="zh-CN" w:bidi="ar"/>
              </w:rPr>
              <w:t>）</w:t>
            </w:r>
            <w:r>
              <w:rPr>
                <w:rFonts w:hint="eastAsia" w:ascii="宋体" w:hAnsi="宋体" w:eastAsia="宋体" w:cs="宋体"/>
                <w:b/>
                <w:bCs/>
                <w:color w:val="000000"/>
                <w:kern w:val="0"/>
                <w:sz w:val="24"/>
                <w:szCs w:val="24"/>
                <w:lang w:val="en-US" w:eastAsia="zh-CN" w:bidi="ar"/>
              </w:rPr>
              <w:t>火灾事故风险防范措施</w:t>
            </w:r>
          </w:p>
          <w:p w14:paraId="735F3120">
            <w:pPr>
              <w:ind w:firstLine="480"/>
              <w:rPr>
                <w:rFonts w:cs="Times New Roman"/>
                <w:bCs/>
                <w:lang w:bidi="ar"/>
              </w:rPr>
            </w:pPr>
            <w:r>
              <w:rPr>
                <w:rFonts w:cs="Times New Roman"/>
                <w:bCs/>
                <w:lang w:bidi="ar"/>
              </w:rPr>
              <w:t>除了有先进的防控设施外，还需加强管理和防备，做到以下防治措施：</w:t>
            </w:r>
          </w:p>
          <w:p w14:paraId="25EC8C9E">
            <w:pPr>
              <w:ind w:firstLine="480"/>
              <w:rPr>
                <w:rFonts w:cs="Times New Roman"/>
                <w:bCs/>
                <w:lang w:bidi="ar"/>
              </w:rPr>
            </w:pPr>
            <w:r>
              <w:rPr>
                <w:rFonts w:cs="Times New Roman"/>
                <w:bCs/>
                <w:lang w:bidi="ar"/>
              </w:rPr>
              <w:fldChar w:fldCharType="begin"/>
            </w:r>
            <w:r>
              <w:rPr>
                <w:rFonts w:cs="Times New Roman"/>
                <w:bCs/>
                <w:lang w:bidi="ar"/>
              </w:rPr>
              <w:instrText xml:space="preserve"> = 1 \* GB3 \* MERGEFORMAT </w:instrText>
            </w:r>
            <w:r>
              <w:rPr>
                <w:rFonts w:cs="Times New Roman"/>
                <w:bCs/>
                <w:lang w:bidi="ar"/>
              </w:rPr>
              <w:fldChar w:fldCharType="separate"/>
            </w:r>
            <w:r>
              <w:rPr>
                <w:rFonts w:hint="eastAsia" w:ascii="宋体" w:hAnsi="宋体" w:cs="宋体"/>
              </w:rPr>
              <w:t>①</w:t>
            </w:r>
            <w:r>
              <w:rPr>
                <w:rFonts w:cs="Times New Roman"/>
                <w:bCs/>
                <w:lang w:bidi="ar"/>
              </w:rPr>
              <w:fldChar w:fldCharType="end"/>
            </w:r>
            <w:r>
              <w:rPr>
                <w:rFonts w:cs="Times New Roman"/>
                <w:bCs/>
                <w:lang w:bidi="ar"/>
              </w:rPr>
              <w:t>设立专门的环境管理机构，制定日常管理措施、消防措施和应急预案。对工作人员进行火灾事态时的报警培训，项目方应成立环境风险事故应急救援领导小组和应急救援专业队伍。</w:t>
            </w:r>
          </w:p>
          <w:p w14:paraId="7EDB43C4">
            <w:pPr>
              <w:ind w:firstLine="480"/>
              <w:rPr>
                <w:rFonts w:cs="Times New Roman"/>
                <w:bCs/>
                <w:lang w:bidi="ar"/>
              </w:rPr>
            </w:pPr>
            <w:r>
              <w:rPr>
                <w:rFonts w:cs="Times New Roman"/>
                <w:bCs/>
                <w:lang w:bidi="ar"/>
              </w:rPr>
              <w:fldChar w:fldCharType="begin"/>
            </w:r>
            <w:r>
              <w:rPr>
                <w:rFonts w:cs="Times New Roman"/>
                <w:bCs/>
                <w:lang w:bidi="ar"/>
              </w:rPr>
              <w:instrText xml:space="preserve"> = 2 \* GB3 \* MERGEFORMAT </w:instrText>
            </w:r>
            <w:r>
              <w:rPr>
                <w:rFonts w:cs="Times New Roman"/>
                <w:bCs/>
                <w:lang w:bidi="ar"/>
              </w:rPr>
              <w:fldChar w:fldCharType="separate"/>
            </w:r>
            <w:r>
              <w:rPr>
                <w:rFonts w:hint="eastAsia" w:ascii="宋体" w:hAnsi="宋体" w:cs="宋体"/>
              </w:rPr>
              <w:t>②</w:t>
            </w:r>
            <w:r>
              <w:rPr>
                <w:rFonts w:cs="Times New Roman"/>
                <w:bCs/>
                <w:lang w:bidi="ar"/>
              </w:rPr>
              <w:fldChar w:fldCharType="end"/>
            </w:r>
            <w:r>
              <w:rPr>
                <w:rFonts w:cs="Times New Roman"/>
                <w:bCs/>
                <w:lang w:bidi="ar"/>
              </w:rPr>
              <w:t>加强厂区消防设施的日常管理，确保事故时消防设施能够正常使用，针对厂房等可能出现的火灾事故进行消防演练。</w:t>
            </w:r>
          </w:p>
          <w:p w14:paraId="3CC3A326">
            <w:pPr>
              <w:ind w:firstLine="480"/>
              <w:rPr>
                <w:rFonts w:cs="Times New Roman"/>
                <w:bCs/>
                <w:lang w:bidi="ar"/>
              </w:rPr>
            </w:pPr>
            <w:bookmarkStart w:id="80" w:name="OLE_LINK209"/>
            <w:r>
              <w:rPr>
                <w:rFonts w:cs="Times New Roman"/>
                <w:bCs/>
                <w:lang w:bidi="ar"/>
              </w:rPr>
              <w:fldChar w:fldCharType="begin"/>
            </w:r>
            <w:r>
              <w:rPr>
                <w:rFonts w:cs="Times New Roman"/>
                <w:bCs/>
                <w:lang w:bidi="ar"/>
              </w:rPr>
              <w:instrText xml:space="preserve"> = 3 \* GB3 \* MERGEFORMAT </w:instrText>
            </w:r>
            <w:r>
              <w:rPr>
                <w:rFonts w:cs="Times New Roman"/>
                <w:bCs/>
                <w:lang w:bidi="ar"/>
              </w:rPr>
              <w:fldChar w:fldCharType="separate"/>
            </w:r>
            <w:r>
              <w:rPr>
                <w:rFonts w:hint="eastAsia" w:ascii="宋体" w:hAnsi="宋体" w:cs="宋体"/>
              </w:rPr>
              <w:t>③</w:t>
            </w:r>
            <w:r>
              <w:rPr>
                <w:rFonts w:cs="Times New Roman"/>
                <w:bCs/>
                <w:lang w:bidi="ar"/>
              </w:rPr>
              <w:fldChar w:fldCharType="end"/>
            </w:r>
            <w:bookmarkEnd w:id="80"/>
            <w:r>
              <w:rPr>
                <w:rFonts w:cs="Times New Roman"/>
                <w:bCs/>
                <w:lang w:bidi="ar"/>
              </w:rPr>
              <w:t>严格明火管理，严禁吸烟、动火。消除电气火花。严格按照《中华人民共和国爆炸危险场所安全规程》和现行有关标准、规程及要求执行。</w:t>
            </w:r>
          </w:p>
          <w:p w14:paraId="3856C6D7">
            <w:pPr>
              <w:ind w:firstLine="480"/>
              <w:rPr>
                <w:rFonts w:cs="Times New Roman"/>
                <w:bCs/>
                <w:lang w:bidi="ar"/>
              </w:rPr>
            </w:pPr>
            <w:r>
              <w:rPr>
                <w:rFonts w:cs="Times New Roman"/>
                <w:bCs/>
                <w:lang w:bidi="ar"/>
              </w:rPr>
              <w:fldChar w:fldCharType="begin"/>
            </w:r>
            <w:r>
              <w:rPr>
                <w:rFonts w:cs="Times New Roman"/>
                <w:bCs/>
                <w:lang w:bidi="ar"/>
              </w:rPr>
              <w:instrText xml:space="preserve"> = 4 \* GB3 \* MERGEFORMAT </w:instrText>
            </w:r>
            <w:r>
              <w:rPr>
                <w:rFonts w:cs="Times New Roman"/>
                <w:bCs/>
                <w:lang w:bidi="ar"/>
              </w:rPr>
              <w:fldChar w:fldCharType="separate"/>
            </w:r>
            <w:r>
              <w:rPr>
                <w:rFonts w:hint="eastAsia" w:ascii="宋体" w:hAnsi="宋体" w:cs="宋体"/>
                <w:bCs/>
                <w:lang w:bidi="ar"/>
              </w:rPr>
              <w:t>④</w:t>
            </w:r>
            <w:r>
              <w:rPr>
                <w:rFonts w:cs="Times New Roman"/>
                <w:bCs/>
                <w:lang w:bidi="ar"/>
              </w:rPr>
              <w:fldChar w:fldCharType="end"/>
            </w:r>
            <w:r>
              <w:rPr>
                <w:rFonts w:cs="Times New Roman"/>
                <w:bCs/>
                <w:lang w:bidi="ar"/>
              </w:rPr>
              <w:t>消防器材应当设置在明显和便于取用的地点，周围不准堆放物品和杂物。消防设施、器材，应当由专人管理，负责检查、维修、保养、更换和添置，保证完好有效，严禁圈占、埋压和挪用。配备消防器材和消防设施；标识明确，使用方便；在厂房配备二氧化碳灭火器熄灭小型火灾，并设置消防池。同时在电气设备火灾易发处配备干粉灭火器。</w:t>
            </w:r>
          </w:p>
          <w:p w14:paraId="7416FE5E">
            <w:pPr>
              <w:ind w:firstLine="480"/>
              <w:rPr>
                <w:rFonts w:cs="Times New Roman"/>
                <w:bCs/>
                <w:lang w:bidi="ar"/>
              </w:rPr>
            </w:pPr>
            <w:r>
              <w:rPr>
                <w:rFonts w:cs="Times New Roman"/>
                <w:bCs/>
                <w:lang w:bidi="ar"/>
              </w:rPr>
              <w:fldChar w:fldCharType="begin"/>
            </w:r>
            <w:r>
              <w:rPr>
                <w:rFonts w:cs="Times New Roman"/>
                <w:bCs/>
                <w:lang w:bidi="ar"/>
              </w:rPr>
              <w:instrText xml:space="preserve"> = 5 \* GB3 \* MERGEFORMAT </w:instrText>
            </w:r>
            <w:r>
              <w:rPr>
                <w:rFonts w:cs="Times New Roman"/>
                <w:bCs/>
                <w:lang w:bidi="ar"/>
              </w:rPr>
              <w:fldChar w:fldCharType="separate"/>
            </w:r>
            <w:r>
              <w:rPr>
                <w:rFonts w:hint="eastAsia" w:ascii="宋体" w:hAnsi="宋体" w:cs="宋体"/>
                <w:bCs/>
                <w:lang w:bidi="ar"/>
              </w:rPr>
              <w:t>⑤</w:t>
            </w:r>
            <w:r>
              <w:rPr>
                <w:rFonts w:cs="Times New Roman"/>
                <w:bCs/>
                <w:lang w:bidi="ar"/>
              </w:rPr>
              <w:fldChar w:fldCharType="end"/>
            </w:r>
            <w:r>
              <w:rPr>
                <w:rFonts w:cs="Times New Roman"/>
                <w:bCs/>
                <w:lang w:bidi="ar"/>
              </w:rPr>
              <w:t>项目内定期进行电路、电气检查，消除安全隐患。</w:t>
            </w:r>
          </w:p>
          <w:p w14:paraId="31295B4E">
            <w:pPr>
              <w:ind w:firstLine="480"/>
              <w:rPr>
                <w:rFonts w:cs="Times New Roman"/>
                <w:bCs/>
                <w:lang w:bidi="ar"/>
              </w:rPr>
            </w:pPr>
            <w:r>
              <w:rPr>
                <w:rFonts w:cs="Times New Roman"/>
                <w:bCs/>
                <w:lang w:bidi="ar"/>
              </w:rPr>
              <w:fldChar w:fldCharType="begin"/>
            </w:r>
            <w:r>
              <w:rPr>
                <w:rFonts w:cs="Times New Roman"/>
                <w:bCs/>
                <w:lang w:bidi="ar"/>
              </w:rPr>
              <w:instrText xml:space="preserve"> = 6 \* GB3 \* MERGEFORMAT </w:instrText>
            </w:r>
            <w:r>
              <w:rPr>
                <w:rFonts w:cs="Times New Roman"/>
                <w:bCs/>
                <w:lang w:bidi="ar"/>
              </w:rPr>
              <w:fldChar w:fldCharType="separate"/>
            </w:r>
            <w:r>
              <w:rPr>
                <w:rFonts w:hint="eastAsia" w:ascii="宋体" w:hAnsi="宋体" w:cs="宋体"/>
                <w:bCs/>
                <w:lang w:bidi="ar"/>
              </w:rPr>
              <w:t>⑥</w:t>
            </w:r>
            <w:r>
              <w:rPr>
                <w:rFonts w:cs="Times New Roman"/>
                <w:bCs/>
                <w:lang w:bidi="ar"/>
              </w:rPr>
              <w:fldChar w:fldCharType="end"/>
            </w:r>
            <w:r>
              <w:rPr>
                <w:rFonts w:cs="Times New Roman"/>
                <w:bCs/>
                <w:lang w:bidi="ar"/>
              </w:rPr>
              <w:t>出现火灾时应及时将可燃物品搬离，远离火源。</w:t>
            </w:r>
          </w:p>
          <w:p w14:paraId="70ADBB00">
            <w:pPr>
              <w:ind w:firstLine="482"/>
              <w:rPr>
                <w:rFonts w:cs="Times New Roman"/>
                <w:b/>
                <w:lang w:bidi="ar"/>
              </w:rPr>
            </w:pPr>
            <w:r>
              <w:rPr>
                <w:rFonts w:cs="Times New Roman"/>
                <w:b/>
                <w:lang w:bidi="ar"/>
              </w:rPr>
              <w:t>事故废水和消防废水非正常排放应急处置措施：</w:t>
            </w:r>
          </w:p>
          <w:p w14:paraId="53EBEDC7">
            <w:pPr>
              <w:ind w:firstLine="480"/>
              <w:rPr>
                <w:rFonts w:cs="Times New Roman"/>
                <w:bCs/>
                <w:lang w:bidi="ar"/>
              </w:rPr>
            </w:pPr>
            <w:r>
              <w:rPr>
                <w:rFonts w:cs="Times New Roman"/>
                <w:bCs/>
                <w:lang w:bidi="ar"/>
              </w:rPr>
              <w:t>设置三级防控体系，一级措施(设置围堰)，二级措施(备用收容设施)，三级防控措施(设置雨污水总排口切断阀门及雨水排口沙袋)。</w:t>
            </w:r>
          </w:p>
          <w:p w14:paraId="52077291">
            <w:pPr>
              <w:ind w:firstLine="480"/>
              <w:rPr>
                <w:rFonts w:cs="Times New Roman"/>
                <w:bCs/>
                <w:lang w:bidi="ar"/>
              </w:rPr>
            </w:pPr>
            <w:r>
              <w:rPr>
                <w:rFonts w:hint="eastAsia" w:ascii="宋体" w:hAnsi="宋体" w:cs="宋体"/>
                <w:bCs/>
                <w:lang w:bidi="ar"/>
              </w:rPr>
              <w:t>①</w:t>
            </w:r>
            <w:r>
              <w:rPr>
                <w:rFonts w:cs="Times New Roman"/>
                <w:bCs/>
                <w:lang w:bidi="ar"/>
              </w:rPr>
              <w:t>一级措施：各主体装置（危废暂存间</w:t>
            </w:r>
            <w:r>
              <w:rPr>
                <w:rFonts w:hint="eastAsia" w:cs="Times New Roman"/>
                <w:bCs/>
                <w:lang w:eastAsia="zh-CN" w:bidi="ar"/>
              </w:rPr>
              <w:t>、</w:t>
            </w:r>
            <w:r>
              <w:rPr>
                <w:rFonts w:hint="eastAsia" w:cs="Times New Roman"/>
                <w:bCs/>
                <w:lang w:val="en-US" w:eastAsia="zh-CN" w:bidi="ar"/>
              </w:rPr>
              <w:t>车间门口</w:t>
            </w:r>
            <w:r>
              <w:rPr>
                <w:rFonts w:cs="Times New Roman"/>
                <w:bCs/>
                <w:lang w:bidi="ar"/>
              </w:rPr>
              <w:t>）设置防渗漏、防腐蚀、防淋溶、防流失措施，主体设施位于车间室内，雨水沟位于车间外，不会与雨水管接通。</w:t>
            </w:r>
            <w:r>
              <w:rPr>
                <w:rFonts w:cs="Times New Roman"/>
                <w:b w:val="0"/>
                <w:bCs w:val="0"/>
                <w:color w:val="auto"/>
                <w:lang w:bidi="ar"/>
              </w:rPr>
              <w:t>另外，公司应</w:t>
            </w:r>
            <w:r>
              <w:rPr>
                <w:rFonts w:hint="eastAsia" w:cs="Times New Roman"/>
                <w:b w:val="0"/>
                <w:bCs w:val="0"/>
                <w:color w:val="auto"/>
                <w:lang w:bidi="ar"/>
              </w:rPr>
              <w:t>配备</w:t>
            </w:r>
            <w:r>
              <w:rPr>
                <w:rFonts w:cs="Times New Roman"/>
                <w:b w:val="0"/>
                <w:bCs w:val="0"/>
                <w:color w:val="auto"/>
                <w:lang w:bidi="ar"/>
              </w:rPr>
              <w:t>沙袋</w:t>
            </w:r>
            <w:r>
              <w:rPr>
                <w:rFonts w:hint="eastAsia" w:cs="Times New Roman"/>
                <w:b w:val="0"/>
                <w:bCs w:val="0"/>
                <w:color w:val="auto"/>
                <w:lang w:bidi="ar"/>
              </w:rPr>
              <w:t>、封堵气囊、应急收集桶等应急物资</w:t>
            </w:r>
            <w:r>
              <w:rPr>
                <w:rFonts w:cs="Times New Roman"/>
                <w:b w:val="0"/>
                <w:bCs w:val="0"/>
                <w:color w:val="auto"/>
                <w:lang w:bidi="ar"/>
              </w:rPr>
              <w:t>，以备应急时作为阻挡物封堵事故废水外流</w:t>
            </w:r>
            <w:r>
              <w:rPr>
                <w:rFonts w:hint="eastAsia" w:cs="Times New Roman"/>
                <w:b w:val="0"/>
                <w:bCs w:val="0"/>
                <w:color w:val="auto"/>
                <w:lang w:bidi="ar"/>
              </w:rPr>
              <w:t>或者收集容器</w:t>
            </w:r>
            <w:r>
              <w:rPr>
                <w:rFonts w:cs="Times New Roman"/>
                <w:b w:val="0"/>
                <w:bCs w:val="0"/>
                <w:color w:val="auto"/>
                <w:lang w:bidi="ar"/>
              </w:rPr>
              <w:t>。</w:t>
            </w:r>
          </w:p>
          <w:p w14:paraId="61E48477">
            <w:pPr>
              <w:ind w:firstLine="482"/>
              <w:rPr>
                <w:rFonts w:cs="Times New Roman"/>
                <w:b/>
                <w:bCs/>
                <w:color w:val="0000FF"/>
                <w:lang w:bidi="ar"/>
              </w:rPr>
            </w:pPr>
            <w:r>
              <w:rPr>
                <w:rFonts w:cs="Times New Roman"/>
                <w:bCs/>
                <w:lang w:bidi="ar"/>
              </w:rPr>
              <w:fldChar w:fldCharType="begin"/>
            </w:r>
            <w:r>
              <w:rPr>
                <w:rFonts w:cs="Times New Roman"/>
                <w:bCs/>
                <w:lang w:bidi="ar"/>
              </w:rPr>
              <w:instrText xml:space="preserve"> = 2 \* GB3 \* MERGEFORMAT </w:instrText>
            </w:r>
            <w:r>
              <w:rPr>
                <w:rFonts w:cs="Times New Roman"/>
                <w:bCs/>
                <w:lang w:bidi="ar"/>
              </w:rPr>
              <w:fldChar w:fldCharType="separate"/>
            </w:r>
            <w:r>
              <w:rPr>
                <w:rFonts w:hint="eastAsia" w:ascii="宋体" w:hAnsi="宋体" w:cs="宋体"/>
              </w:rPr>
              <w:t>②</w:t>
            </w:r>
            <w:r>
              <w:rPr>
                <w:rFonts w:cs="Times New Roman"/>
                <w:bCs/>
                <w:lang w:bidi="ar"/>
              </w:rPr>
              <w:fldChar w:fldCharType="end"/>
            </w:r>
            <w:r>
              <w:rPr>
                <w:rFonts w:cs="Times New Roman"/>
                <w:bCs/>
                <w:lang w:bidi="ar"/>
              </w:rPr>
              <w:t>二级措施：</w:t>
            </w:r>
            <w:r>
              <w:rPr>
                <w:rFonts w:ascii="Times New Roman" w:hAnsi="Times New Roman" w:eastAsia="宋体" w:cs="Times New Roman"/>
                <w:bCs/>
                <w:lang w:bidi="ar"/>
              </w:rPr>
              <w:t>保证泄漏物排入备用收容设施，保证突发环境事件状态下通过泄漏物进入备用收容设施，</w:t>
            </w:r>
            <w:r>
              <w:rPr>
                <w:rFonts w:hint="eastAsia" w:ascii="Times New Roman" w:hAnsi="Times New Roman" w:eastAsia="宋体" w:cs="Times New Roman"/>
                <w:bCs/>
                <w:lang w:bidi="ar"/>
              </w:rPr>
              <w:t>避免</w:t>
            </w:r>
            <w:r>
              <w:rPr>
                <w:rFonts w:ascii="Times New Roman" w:hAnsi="Times New Roman" w:eastAsia="宋体" w:cs="Times New Roman"/>
                <w:bCs/>
                <w:lang w:bidi="ar"/>
              </w:rPr>
              <w:t>进入外环境。</w:t>
            </w:r>
            <w:r>
              <w:rPr>
                <w:rFonts w:hint="eastAsia" w:ascii="Times New Roman" w:hAnsi="Times New Roman" w:eastAsia="宋体" w:cs="Times New Roman"/>
                <w:bCs/>
                <w:lang w:bidi="ar"/>
              </w:rPr>
              <w:t>项目日</w:t>
            </w:r>
            <w:bookmarkStart w:id="81" w:name="OLE_LINK28"/>
            <w:r>
              <w:rPr>
                <w:rFonts w:hint="eastAsia" w:ascii="Times New Roman" w:hAnsi="Times New Roman" w:eastAsia="宋体" w:cs="Times New Roman"/>
                <w:bCs/>
                <w:lang w:bidi="ar"/>
              </w:rPr>
              <w:t>常利用</w:t>
            </w:r>
            <w:r>
              <w:rPr>
                <w:rFonts w:hint="eastAsia" w:cs="Times New Roman"/>
                <w:bCs/>
                <w:lang w:val="en-US" w:eastAsia="zh-CN" w:bidi="ar"/>
              </w:rPr>
              <w:t>水基岩屑</w:t>
            </w:r>
            <w:r>
              <w:rPr>
                <w:rFonts w:hint="eastAsia" w:ascii="Times New Roman" w:hAnsi="Times New Roman" w:eastAsia="宋体" w:cs="Times New Roman"/>
                <w:bCs/>
                <w:lang w:val="en-US" w:eastAsia="zh-CN" w:bidi="ar"/>
              </w:rPr>
              <w:t>储存池、滤液池冗余</w:t>
            </w:r>
            <w:r>
              <w:rPr>
                <w:rFonts w:hint="eastAsia" w:ascii="Times New Roman" w:hAnsi="Times New Roman" w:eastAsia="宋体" w:cs="Times New Roman"/>
                <w:bCs/>
                <w:lang w:bidi="ar"/>
              </w:rPr>
              <w:t>作为应急收容措施，泄漏物先集中收集至</w:t>
            </w:r>
            <w:r>
              <w:rPr>
                <w:rFonts w:hint="eastAsia" w:cs="Times New Roman"/>
                <w:bCs/>
                <w:lang w:val="en-US" w:eastAsia="zh-CN" w:bidi="ar"/>
              </w:rPr>
              <w:t>水基岩屑</w:t>
            </w:r>
            <w:r>
              <w:rPr>
                <w:rFonts w:hint="eastAsia" w:ascii="Times New Roman" w:hAnsi="Times New Roman" w:eastAsia="宋体" w:cs="Times New Roman"/>
                <w:bCs/>
                <w:lang w:val="en-US" w:eastAsia="zh-CN" w:bidi="ar"/>
              </w:rPr>
              <w:t>储存池</w:t>
            </w:r>
            <w:r>
              <w:rPr>
                <w:rFonts w:hint="eastAsia" w:ascii="Times New Roman" w:hAnsi="Times New Roman" w:eastAsia="宋体" w:cs="Times New Roman"/>
                <w:bCs/>
                <w:lang w:bidi="ar"/>
              </w:rPr>
              <w:t>，再委托资质单位清运处置。厂房内设置雨水管网紧急封堵气囊和沙袋，火灾爆炸</w:t>
            </w:r>
            <w:r>
              <w:rPr>
                <w:rFonts w:ascii="Times New Roman" w:hAnsi="Times New Roman" w:eastAsia="宋体" w:cs="Times New Roman"/>
                <w:bCs/>
                <w:lang w:bidi="ar"/>
              </w:rPr>
              <w:t>事件状态下</w:t>
            </w:r>
            <w:r>
              <w:rPr>
                <w:rFonts w:hint="eastAsia" w:ascii="Times New Roman" w:hAnsi="Times New Roman" w:eastAsia="宋体" w:cs="Times New Roman"/>
                <w:bCs/>
                <w:lang w:bidi="ar"/>
              </w:rPr>
              <w:t>采用充气封堵气囊投入雨水管网内，封堵雨水管网和污水总排口</w:t>
            </w:r>
            <w:bookmarkEnd w:id="81"/>
            <w:r>
              <w:rPr>
                <w:rFonts w:hint="eastAsia" w:ascii="Times New Roman" w:hAnsi="Times New Roman" w:eastAsia="宋体" w:cs="Times New Roman"/>
                <w:bCs/>
                <w:lang w:bidi="ar"/>
              </w:rPr>
              <w:t>，采用沙袋封堵厂房周边雨水口，</w:t>
            </w:r>
            <w:r>
              <w:rPr>
                <w:rFonts w:ascii="Times New Roman" w:hAnsi="Times New Roman" w:eastAsia="宋体" w:cs="Times New Roman"/>
                <w:bCs/>
                <w:lang w:bidi="ar"/>
              </w:rPr>
              <w:t>消防废水进入</w:t>
            </w:r>
            <w:r>
              <w:rPr>
                <w:rFonts w:hint="eastAsia" w:ascii="Times New Roman" w:hAnsi="Times New Roman" w:eastAsia="宋体" w:cs="Times New Roman"/>
                <w:bCs/>
                <w:lang w:bidi="ar"/>
              </w:rPr>
              <w:t>租赁厂房所在厂区</w:t>
            </w:r>
            <w:r>
              <w:rPr>
                <w:rFonts w:hint="eastAsia" w:ascii="Times New Roman" w:hAnsi="Times New Roman" w:eastAsia="宋体" w:cs="Times New Roman"/>
                <w:bCs/>
                <w:lang w:val="en-US" w:eastAsia="zh-CN" w:bidi="ar"/>
              </w:rPr>
              <w:t>雨</w:t>
            </w:r>
            <w:r>
              <w:rPr>
                <w:rFonts w:hint="eastAsia" w:ascii="Times New Roman" w:hAnsi="Times New Roman" w:eastAsia="宋体" w:cs="Times New Roman"/>
                <w:bCs/>
                <w:lang w:bidi="ar"/>
              </w:rPr>
              <w:t>污水管网暂存。</w:t>
            </w:r>
            <w:r>
              <w:rPr>
                <w:rFonts w:ascii="Times New Roman" w:hAnsi="Times New Roman" w:eastAsia="宋体" w:cs="Times New Roman"/>
                <w:bCs/>
                <w:lang w:bidi="ar"/>
              </w:rPr>
              <w:t>消防废水主要含有悬浮物等污染物，</w:t>
            </w:r>
            <w:r>
              <w:rPr>
                <w:rFonts w:hint="eastAsia" w:ascii="Times New Roman" w:hAnsi="Times New Roman" w:eastAsia="宋体" w:cs="Times New Roman"/>
                <w:bCs/>
                <w:lang w:bidi="ar"/>
              </w:rPr>
              <w:t>后续经检测后</w:t>
            </w:r>
            <w:r>
              <w:rPr>
                <w:rFonts w:ascii="Times New Roman" w:hAnsi="Times New Roman" w:eastAsia="宋体" w:cs="Times New Roman"/>
                <w:bCs/>
                <w:lang w:bidi="ar"/>
              </w:rPr>
              <w:t>可通过污水处理厂合理处置后达标外排。</w:t>
            </w:r>
          </w:p>
          <w:p w14:paraId="25DB93C4">
            <w:pPr>
              <w:ind w:firstLine="480"/>
              <w:rPr>
                <w:rFonts w:hint="eastAsia" w:ascii="Times New Roman" w:hAnsi="Times New Roman" w:eastAsia="宋体" w:cs="Times New Roman"/>
                <w:bCs/>
                <w:lang w:bidi="ar"/>
              </w:rPr>
            </w:pPr>
            <w:r>
              <w:rPr>
                <w:rFonts w:cs="Times New Roman"/>
                <w:bCs/>
                <w:lang w:bidi="ar"/>
              </w:rPr>
              <w:fldChar w:fldCharType="begin"/>
            </w:r>
            <w:r>
              <w:rPr>
                <w:rFonts w:cs="Times New Roman"/>
                <w:bCs/>
                <w:lang w:bidi="ar"/>
              </w:rPr>
              <w:instrText xml:space="preserve"> = 3 \* GB3 \* MERGEFORMAT </w:instrText>
            </w:r>
            <w:r>
              <w:rPr>
                <w:rFonts w:cs="Times New Roman"/>
                <w:bCs/>
                <w:lang w:bidi="ar"/>
              </w:rPr>
              <w:fldChar w:fldCharType="separate"/>
            </w:r>
            <w:r>
              <w:rPr>
                <w:rFonts w:hint="eastAsia" w:ascii="宋体" w:hAnsi="宋体" w:cs="宋体"/>
              </w:rPr>
              <w:t>③</w:t>
            </w:r>
            <w:r>
              <w:rPr>
                <w:rFonts w:cs="Times New Roman"/>
                <w:bCs/>
                <w:lang w:bidi="ar"/>
              </w:rPr>
              <w:fldChar w:fldCharType="end"/>
            </w:r>
            <w:r>
              <w:rPr>
                <w:rFonts w:cs="Times New Roman"/>
                <w:bCs/>
                <w:lang w:bidi="ar"/>
              </w:rPr>
              <w:t>三级防控措施：</w:t>
            </w:r>
            <w:r>
              <w:rPr>
                <w:rFonts w:hint="eastAsia" w:ascii="Times New Roman" w:hAnsi="Times New Roman" w:eastAsia="宋体" w:cs="Times New Roman"/>
                <w:bCs/>
                <w:lang w:bidi="ar"/>
              </w:rPr>
              <w:t>厂界雨污水总排口设置封堵气囊封堵雨水、污水总排口，确保消防废水不会流入雨水系统对外界水体造成不利影响。事故状态下立刻报告园区管委会，启动园区应急预案，协助园区开展应急处置工作，依托园区应急物资，快速</w:t>
            </w:r>
            <w:r>
              <w:rPr>
                <w:rFonts w:hint="eastAsia" w:cs="Times New Roman"/>
                <w:bCs/>
                <w:lang w:eastAsia="zh-CN" w:bidi="ar"/>
              </w:rPr>
              <w:t>响应</w:t>
            </w:r>
            <w:r>
              <w:rPr>
                <w:rFonts w:hint="eastAsia" w:ascii="Times New Roman" w:hAnsi="Times New Roman" w:eastAsia="宋体" w:cs="Times New Roman"/>
                <w:bCs/>
                <w:lang w:bidi="ar"/>
              </w:rPr>
              <w:t>。协助园区污水处理厂开展管网内废水监测工作，必要时联系罐车抽运管线内废水运输至园区污水处理厂</w:t>
            </w:r>
            <w:r>
              <w:rPr>
                <w:rFonts w:hint="eastAsia" w:ascii="Times New Roman" w:hAnsi="Times New Roman" w:eastAsia="宋体" w:cs="Times New Roman"/>
                <w:bCs/>
                <w:lang w:val="en-US" w:eastAsia="zh-CN" w:bidi="ar"/>
              </w:rPr>
              <w:t>应急</w:t>
            </w:r>
            <w:r>
              <w:rPr>
                <w:rFonts w:hint="eastAsia" w:ascii="Times New Roman" w:hAnsi="Times New Roman" w:eastAsia="宋体" w:cs="Times New Roman"/>
                <w:bCs/>
                <w:lang w:bidi="ar"/>
              </w:rPr>
              <w:t>池暂存。</w:t>
            </w:r>
          </w:p>
          <w:p w14:paraId="459669CA">
            <w:pPr>
              <w:ind w:firstLine="482"/>
              <w:rPr>
                <w:rFonts w:hint="eastAsia" w:ascii="Times New Roman" w:hAnsi="Times New Roman" w:eastAsia="宋体" w:cs="Times New Roman"/>
                <w:b/>
                <w:bCs/>
                <w:lang w:val="en-US" w:eastAsia="zh-CN" w:bidi="ar"/>
              </w:rPr>
            </w:pPr>
            <w:r>
              <w:rPr>
                <w:rFonts w:hint="eastAsia" w:ascii="Times New Roman" w:hAnsi="Times New Roman" w:eastAsia="宋体" w:cs="Times New Roman"/>
                <w:b/>
                <w:bCs/>
                <w:lang w:val="en-US" w:eastAsia="zh-CN" w:bidi="ar"/>
              </w:rPr>
              <w:t>（5）编制应急预案</w:t>
            </w:r>
          </w:p>
          <w:p w14:paraId="1E4F2085">
            <w:pPr>
              <w:keepNext w:val="0"/>
              <w:keepLines w:val="0"/>
              <w:widowControl/>
              <w:suppressLineNumbers w:val="0"/>
              <w:jc w:val="left"/>
            </w:pPr>
            <w:r>
              <w:rPr>
                <w:rFonts w:hint="eastAsia" w:ascii="宋体" w:hAnsi="宋体" w:eastAsia="宋体" w:cs="宋体"/>
                <w:color w:val="000000"/>
                <w:kern w:val="0"/>
                <w:sz w:val="24"/>
                <w:szCs w:val="24"/>
                <w:lang w:val="en-US" w:eastAsia="zh-CN" w:bidi="ar"/>
              </w:rPr>
              <w:t>制定应急预案的</w:t>
            </w:r>
            <w:r>
              <w:rPr>
                <w:rFonts w:hint="eastAsia" w:ascii="宋体" w:hAnsi="宋体" w:cs="宋体"/>
                <w:color w:val="000000"/>
                <w:kern w:val="0"/>
                <w:sz w:val="24"/>
                <w:szCs w:val="24"/>
                <w:lang w:val="en-US" w:eastAsia="zh-CN" w:bidi="ar"/>
              </w:rPr>
              <w:t>目的是</w:t>
            </w:r>
            <w:r>
              <w:rPr>
                <w:rFonts w:hint="eastAsia" w:ascii="宋体" w:hAnsi="宋体" w:eastAsia="宋体" w:cs="宋体"/>
                <w:color w:val="000000"/>
                <w:kern w:val="0"/>
                <w:sz w:val="24"/>
                <w:szCs w:val="24"/>
                <w:lang w:val="en-US" w:eastAsia="zh-CN" w:bidi="ar"/>
              </w:rPr>
              <w:t>在发生风险事故时，能及时采取相应的措施，以最快的速度发挥最大的效能，有序</w:t>
            </w:r>
            <w:r>
              <w:rPr>
                <w:rFonts w:hint="eastAsia" w:ascii="宋体" w:hAnsi="宋体" w:cs="宋体"/>
                <w:color w:val="000000"/>
                <w:kern w:val="0"/>
                <w:sz w:val="24"/>
                <w:szCs w:val="24"/>
                <w:lang w:val="en-US" w:eastAsia="zh-CN" w:bidi="ar"/>
              </w:rPr>
              <w:t>地</w:t>
            </w:r>
            <w:r>
              <w:rPr>
                <w:rFonts w:hint="eastAsia" w:ascii="宋体" w:hAnsi="宋体" w:eastAsia="宋体" w:cs="宋体"/>
                <w:color w:val="000000"/>
                <w:kern w:val="0"/>
                <w:sz w:val="24"/>
                <w:szCs w:val="24"/>
                <w:lang w:val="en-US" w:eastAsia="zh-CN" w:bidi="ar"/>
              </w:rPr>
              <w:t>实施救援，尽快控制事态的发展，降低事故的危害程度，减少事故造成的损失。建设单位应按照《企业事业单位突发环境事件应急预案备案管理办法（试行）》（环发〔</w:t>
            </w:r>
            <w:r>
              <w:rPr>
                <w:rFonts w:hint="default" w:ascii="Times New Roman" w:hAnsi="Times New Roman" w:eastAsia="宋体" w:cs="Times New Roman"/>
                <w:color w:val="000000"/>
                <w:kern w:val="0"/>
                <w:sz w:val="24"/>
                <w:szCs w:val="24"/>
                <w:lang w:val="en-US" w:eastAsia="zh-CN" w:bidi="ar"/>
              </w:rPr>
              <w:t>2015</w:t>
            </w:r>
            <w:r>
              <w:rPr>
                <w:rFonts w:hint="eastAsia" w:ascii="宋体" w:hAnsi="宋体" w:eastAsia="宋体" w:cs="宋体"/>
                <w:color w:val="000000"/>
                <w:kern w:val="0"/>
                <w:sz w:val="24"/>
                <w:szCs w:val="24"/>
                <w:lang w:val="en-US" w:eastAsia="zh-CN" w:bidi="ar"/>
              </w:rPr>
              <w:t>〕</w:t>
            </w:r>
            <w:r>
              <w:rPr>
                <w:rFonts w:hint="default" w:ascii="Times New Roman" w:hAnsi="Times New Roman" w:eastAsia="宋体" w:cs="Times New Roman"/>
                <w:color w:val="000000"/>
                <w:kern w:val="0"/>
                <w:sz w:val="24"/>
                <w:szCs w:val="24"/>
                <w:lang w:val="en-US" w:eastAsia="zh-CN" w:bidi="ar"/>
              </w:rPr>
              <w:t>4</w:t>
            </w:r>
            <w:r>
              <w:rPr>
                <w:rFonts w:hint="eastAsia" w:ascii="宋体" w:hAnsi="宋体" w:eastAsia="宋体" w:cs="宋体"/>
                <w:color w:val="000000"/>
                <w:kern w:val="0"/>
                <w:sz w:val="24"/>
                <w:szCs w:val="24"/>
                <w:lang w:val="en-US" w:eastAsia="zh-CN" w:bidi="ar"/>
              </w:rPr>
              <w:t>号）、《建设项目环境风险评价技术导则》（</w:t>
            </w:r>
            <w:r>
              <w:rPr>
                <w:rFonts w:hint="default" w:ascii="Times New Roman" w:hAnsi="Times New Roman" w:eastAsia="宋体" w:cs="Times New Roman"/>
                <w:color w:val="000000"/>
                <w:kern w:val="0"/>
                <w:sz w:val="24"/>
                <w:szCs w:val="24"/>
                <w:lang w:val="en-US" w:eastAsia="zh-CN" w:bidi="ar"/>
              </w:rPr>
              <w:t>HJ169-2018</w:t>
            </w:r>
            <w:r>
              <w:rPr>
                <w:rFonts w:hint="eastAsia" w:ascii="宋体" w:hAnsi="宋体" w:eastAsia="宋体" w:cs="宋体"/>
                <w:color w:val="000000"/>
                <w:kern w:val="0"/>
                <w:sz w:val="24"/>
                <w:szCs w:val="24"/>
                <w:lang w:val="en-US" w:eastAsia="zh-CN" w:bidi="ar"/>
              </w:rPr>
              <w:t>）、《企业突发环境事件风险分级方法》（</w:t>
            </w:r>
            <w:r>
              <w:rPr>
                <w:rFonts w:hint="default" w:ascii="Times New Roman" w:hAnsi="Times New Roman" w:eastAsia="宋体" w:cs="Times New Roman"/>
                <w:color w:val="000000"/>
                <w:kern w:val="0"/>
                <w:sz w:val="24"/>
                <w:szCs w:val="24"/>
                <w:lang w:val="en-US" w:eastAsia="zh-CN" w:bidi="ar"/>
              </w:rPr>
              <w:t>HJ 941-2018</w:t>
            </w:r>
            <w:r>
              <w:rPr>
                <w:rFonts w:hint="eastAsia" w:ascii="宋体" w:hAnsi="宋体" w:eastAsia="宋体" w:cs="宋体"/>
                <w:color w:val="000000"/>
                <w:kern w:val="0"/>
                <w:sz w:val="24"/>
                <w:szCs w:val="24"/>
                <w:lang w:val="en-US" w:eastAsia="zh-CN" w:bidi="ar"/>
              </w:rPr>
              <w:t>）、《企业突发环境事件风险评估指南（试行）》（环办〔</w:t>
            </w:r>
            <w:r>
              <w:rPr>
                <w:rFonts w:hint="default" w:ascii="Times New Roman" w:hAnsi="Times New Roman" w:eastAsia="宋体" w:cs="Times New Roman"/>
                <w:color w:val="000000"/>
                <w:kern w:val="0"/>
                <w:sz w:val="24"/>
                <w:szCs w:val="24"/>
                <w:lang w:val="en-US" w:eastAsia="zh-CN" w:bidi="ar"/>
              </w:rPr>
              <w:t>2014</w:t>
            </w:r>
            <w:r>
              <w:rPr>
                <w:rFonts w:hint="eastAsia" w:ascii="宋体" w:hAnsi="宋体" w:eastAsia="宋体" w:cs="宋体"/>
                <w:color w:val="000000"/>
                <w:kern w:val="0"/>
                <w:sz w:val="24"/>
                <w:szCs w:val="24"/>
                <w:lang w:val="en-US" w:eastAsia="zh-CN" w:bidi="ar"/>
              </w:rPr>
              <w:t>〕</w:t>
            </w:r>
            <w:r>
              <w:rPr>
                <w:rFonts w:hint="default" w:ascii="Times New Roman" w:hAnsi="Times New Roman" w:eastAsia="宋体" w:cs="Times New Roman"/>
                <w:color w:val="000000"/>
                <w:kern w:val="0"/>
                <w:sz w:val="24"/>
                <w:szCs w:val="24"/>
                <w:lang w:val="en-US" w:eastAsia="zh-CN" w:bidi="ar"/>
              </w:rPr>
              <w:t xml:space="preserve">34 </w:t>
            </w:r>
            <w:r>
              <w:rPr>
                <w:rFonts w:hint="eastAsia" w:ascii="宋体" w:hAnsi="宋体" w:eastAsia="宋体" w:cs="宋体"/>
                <w:color w:val="000000"/>
                <w:kern w:val="0"/>
                <w:sz w:val="24"/>
                <w:szCs w:val="24"/>
                <w:lang w:val="en-US" w:eastAsia="zh-CN" w:bidi="ar"/>
              </w:rPr>
              <w:t>号）、《环境应急资源调查指南》（环办应急〔</w:t>
            </w:r>
            <w:r>
              <w:rPr>
                <w:rFonts w:hint="default" w:ascii="Times New Roman" w:hAnsi="Times New Roman" w:eastAsia="宋体" w:cs="Times New Roman"/>
                <w:color w:val="000000"/>
                <w:kern w:val="0"/>
                <w:sz w:val="24"/>
                <w:szCs w:val="24"/>
                <w:lang w:val="en-US" w:eastAsia="zh-CN" w:bidi="ar"/>
              </w:rPr>
              <w:t>2019</w:t>
            </w:r>
            <w:r>
              <w:rPr>
                <w:rFonts w:hint="eastAsia" w:ascii="宋体" w:hAnsi="宋体" w:eastAsia="宋体" w:cs="宋体"/>
                <w:color w:val="000000"/>
                <w:kern w:val="0"/>
                <w:sz w:val="24"/>
                <w:szCs w:val="24"/>
                <w:lang w:val="en-US" w:eastAsia="zh-CN" w:bidi="ar"/>
              </w:rPr>
              <w:t>〕</w:t>
            </w:r>
            <w:r>
              <w:rPr>
                <w:rFonts w:hint="default" w:ascii="Times New Roman" w:hAnsi="Times New Roman" w:eastAsia="宋体" w:cs="Times New Roman"/>
                <w:color w:val="000000"/>
                <w:kern w:val="0"/>
                <w:sz w:val="24"/>
                <w:szCs w:val="24"/>
                <w:lang w:val="en-US" w:eastAsia="zh-CN" w:bidi="ar"/>
              </w:rPr>
              <w:t xml:space="preserve">17 </w:t>
            </w:r>
            <w:r>
              <w:rPr>
                <w:rFonts w:hint="eastAsia" w:ascii="宋体" w:hAnsi="宋体" w:eastAsia="宋体" w:cs="宋体"/>
                <w:color w:val="000000"/>
                <w:kern w:val="0"/>
                <w:sz w:val="24"/>
                <w:szCs w:val="24"/>
                <w:lang w:val="en-US" w:eastAsia="zh-CN" w:bidi="ar"/>
              </w:rPr>
              <w:t>号）等相关指南及规范，编制突发环境事件应急预案。</w:t>
            </w:r>
          </w:p>
          <w:p w14:paraId="47A3024B">
            <w:pPr>
              <w:ind w:firstLine="482"/>
              <w:rPr>
                <w:rFonts w:cs="Times New Roman"/>
                <w:b/>
                <w:bCs/>
                <w:lang w:bidi="ar"/>
              </w:rPr>
            </w:pPr>
            <w:r>
              <w:rPr>
                <w:rFonts w:cs="Times New Roman"/>
                <w:b/>
                <w:bCs/>
                <w:lang w:bidi="ar"/>
              </w:rPr>
              <w:t>（</w:t>
            </w:r>
            <w:r>
              <w:rPr>
                <w:rFonts w:hint="eastAsia" w:cs="Times New Roman"/>
                <w:b/>
                <w:bCs/>
                <w:lang w:val="en-US" w:eastAsia="zh-CN" w:bidi="ar"/>
              </w:rPr>
              <w:t>6</w:t>
            </w:r>
            <w:r>
              <w:rPr>
                <w:rFonts w:cs="Times New Roman"/>
                <w:b/>
                <w:bCs/>
                <w:lang w:bidi="ar"/>
              </w:rPr>
              <w:t>）环境风险分析结论</w:t>
            </w:r>
          </w:p>
          <w:p w14:paraId="4FC2C135">
            <w:pPr>
              <w:widowControl/>
              <w:spacing w:line="360" w:lineRule="auto"/>
              <w:ind w:firstLine="480" w:firstLineChars="200"/>
              <w:jc w:val="left"/>
              <w:rPr>
                <w:rFonts w:hint="eastAsia"/>
                <w:color w:val="000000" w:themeColor="text1"/>
                <w:kern w:val="0"/>
                <w:sz w:val="24"/>
                <w:highlight w:val="none"/>
                <w:lang w:bidi="ar"/>
                <w14:textFill>
                  <w14:solidFill>
                    <w14:schemeClr w14:val="tx1"/>
                  </w14:solidFill>
                </w14:textFill>
              </w:rPr>
            </w:pPr>
            <w:r>
              <w:rPr>
                <w:color w:val="000000" w:themeColor="text1"/>
                <w:kern w:val="0"/>
                <w:sz w:val="24"/>
                <w:highlight w:val="none"/>
                <w:lang w:bidi="ar"/>
                <w14:textFill>
                  <w14:solidFill>
                    <w14:schemeClr w14:val="tx1"/>
                  </w14:solidFill>
                </w14:textFill>
              </w:rPr>
              <w:t>本项目环境风险简单分析内容见下表</w:t>
            </w:r>
            <w:r>
              <w:rPr>
                <w:rFonts w:hint="eastAsia"/>
                <w:color w:val="000000" w:themeColor="text1"/>
                <w:kern w:val="0"/>
                <w:sz w:val="24"/>
                <w:highlight w:val="none"/>
                <w:lang w:bidi="ar"/>
                <w14:textFill>
                  <w14:solidFill>
                    <w14:schemeClr w14:val="tx1"/>
                  </w14:solidFill>
                </w14:textFill>
              </w:rPr>
              <w:t>。</w:t>
            </w:r>
          </w:p>
          <w:p w14:paraId="404D0DA8">
            <w:pPr>
              <w:pStyle w:val="14"/>
              <w:jc w:val="center"/>
              <w:rPr>
                <w:b/>
                <w:bCs/>
                <w:color w:val="000000" w:themeColor="text1"/>
                <w:sz w:val="21"/>
                <w:szCs w:val="21"/>
                <w:highlight w:val="none"/>
                <w14:textFill>
                  <w14:solidFill>
                    <w14:schemeClr w14:val="tx1"/>
                  </w14:solidFill>
                </w14:textFill>
              </w:rPr>
            </w:pPr>
            <w:r>
              <w:rPr>
                <w:rFonts w:hint="eastAsia"/>
                <w:b/>
                <w:bCs/>
                <w:color w:val="000000" w:themeColor="text1"/>
                <w:sz w:val="21"/>
                <w:szCs w:val="21"/>
                <w:highlight w:val="none"/>
                <w14:textFill>
                  <w14:solidFill>
                    <w14:schemeClr w14:val="tx1"/>
                  </w14:solidFill>
                </w14:textFill>
              </w:rPr>
              <w:t>表4-</w:t>
            </w:r>
            <w:r>
              <w:rPr>
                <w:rFonts w:hint="eastAsia"/>
                <w:b/>
                <w:bCs/>
                <w:color w:val="000000" w:themeColor="text1"/>
                <w:sz w:val="21"/>
                <w:szCs w:val="21"/>
                <w:highlight w:val="none"/>
                <w:lang w:val="en-US" w:eastAsia="zh-CN"/>
                <w14:textFill>
                  <w14:solidFill>
                    <w14:schemeClr w14:val="tx1"/>
                  </w14:solidFill>
                </w14:textFill>
              </w:rPr>
              <w:t>32</w:t>
            </w:r>
            <w:r>
              <w:rPr>
                <w:rFonts w:hint="eastAsia"/>
                <w:b/>
                <w:bCs/>
                <w:color w:val="000000" w:themeColor="text1"/>
                <w:sz w:val="21"/>
                <w:szCs w:val="21"/>
                <w:highlight w:val="none"/>
                <w14:textFill>
                  <w14:solidFill>
                    <w14:schemeClr w14:val="tx1"/>
                  </w14:solidFill>
                </w14:textFill>
              </w:rPr>
              <w:t xml:space="preserve"> </w:t>
            </w:r>
            <w:r>
              <w:rPr>
                <w:b/>
                <w:bCs/>
                <w:color w:val="000000" w:themeColor="text1"/>
                <w:sz w:val="21"/>
                <w:szCs w:val="21"/>
                <w:highlight w:val="none"/>
                <w14:textFill>
                  <w14:solidFill>
                    <w14:schemeClr w14:val="tx1"/>
                  </w14:solidFill>
                </w14:textFill>
              </w:rPr>
              <w:t>建设项目环境风险简单分析内容表</w:t>
            </w:r>
          </w:p>
          <w:tbl>
            <w:tblPr>
              <w:tblStyle w:val="26"/>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75"/>
              <w:gridCol w:w="1079"/>
              <w:gridCol w:w="2319"/>
              <w:gridCol w:w="1136"/>
              <w:gridCol w:w="2493"/>
            </w:tblGrid>
            <w:tr w14:paraId="75DFE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1008" w:type="pct"/>
                  <w:noWrap w:val="0"/>
                  <w:vAlign w:val="center"/>
                </w:tcPr>
                <w:p w14:paraId="6FA4FF38">
                  <w:pPr>
                    <w:pStyle w:val="59"/>
                    <w:keepNext w:val="0"/>
                    <w:keepLines w:val="0"/>
                    <w:pageBreakBefore w:val="0"/>
                    <w:kinsoku/>
                    <w:wordWrap/>
                    <w:overflowPunct/>
                    <w:topLinePunct w:val="0"/>
                    <w:bidi w:val="0"/>
                    <w:snapToGrid/>
                    <w:spacing w:before="0" w:after="0" w:line="240" w:lineRule="auto"/>
                    <w:ind w:firstLine="0" w:firstLineChars="0"/>
                    <w:rPr>
                      <w:b/>
                      <w:bCs/>
                      <w:color w:val="000000" w:themeColor="text1"/>
                      <w:sz w:val="21"/>
                      <w:szCs w:val="21"/>
                      <w:highlight w:val="none"/>
                      <w14:textFill>
                        <w14:solidFill>
                          <w14:schemeClr w14:val="tx1"/>
                        </w14:solidFill>
                      </w14:textFill>
                    </w:rPr>
                  </w:pPr>
                  <w:r>
                    <w:rPr>
                      <w:b/>
                      <w:bCs/>
                      <w:color w:val="000000" w:themeColor="text1"/>
                      <w:sz w:val="21"/>
                      <w:szCs w:val="21"/>
                      <w:highlight w:val="none"/>
                      <w14:textFill>
                        <w14:solidFill>
                          <w14:schemeClr w14:val="tx1"/>
                        </w14:solidFill>
                      </w14:textFill>
                    </w:rPr>
                    <w:t>建设项目名称</w:t>
                  </w:r>
                </w:p>
              </w:tc>
              <w:tc>
                <w:tcPr>
                  <w:tcW w:w="3991" w:type="pct"/>
                  <w:gridSpan w:val="4"/>
                  <w:noWrap w:val="0"/>
                  <w:vAlign w:val="center"/>
                </w:tcPr>
                <w:p w14:paraId="064FBC4A">
                  <w:pPr>
                    <w:pStyle w:val="59"/>
                    <w:keepNext w:val="0"/>
                    <w:keepLines w:val="0"/>
                    <w:pageBreakBefore w:val="0"/>
                    <w:kinsoku/>
                    <w:wordWrap/>
                    <w:overflowPunct/>
                    <w:topLinePunct w:val="0"/>
                    <w:bidi w:val="0"/>
                    <w:snapToGrid/>
                    <w:spacing w:before="0" w:after="0" w:line="240" w:lineRule="auto"/>
                    <w:ind w:firstLine="0" w:firstLineChars="0"/>
                    <w:rPr>
                      <w:color w:val="000000" w:themeColor="text1"/>
                      <w:sz w:val="21"/>
                      <w:szCs w:val="21"/>
                      <w:highlight w:val="none"/>
                      <w14:textFill>
                        <w14:solidFill>
                          <w14:schemeClr w14:val="tx1"/>
                        </w14:solidFill>
                      </w14:textFill>
                    </w:rPr>
                  </w:pPr>
                  <w:r>
                    <w:rPr>
                      <w:rFonts w:hint="eastAsia" w:ascii="宋体" w:cs="宋体"/>
                      <w:kern w:val="0"/>
                      <w:sz w:val="21"/>
                      <w:szCs w:val="21"/>
                      <w:lang w:eastAsia="zh-CN"/>
                    </w:rPr>
                    <w:t>巴中瑞成环保科技有限公司水基岩屑综合利用及处理项目</w:t>
                  </w:r>
                </w:p>
              </w:tc>
            </w:tr>
            <w:tr w14:paraId="111A7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1008" w:type="pct"/>
                  <w:noWrap w:val="0"/>
                  <w:vAlign w:val="center"/>
                </w:tcPr>
                <w:p w14:paraId="423887C8">
                  <w:pPr>
                    <w:pStyle w:val="59"/>
                    <w:keepNext w:val="0"/>
                    <w:keepLines w:val="0"/>
                    <w:pageBreakBefore w:val="0"/>
                    <w:kinsoku/>
                    <w:wordWrap/>
                    <w:overflowPunct/>
                    <w:topLinePunct w:val="0"/>
                    <w:bidi w:val="0"/>
                    <w:snapToGrid/>
                    <w:spacing w:before="0" w:after="0" w:line="240" w:lineRule="auto"/>
                    <w:ind w:firstLine="0" w:firstLineChars="0"/>
                    <w:rPr>
                      <w:b/>
                      <w:bCs/>
                      <w:color w:val="000000" w:themeColor="text1"/>
                      <w:sz w:val="21"/>
                      <w:szCs w:val="21"/>
                      <w:highlight w:val="none"/>
                      <w14:textFill>
                        <w14:solidFill>
                          <w14:schemeClr w14:val="tx1"/>
                        </w14:solidFill>
                      </w14:textFill>
                    </w:rPr>
                  </w:pPr>
                  <w:r>
                    <w:rPr>
                      <w:b/>
                      <w:bCs/>
                      <w:color w:val="000000" w:themeColor="text1"/>
                      <w:sz w:val="21"/>
                      <w:szCs w:val="21"/>
                      <w:highlight w:val="none"/>
                      <w14:textFill>
                        <w14:solidFill>
                          <w14:schemeClr w14:val="tx1"/>
                        </w14:solidFill>
                      </w14:textFill>
                    </w:rPr>
                    <w:t>建设地点</w:t>
                  </w:r>
                </w:p>
              </w:tc>
              <w:tc>
                <w:tcPr>
                  <w:tcW w:w="613" w:type="pct"/>
                  <w:noWrap w:val="0"/>
                  <w:vAlign w:val="center"/>
                </w:tcPr>
                <w:p w14:paraId="1EBB3CF1">
                  <w:pPr>
                    <w:pStyle w:val="59"/>
                    <w:keepNext w:val="0"/>
                    <w:keepLines w:val="0"/>
                    <w:pageBreakBefore w:val="0"/>
                    <w:kinsoku/>
                    <w:wordWrap/>
                    <w:overflowPunct/>
                    <w:topLinePunct w:val="0"/>
                    <w:bidi w:val="0"/>
                    <w:snapToGrid/>
                    <w:spacing w:before="0" w:after="0" w:line="240" w:lineRule="auto"/>
                    <w:ind w:firstLine="0" w:firstLineChars="0"/>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四川省</w:t>
                  </w:r>
                </w:p>
              </w:tc>
              <w:tc>
                <w:tcPr>
                  <w:tcW w:w="1317" w:type="pct"/>
                  <w:noWrap w:val="0"/>
                  <w:vAlign w:val="center"/>
                </w:tcPr>
                <w:p w14:paraId="138D433C">
                  <w:pPr>
                    <w:pStyle w:val="59"/>
                    <w:keepNext w:val="0"/>
                    <w:keepLines w:val="0"/>
                    <w:pageBreakBefore w:val="0"/>
                    <w:kinsoku/>
                    <w:wordWrap/>
                    <w:overflowPunct/>
                    <w:topLinePunct w:val="0"/>
                    <w:bidi w:val="0"/>
                    <w:snapToGrid/>
                    <w:spacing w:before="0" w:after="0" w:line="240" w:lineRule="auto"/>
                    <w:ind w:firstLine="0" w:firstLineChars="0"/>
                    <w:rPr>
                      <w:rFonts w:hint="eastAsia" w:eastAsia="宋体"/>
                      <w:color w:val="000000" w:themeColor="text1"/>
                      <w:sz w:val="21"/>
                      <w:szCs w:val="21"/>
                      <w:highlight w:val="none"/>
                      <w:lang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巴中市</w:t>
                  </w:r>
                </w:p>
              </w:tc>
              <w:tc>
                <w:tcPr>
                  <w:tcW w:w="645" w:type="pct"/>
                  <w:noWrap w:val="0"/>
                  <w:vAlign w:val="center"/>
                </w:tcPr>
                <w:p w14:paraId="317B25DB">
                  <w:pPr>
                    <w:pStyle w:val="59"/>
                    <w:keepNext w:val="0"/>
                    <w:keepLines w:val="0"/>
                    <w:pageBreakBefore w:val="0"/>
                    <w:kinsoku/>
                    <w:wordWrap/>
                    <w:overflowPunct/>
                    <w:topLinePunct w:val="0"/>
                    <w:bidi w:val="0"/>
                    <w:snapToGrid/>
                    <w:spacing w:before="0" w:after="0" w:line="240" w:lineRule="auto"/>
                    <w:ind w:firstLine="0" w:firstLineChars="0"/>
                    <w:rPr>
                      <w:rFonts w:hint="eastAsia" w:eastAsia="宋体"/>
                      <w:color w:val="000000" w:themeColor="text1"/>
                      <w:sz w:val="21"/>
                      <w:szCs w:val="21"/>
                      <w:highlight w:val="none"/>
                      <w:lang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平昌县</w:t>
                  </w:r>
                </w:p>
              </w:tc>
              <w:tc>
                <w:tcPr>
                  <w:tcW w:w="1415" w:type="pct"/>
                  <w:noWrap w:val="0"/>
                  <w:vAlign w:val="center"/>
                </w:tcPr>
                <w:p w14:paraId="6B810F27">
                  <w:pPr>
                    <w:pStyle w:val="59"/>
                    <w:keepNext w:val="0"/>
                    <w:keepLines w:val="0"/>
                    <w:pageBreakBefore w:val="0"/>
                    <w:kinsoku/>
                    <w:wordWrap/>
                    <w:overflowPunct/>
                    <w:topLinePunct w:val="0"/>
                    <w:bidi w:val="0"/>
                    <w:snapToGrid/>
                    <w:spacing w:before="0" w:after="0" w:line="240" w:lineRule="auto"/>
                    <w:ind w:firstLine="0" w:firstLineChars="0"/>
                    <w:rPr>
                      <w:rFonts w:hint="default" w:eastAsia="宋体"/>
                      <w:color w:val="000000" w:themeColor="text1"/>
                      <w:sz w:val="21"/>
                      <w:szCs w:val="21"/>
                      <w:highlight w:val="none"/>
                      <w:lang w:val="en-US" w:eastAsia="zh-CN"/>
                      <w14:textFill>
                        <w14:solidFill>
                          <w14:schemeClr w14:val="tx1"/>
                        </w14:solidFill>
                      </w14:textFill>
                    </w:rPr>
                  </w:pPr>
                  <w:r>
                    <w:rPr>
                      <w:rFonts w:hint="eastAsia"/>
                      <w:sz w:val="21"/>
                      <w:szCs w:val="21"/>
                    </w:rPr>
                    <w:t>星光工业园施迈路</w:t>
                  </w:r>
                  <w:r>
                    <w:rPr>
                      <w:sz w:val="21"/>
                      <w:szCs w:val="21"/>
                    </w:rPr>
                    <w:t>1</w:t>
                  </w:r>
                  <w:r>
                    <w:rPr>
                      <w:rFonts w:hint="eastAsia"/>
                      <w:sz w:val="21"/>
                      <w:szCs w:val="21"/>
                    </w:rPr>
                    <w:t>号</w:t>
                  </w:r>
                </w:p>
              </w:tc>
            </w:tr>
            <w:tr w14:paraId="11CA6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08" w:type="pct"/>
                  <w:noWrap w:val="0"/>
                  <w:vAlign w:val="center"/>
                </w:tcPr>
                <w:p w14:paraId="008042C7">
                  <w:pPr>
                    <w:pStyle w:val="59"/>
                    <w:keepNext w:val="0"/>
                    <w:keepLines w:val="0"/>
                    <w:pageBreakBefore w:val="0"/>
                    <w:kinsoku/>
                    <w:wordWrap/>
                    <w:overflowPunct/>
                    <w:topLinePunct w:val="0"/>
                    <w:bidi w:val="0"/>
                    <w:snapToGrid/>
                    <w:spacing w:before="0" w:after="0" w:line="240" w:lineRule="auto"/>
                    <w:ind w:firstLine="0" w:firstLineChars="0"/>
                    <w:rPr>
                      <w:b/>
                      <w:bCs/>
                      <w:color w:val="000000" w:themeColor="text1"/>
                      <w:sz w:val="21"/>
                      <w:szCs w:val="21"/>
                      <w:highlight w:val="none"/>
                      <w14:textFill>
                        <w14:solidFill>
                          <w14:schemeClr w14:val="tx1"/>
                        </w14:solidFill>
                      </w14:textFill>
                    </w:rPr>
                  </w:pPr>
                  <w:r>
                    <w:rPr>
                      <w:b/>
                      <w:bCs/>
                      <w:color w:val="000000" w:themeColor="text1"/>
                      <w:sz w:val="21"/>
                      <w:szCs w:val="21"/>
                      <w:highlight w:val="none"/>
                      <w14:textFill>
                        <w14:solidFill>
                          <w14:schemeClr w14:val="tx1"/>
                        </w14:solidFill>
                      </w14:textFill>
                    </w:rPr>
                    <w:t>地理坐标</w:t>
                  </w:r>
                </w:p>
              </w:tc>
              <w:tc>
                <w:tcPr>
                  <w:tcW w:w="613" w:type="pct"/>
                  <w:noWrap w:val="0"/>
                  <w:vAlign w:val="center"/>
                </w:tcPr>
                <w:p w14:paraId="0CE8794B">
                  <w:pPr>
                    <w:pStyle w:val="59"/>
                    <w:keepNext w:val="0"/>
                    <w:keepLines w:val="0"/>
                    <w:pageBreakBefore w:val="0"/>
                    <w:kinsoku/>
                    <w:wordWrap/>
                    <w:overflowPunct/>
                    <w:topLinePunct w:val="0"/>
                    <w:bidi w:val="0"/>
                    <w:snapToGrid/>
                    <w:spacing w:before="0" w:after="0" w:line="240" w:lineRule="auto"/>
                    <w:ind w:firstLine="0" w:firstLineChars="0"/>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经度</w:t>
                  </w:r>
                </w:p>
              </w:tc>
              <w:tc>
                <w:tcPr>
                  <w:tcW w:w="1317" w:type="pct"/>
                  <w:noWrap w:val="0"/>
                  <w:vAlign w:val="center"/>
                </w:tcPr>
                <w:p w14:paraId="2BF7DDC9">
                  <w:pPr>
                    <w:keepNext w:val="0"/>
                    <w:keepLines w:val="0"/>
                    <w:pageBreakBefore w:val="0"/>
                    <w:kinsoku/>
                    <w:wordWrap/>
                    <w:overflowPunct/>
                    <w:topLinePunct w:val="0"/>
                    <w:bidi w:val="0"/>
                    <w:snapToGrid/>
                    <w:spacing w:line="240" w:lineRule="auto"/>
                    <w:ind w:firstLine="0" w:firstLineChars="0"/>
                    <w:jc w:val="center"/>
                    <w:rPr>
                      <w:color w:val="000000" w:themeColor="text1"/>
                      <w:sz w:val="21"/>
                      <w:szCs w:val="21"/>
                      <w:highlight w:val="none"/>
                      <w:u w:val="none"/>
                      <w14:textFill>
                        <w14:solidFill>
                          <w14:schemeClr w14:val="tx1"/>
                        </w14:solidFill>
                      </w14:textFill>
                    </w:rPr>
                  </w:pPr>
                  <w:r>
                    <w:rPr>
                      <w:rFonts w:hint="eastAsia" w:ascii="Times New Roman" w:hAnsi="Times New Roman" w:cs="Times New Roman"/>
                      <w:caps w:val="0"/>
                      <w:color w:val="000000" w:themeColor="text1"/>
                      <w:sz w:val="21"/>
                      <w:szCs w:val="21"/>
                      <w:highlight w:val="none"/>
                      <w:u w:val="none"/>
                      <w:lang w:val="en-US" w:eastAsia="zh-CN"/>
                      <w14:textFill>
                        <w14:solidFill>
                          <w14:schemeClr w14:val="tx1"/>
                        </w14:solidFill>
                      </w14:textFill>
                    </w:rPr>
                    <w:t>1</w:t>
                  </w:r>
                  <w:r>
                    <w:rPr>
                      <w:rFonts w:hint="default" w:ascii="Times New Roman" w:hAnsi="Times New Roman" w:cs="Times New Roman"/>
                      <w:caps w:val="0"/>
                      <w:color w:val="000000" w:themeColor="text1"/>
                      <w:sz w:val="21"/>
                      <w:szCs w:val="21"/>
                      <w:highlight w:val="none"/>
                      <w:u w:val="none"/>
                      <w14:textFill>
                        <w14:solidFill>
                          <w14:schemeClr w14:val="tx1"/>
                        </w14:solidFill>
                      </w14:textFill>
                    </w:rPr>
                    <w:t>0</w:t>
                  </w:r>
                  <w:r>
                    <w:rPr>
                      <w:rFonts w:hint="eastAsia" w:cs="Times New Roman"/>
                      <w:caps w:val="0"/>
                      <w:color w:val="000000" w:themeColor="text1"/>
                      <w:sz w:val="21"/>
                      <w:szCs w:val="21"/>
                      <w:highlight w:val="none"/>
                      <w:u w:val="none"/>
                      <w:lang w:val="en-US" w:eastAsia="zh-CN"/>
                      <w14:textFill>
                        <w14:solidFill>
                          <w14:schemeClr w14:val="tx1"/>
                        </w14:solidFill>
                      </w14:textFill>
                    </w:rPr>
                    <w:t>7</w:t>
                  </w:r>
                  <w:r>
                    <w:rPr>
                      <w:rFonts w:hint="default" w:ascii="Times New Roman" w:hAnsi="Times New Roman" w:cs="Times New Roman"/>
                      <w:caps w:val="0"/>
                      <w:color w:val="000000" w:themeColor="text1"/>
                      <w:sz w:val="21"/>
                      <w:szCs w:val="21"/>
                      <w:highlight w:val="none"/>
                      <w:u w:val="none"/>
                      <w14:textFill>
                        <w14:solidFill>
                          <w14:schemeClr w14:val="tx1"/>
                        </w14:solidFill>
                      </w14:textFill>
                    </w:rPr>
                    <w:t>度</w:t>
                  </w:r>
                  <w:r>
                    <w:rPr>
                      <w:rFonts w:hint="eastAsia" w:cs="Times New Roman"/>
                      <w:caps w:val="0"/>
                      <w:color w:val="000000" w:themeColor="text1"/>
                      <w:sz w:val="21"/>
                      <w:szCs w:val="21"/>
                      <w:highlight w:val="none"/>
                      <w:u w:val="none"/>
                      <w:lang w:val="en-US" w:eastAsia="zh-CN"/>
                      <w14:textFill>
                        <w14:solidFill>
                          <w14:schemeClr w14:val="tx1"/>
                        </w14:solidFill>
                      </w14:textFill>
                    </w:rPr>
                    <w:t>8</w:t>
                  </w:r>
                  <w:r>
                    <w:rPr>
                      <w:rFonts w:hint="default" w:ascii="Times New Roman" w:hAnsi="Times New Roman" w:cs="Times New Roman"/>
                      <w:caps w:val="0"/>
                      <w:color w:val="000000" w:themeColor="text1"/>
                      <w:sz w:val="21"/>
                      <w:szCs w:val="21"/>
                      <w:highlight w:val="none"/>
                      <w:u w:val="none"/>
                      <w14:textFill>
                        <w14:solidFill>
                          <w14:schemeClr w14:val="tx1"/>
                        </w14:solidFill>
                      </w14:textFill>
                    </w:rPr>
                    <w:t>分</w:t>
                  </w:r>
                  <w:r>
                    <w:rPr>
                      <w:rFonts w:hint="eastAsia" w:cs="Times New Roman"/>
                      <w:caps w:val="0"/>
                      <w:color w:val="000000" w:themeColor="text1"/>
                      <w:sz w:val="21"/>
                      <w:szCs w:val="21"/>
                      <w:highlight w:val="none"/>
                      <w:u w:val="none"/>
                      <w:lang w:val="en-US" w:eastAsia="zh-CN"/>
                      <w14:textFill>
                        <w14:solidFill>
                          <w14:schemeClr w14:val="tx1"/>
                        </w14:solidFill>
                      </w14:textFill>
                    </w:rPr>
                    <w:t>17.472</w:t>
                  </w:r>
                  <w:r>
                    <w:rPr>
                      <w:rFonts w:hint="default" w:ascii="Times New Roman" w:hAnsi="Times New Roman" w:cs="Times New Roman"/>
                      <w:caps w:val="0"/>
                      <w:color w:val="000000" w:themeColor="text1"/>
                      <w:sz w:val="21"/>
                      <w:szCs w:val="21"/>
                      <w:highlight w:val="none"/>
                      <w:u w:val="none"/>
                      <w14:textFill>
                        <w14:solidFill>
                          <w14:schemeClr w14:val="tx1"/>
                        </w14:solidFill>
                      </w14:textFill>
                    </w:rPr>
                    <w:t>秒</w:t>
                  </w:r>
                </w:p>
              </w:tc>
              <w:tc>
                <w:tcPr>
                  <w:tcW w:w="645" w:type="pct"/>
                  <w:noWrap w:val="0"/>
                  <w:vAlign w:val="center"/>
                </w:tcPr>
                <w:p w14:paraId="258EB04E">
                  <w:pPr>
                    <w:keepNext w:val="0"/>
                    <w:keepLines w:val="0"/>
                    <w:pageBreakBefore w:val="0"/>
                    <w:kinsoku/>
                    <w:wordWrap/>
                    <w:overflowPunct/>
                    <w:topLinePunct w:val="0"/>
                    <w:bidi w:val="0"/>
                    <w:snapToGrid/>
                    <w:spacing w:line="240" w:lineRule="auto"/>
                    <w:ind w:firstLine="0" w:firstLineChars="0"/>
                    <w:jc w:val="center"/>
                    <w:rPr>
                      <w:color w:val="000000" w:themeColor="text1"/>
                      <w:sz w:val="21"/>
                      <w:szCs w:val="21"/>
                      <w:highlight w:val="none"/>
                      <w:u w:val="none"/>
                      <w14:textFill>
                        <w14:solidFill>
                          <w14:schemeClr w14:val="tx1"/>
                        </w14:solidFill>
                      </w14:textFill>
                    </w:rPr>
                  </w:pPr>
                  <w:r>
                    <w:rPr>
                      <w:color w:val="000000" w:themeColor="text1"/>
                      <w:sz w:val="21"/>
                      <w:szCs w:val="21"/>
                      <w:highlight w:val="none"/>
                      <w:u w:val="none"/>
                      <w14:textFill>
                        <w14:solidFill>
                          <w14:schemeClr w14:val="tx1"/>
                        </w14:solidFill>
                      </w14:textFill>
                    </w:rPr>
                    <w:t>纬度</w:t>
                  </w:r>
                </w:p>
              </w:tc>
              <w:tc>
                <w:tcPr>
                  <w:tcW w:w="1415" w:type="pct"/>
                  <w:noWrap w:val="0"/>
                  <w:vAlign w:val="center"/>
                </w:tcPr>
                <w:p w14:paraId="29692558">
                  <w:pPr>
                    <w:keepNext w:val="0"/>
                    <w:keepLines w:val="0"/>
                    <w:pageBreakBefore w:val="0"/>
                    <w:kinsoku/>
                    <w:wordWrap/>
                    <w:overflowPunct/>
                    <w:topLinePunct w:val="0"/>
                    <w:bidi w:val="0"/>
                    <w:snapToGrid/>
                    <w:spacing w:line="240" w:lineRule="auto"/>
                    <w:ind w:firstLine="0" w:firstLineChars="0"/>
                    <w:jc w:val="center"/>
                    <w:rPr>
                      <w:rFonts w:hint="default"/>
                      <w:color w:val="000000" w:themeColor="text1"/>
                      <w:sz w:val="21"/>
                      <w:szCs w:val="21"/>
                      <w:highlight w:val="none"/>
                      <w:u w:val="none"/>
                      <w:lang w:val="en-US"/>
                      <w14:textFill>
                        <w14:solidFill>
                          <w14:schemeClr w14:val="tx1"/>
                        </w14:solidFill>
                      </w14:textFill>
                    </w:rPr>
                  </w:pPr>
                  <w:r>
                    <w:rPr>
                      <w:rFonts w:hint="eastAsia" w:cs="Times New Roman"/>
                      <w:caps w:val="0"/>
                      <w:color w:val="000000" w:themeColor="text1"/>
                      <w:sz w:val="21"/>
                      <w:szCs w:val="21"/>
                      <w:highlight w:val="none"/>
                      <w:u w:val="none"/>
                      <w:lang w:val="en-US" w:eastAsia="zh-CN"/>
                      <w14:textFill>
                        <w14:solidFill>
                          <w14:schemeClr w14:val="tx1"/>
                        </w14:solidFill>
                      </w14:textFill>
                    </w:rPr>
                    <w:t>31</w:t>
                  </w:r>
                  <w:r>
                    <w:rPr>
                      <w:rFonts w:hint="default" w:ascii="Times New Roman" w:hAnsi="Times New Roman" w:cs="Times New Roman"/>
                      <w:caps w:val="0"/>
                      <w:color w:val="000000" w:themeColor="text1"/>
                      <w:sz w:val="21"/>
                      <w:szCs w:val="21"/>
                      <w:highlight w:val="none"/>
                      <w:u w:val="none"/>
                      <w14:textFill>
                        <w14:solidFill>
                          <w14:schemeClr w14:val="tx1"/>
                        </w14:solidFill>
                      </w14:textFill>
                    </w:rPr>
                    <w:t>度</w:t>
                  </w:r>
                  <w:r>
                    <w:rPr>
                      <w:rFonts w:hint="eastAsia" w:cs="Times New Roman"/>
                      <w:caps w:val="0"/>
                      <w:color w:val="000000" w:themeColor="text1"/>
                      <w:sz w:val="21"/>
                      <w:szCs w:val="21"/>
                      <w:highlight w:val="none"/>
                      <w:u w:val="none"/>
                      <w:lang w:val="en-US" w:eastAsia="zh-CN"/>
                      <w14:textFill>
                        <w14:solidFill>
                          <w14:schemeClr w14:val="tx1"/>
                        </w14:solidFill>
                      </w14:textFill>
                    </w:rPr>
                    <w:t>31</w:t>
                  </w:r>
                  <w:r>
                    <w:rPr>
                      <w:rFonts w:hint="default" w:ascii="Times New Roman" w:hAnsi="Times New Roman" w:cs="Times New Roman"/>
                      <w:caps w:val="0"/>
                      <w:color w:val="000000" w:themeColor="text1"/>
                      <w:sz w:val="21"/>
                      <w:szCs w:val="21"/>
                      <w:highlight w:val="none"/>
                      <w:u w:val="none"/>
                      <w14:textFill>
                        <w14:solidFill>
                          <w14:schemeClr w14:val="tx1"/>
                        </w14:solidFill>
                      </w14:textFill>
                    </w:rPr>
                    <w:t>分</w:t>
                  </w:r>
                  <w:r>
                    <w:rPr>
                      <w:rFonts w:hint="eastAsia" w:cs="Times New Roman"/>
                      <w:caps w:val="0"/>
                      <w:color w:val="000000" w:themeColor="text1"/>
                      <w:sz w:val="21"/>
                      <w:szCs w:val="21"/>
                      <w:highlight w:val="none"/>
                      <w:u w:val="none"/>
                      <w:lang w:val="en-US" w:eastAsia="zh-CN"/>
                      <w14:textFill>
                        <w14:solidFill>
                          <w14:schemeClr w14:val="tx1"/>
                        </w14:solidFill>
                      </w14:textFill>
                    </w:rPr>
                    <w:t>55.248秒</w:t>
                  </w:r>
                </w:p>
              </w:tc>
            </w:tr>
            <w:tr w14:paraId="2BF69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1008" w:type="pct"/>
                  <w:noWrap w:val="0"/>
                  <w:vAlign w:val="center"/>
                </w:tcPr>
                <w:p w14:paraId="19A0E906">
                  <w:pPr>
                    <w:pStyle w:val="59"/>
                    <w:keepNext w:val="0"/>
                    <w:keepLines w:val="0"/>
                    <w:pageBreakBefore w:val="0"/>
                    <w:kinsoku/>
                    <w:wordWrap/>
                    <w:overflowPunct/>
                    <w:topLinePunct w:val="0"/>
                    <w:bidi w:val="0"/>
                    <w:snapToGrid/>
                    <w:spacing w:before="0" w:after="0" w:line="240" w:lineRule="auto"/>
                    <w:ind w:firstLine="0" w:firstLineChars="0"/>
                    <w:rPr>
                      <w:b/>
                      <w:bCs/>
                      <w:color w:val="000000" w:themeColor="text1"/>
                      <w:sz w:val="21"/>
                      <w:szCs w:val="21"/>
                      <w:highlight w:val="none"/>
                      <w14:textFill>
                        <w14:solidFill>
                          <w14:schemeClr w14:val="tx1"/>
                        </w14:solidFill>
                      </w14:textFill>
                    </w:rPr>
                  </w:pPr>
                  <w:r>
                    <w:rPr>
                      <w:b/>
                      <w:bCs/>
                      <w:color w:val="000000" w:themeColor="text1"/>
                      <w:sz w:val="21"/>
                      <w:szCs w:val="21"/>
                      <w:highlight w:val="none"/>
                      <w14:textFill>
                        <w14:solidFill>
                          <w14:schemeClr w14:val="tx1"/>
                        </w14:solidFill>
                      </w14:textFill>
                    </w:rPr>
                    <w:t>主要危险物质及分布</w:t>
                  </w:r>
                </w:p>
              </w:tc>
              <w:tc>
                <w:tcPr>
                  <w:tcW w:w="3991" w:type="pct"/>
                  <w:gridSpan w:val="4"/>
                  <w:noWrap w:val="0"/>
                  <w:vAlign w:val="center"/>
                </w:tcPr>
                <w:p w14:paraId="1DB8EE2B">
                  <w:pPr>
                    <w:pStyle w:val="59"/>
                    <w:keepNext w:val="0"/>
                    <w:keepLines w:val="0"/>
                    <w:pageBreakBefore w:val="0"/>
                    <w:kinsoku/>
                    <w:wordWrap/>
                    <w:overflowPunct/>
                    <w:topLinePunct w:val="0"/>
                    <w:bidi w:val="0"/>
                    <w:snapToGrid/>
                    <w:spacing w:before="0" w:after="0" w:line="240" w:lineRule="auto"/>
                    <w:ind w:firstLine="0" w:firstLineChars="0"/>
                    <w:rPr>
                      <w:rFonts w:hint="default" w:eastAsia="宋体"/>
                      <w:color w:val="000000" w:themeColor="text1"/>
                      <w:sz w:val="21"/>
                      <w:szCs w:val="21"/>
                      <w:highlight w:val="none"/>
                      <w:lang w:val="en-US" w:eastAsia="zh-CN"/>
                      <w14:textFill>
                        <w14:solidFill>
                          <w14:schemeClr w14:val="tx1"/>
                        </w14:solidFill>
                      </w14:textFill>
                    </w:rPr>
                  </w:pPr>
                  <w:r>
                    <w:rPr>
                      <w:color w:val="000000" w:themeColor="text1"/>
                      <w:sz w:val="21"/>
                      <w:szCs w:val="21"/>
                      <w:highlight w:val="none"/>
                      <w14:textFill>
                        <w14:solidFill>
                          <w14:schemeClr w14:val="tx1"/>
                        </w14:solidFill>
                      </w14:textFill>
                    </w:rPr>
                    <w:t>主要危险物质：</w:t>
                  </w:r>
                  <w:r>
                    <w:rPr>
                      <w:rFonts w:hint="eastAsia"/>
                      <w:color w:val="000000" w:themeColor="text1"/>
                      <w:sz w:val="21"/>
                      <w:szCs w:val="21"/>
                      <w:highlight w:val="none"/>
                      <w:lang w:val="en-US" w:eastAsia="zh-CN"/>
                      <w14:textFill>
                        <w14:solidFill>
                          <w14:schemeClr w14:val="tx1"/>
                        </w14:solidFill>
                      </w14:textFill>
                    </w:rPr>
                    <w:t>机油、废机油</w:t>
                  </w:r>
                </w:p>
                <w:p w14:paraId="176750F6">
                  <w:pPr>
                    <w:pStyle w:val="60"/>
                    <w:keepNext w:val="0"/>
                    <w:keepLines w:val="0"/>
                    <w:pageBreakBefore w:val="0"/>
                    <w:kinsoku/>
                    <w:wordWrap/>
                    <w:overflowPunct/>
                    <w:topLinePunct w:val="0"/>
                    <w:bidi w:val="0"/>
                    <w:snapToGrid/>
                    <w:spacing w:line="240" w:lineRule="auto"/>
                    <w:ind w:firstLine="0" w:firstLineChars="0"/>
                    <w:jc w:val="center"/>
                    <w:rPr>
                      <w:rFonts w:hint="default" w:eastAsia="宋体"/>
                      <w:color w:val="000000" w:themeColor="text1"/>
                      <w:sz w:val="21"/>
                      <w:szCs w:val="21"/>
                      <w:highlight w:val="none"/>
                      <w:lang w:val="en-US" w:eastAsia="zh-CN"/>
                      <w14:textFill>
                        <w14:solidFill>
                          <w14:schemeClr w14:val="tx1"/>
                        </w14:solidFill>
                      </w14:textFill>
                    </w:rPr>
                  </w:pPr>
                  <w:r>
                    <w:rPr>
                      <w:color w:val="000000" w:themeColor="text1"/>
                      <w:sz w:val="21"/>
                      <w:szCs w:val="21"/>
                      <w:highlight w:val="none"/>
                      <w14:textFill>
                        <w14:solidFill>
                          <w14:schemeClr w14:val="tx1"/>
                        </w14:solidFill>
                      </w14:textFill>
                    </w:rPr>
                    <w:t>危险物质分布：</w:t>
                  </w:r>
                  <w:r>
                    <w:rPr>
                      <w:rFonts w:hint="eastAsia"/>
                      <w:color w:val="000000" w:themeColor="text1"/>
                      <w:sz w:val="21"/>
                      <w:szCs w:val="21"/>
                      <w:highlight w:val="none"/>
                      <w:lang w:val="en-US" w:eastAsia="zh-CN"/>
                      <w14:textFill>
                        <w14:solidFill>
                          <w14:schemeClr w14:val="tx1"/>
                        </w14:solidFill>
                      </w14:textFill>
                    </w:rPr>
                    <w:t>3号厂房、危废暂存间</w:t>
                  </w:r>
                </w:p>
              </w:tc>
            </w:tr>
            <w:tr w14:paraId="2B22C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1008" w:type="pct"/>
                  <w:noWrap w:val="0"/>
                  <w:vAlign w:val="center"/>
                </w:tcPr>
                <w:p w14:paraId="1BBFAFCA">
                  <w:pPr>
                    <w:pStyle w:val="59"/>
                    <w:keepNext w:val="0"/>
                    <w:keepLines w:val="0"/>
                    <w:pageBreakBefore w:val="0"/>
                    <w:kinsoku/>
                    <w:wordWrap/>
                    <w:overflowPunct/>
                    <w:topLinePunct w:val="0"/>
                    <w:bidi w:val="0"/>
                    <w:snapToGrid/>
                    <w:spacing w:before="0" w:after="0" w:line="240" w:lineRule="auto"/>
                    <w:ind w:firstLine="0" w:firstLineChars="0"/>
                    <w:rPr>
                      <w:b/>
                      <w:bCs/>
                      <w:color w:val="000000" w:themeColor="text1"/>
                      <w:sz w:val="21"/>
                      <w:szCs w:val="21"/>
                      <w:highlight w:val="none"/>
                      <w14:textFill>
                        <w14:solidFill>
                          <w14:schemeClr w14:val="tx1"/>
                        </w14:solidFill>
                      </w14:textFill>
                    </w:rPr>
                  </w:pPr>
                  <w:r>
                    <w:rPr>
                      <w:b/>
                      <w:bCs/>
                      <w:color w:val="000000" w:themeColor="text1"/>
                      <w:sz w:val="21"/>
                      <w:szCs w:val="21"/>
                      <w:highlight w:val="none"/>
                      <w14:textFill>
                        <w14:solidFill>
                          <w14:schemeClr w14:val="tx1"/>
                        </w14:solidFill>
                      </w14:textFill>
                    </w:rPr>
                    <w:t>环境影响途径及危害后果（大气、地表水、地下水等）</w:t>
                  </w:r>
                </w:p>
              </w:tc>
              <w:tc>
                <w:tcPr>
                  <w:tcW w:w="3991" w:type="pct"/>
                  <w:gridSpan w:val="4"/>
                  <w:noWrap w:val="0"/>
                  <w:vAlign w:val="center"/>
                </w:tcPr>
                <w:p w14:paraId="63B4E090">
                  <w:pPr>
                    <w:pStyle w:val="59"/>
                    <w:keepNext w:val="0"/>
                    <w:keepLines w:val="0"/>
                    <w:pageBreakBefore w:val="0"/>
                    <w:kinsoku/>
                    <w:wordWrap/>
                    <w:overflowPunct/>
                    <w:topLinePunct w:val="0"/>
                    <w:bidi w:val="0"/>
                    <w:snapToGrid/>
                    <w:spacing w:before="0" w:after="0" w:line="240" w:lineRule="auto"/>
                    <w:ind w:firstLine="0" w:firstLineChars="0"/>
                    <w:jc w:val="both"/>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（1）环境影响途径：泄漏、火灾；</w:t>
                  </w:r>
                </w:p>
                <w:p w14:paraId="7365D654">
                  <w:pPr>
                    <w:pStyle w:val="59"/>
                    <w:keepNext w:val="0"/>
                    <w:keepLines w:val="0"/>
                    <w:pageBreakBefore w:val="0"/>
                    <w:kinsoku/>
                    <w:wordWrap/>
                    <w:overflowPunct/>
                    <w:topLinePunct w:val="0"/>
                    <w:bidi w:val="0"/>
                    <w:snapToGrid/>
                    <w:spacing w:before="0" w:after="0" w:line="240" w:lineRule="auto"/>
                    <w:ind w:firstLine="0" w:firstLineChars="0"/>
                    <w:jc w:val="both"/>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（2）大气危害后果：危险</w:t>
                  </w:r>
                  <w:r>
                    <w:rPr>
                      <w:rFonts w:hint="eastAsia"/>
                      <w:color w:val="000000" w:themeColor="text1"/>
                      <w:sz w:val="21"/>
                      <w:szCs w:val="21"/>
                      <w:highlight w:val="none"/>
                      <w:lang w:val="en-US" w:eastAsia="zh-CN"/>
                      <w14:textFill>
                        <w14:solidFill>
                          <w14:schemeClr w14:val="tx1"/>
                        </w14:solidFill>
                      </w14:textFill>
                    </w:rPr>
                    <w:t>废物</w:t>
                  </w:r>
                  <w:r>
                    <w:rPr>
                      <w:color w:val="000000" w:themeColor="text1"/>
                      <w:sz w:val="21"/>
                      <w:szCs w:val="21"/>
                      <w:highlight w:val="none"/>
                      <w14:textFill>
                        <w14:solidFill>
                          <w14:schemeClr w14:val="tx1"/>
                        </w14:solidFill>
                      </w14:textFill>
                    </w:rPr>
                    <w:t>泄漏后挥发进入大气，污染大气环境；易燃液体遇明火产生火灾引起大气环境污染事故；废气处理设施非正常工况下污染物进入大气。</w:t>
                  </w:r>
                </w:p>
              </w:tc>
            </w:tr>
            <w:tr w14:paraId="4B751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08" w:type="pct"/>
                  <w:noWrap w:val="0"/>
                  <w:vAlign w:val="center"/>
                </w:tcPr>
                <w:p w14:paraId="63298F67">
                  <w:pPr>
                    <w:pStyle w:val="59"/>
                    <w:keepNext w:val="0"/>
                    <w:keepLines w:val="0"/>
                    <w:pageBreakBefore w:val="0"/>
                    <w:kinsoku/>
                    <w:wordWrap/>
                    <w:overflowPunct/>
                    <w:topLinePunct w:val="0"/>
                    <w:bidi w:val="0"/>
                    <w:snapToGrid/>
                    <w:spacing w:before="0" w:after="0" w:line="240" w:lineRule="auto"/>
                    <w:ind w:firstLine="0" w:firstLineChars="0"/>
                    <w:rPr>
                      <w:b/>
                      <w:bCs/>
                      <w:color w:val="000000" w:themeColor="text1"/>
                      <w:sz w:val="21"/>
                      <w:szCs w:val="21"/>
                      <w:highlight w:val="none"/>
                      <w14:textFill>
                        <w14:solidFill>
                          <w14:schemeClr w14:val="tx1"/>
                        </w14:solidFill>
                      </w14:textFill>
                    </w:rPr>
                  </w:pPr>
                  <w:r>
                    <w:rPr>
                      <w:b/>
                      <w:bCs/>
                      <w:color w:val="000000" w:themeColor="text1"/>
                      <w:sz w:val="21"/>
                      <w:szCs w:val="21"/>
                      <w:highlight w:val="none"/>
                      <w14:textFill>
                        <w14:solidFill>
                          <w14:schemeClr w14:val="tx1"/>
                        </w14:solidFill>
                      </w14:textFill>
                    </w:rPr>
                    <w:t>风险防范措施要求</w:t>
                  </w:r>
                </w:p>
              </w:tc>
              <w:tc>
                <w:tcPr>
                  <w:tcW w:w="3991" w:type="pct"/>
                  <w:gridSpan w:val="4"/>
                  <w:noWrap w:val="0"/>
                  <w:vAlign w:val="center"/>
                </w:tcPr>
                <w:p w14:paraId="3145253F">
                  <w:pPr>
                    <w:keepNext w:val="0"/>
                    <w:keepLines w:val="0"/>
                    <w:pageBreakBefore w:val="0"/>
                    <w:widowControl/>
                    <w:kinsoku/>
                    <w:wordWrap/>
                    <w:overflowPunct/>
                    <w:topLinePunct w:val="0"/>
                    <w:bidi w:val="0"/>
                    <w:snapToGrid/>
                    <w:spacing w:line="240" w:lineRule="auto"/>
                    <w:ind w:firstLine="0" w:firstLineChars="0"/>
                    <w:rPr>
                      <w:color w:val="000000" w:themeColor="text1"/>
                      <w:kern w:val="0"/>
                      <w:sz w:val="21"/>
                      <w:szCs w:val="21"/>
                      <w:highlight w:val="none"/>
                      <w:lang w:bidi="ar"/>
                      <w14:textFill>
                        <w14:solidFill>
                          <w14:schemeClr w14:val="tx1"/>
                        </w14:solidFill>
                      </w14:textFill>
                    </w:rPr>
                  </w:pPr>
                  <w:r>
                    <w:rPr>
                      <w:color w:val="000000" w:themeColor="text1"/>
                      <w:kern w:val="0"/>
                      <w:sz w:val="21"/>
                      <w:szCs w:val="21"/>
                      <w:highlight w:val="none"/>
                      <w:lang w:bidi="ar"/>
                      <w14:textFill>
                        <w14:solidFill>
                          <w14:schemeClr w14:val="tx1"/>
                        </w14:solidFill>
                      </w14:textFill>
                    </w:rPr>
                    <w:t>A</w:t>
                  </w:r>
                  <w:r>
                    <w:rPr>
                      <w:rFonts w:hint="eastAsia"/>
                      <w:color w:val="000000" w:themeColor="text1"/>
                      <w:kern w:val="0"/>
                      <w:sz w:val="21"/>
                      <w:szCs w:val="21"/>
                      <w:highlight w:val="none"/>
                      <w:lang w:bidi="ar"/>
                      <w14:textFill>
                        <w14:solidFill>
                          <w14:schemeClr w14:val="tx1"/>
                        </w14:solidFill>
                      </w14:textFill>
                    </w:rPr>
                    <w:t>.</w:t>
                  </w:r>
                  <w:r>
                    <w:rPr>
                      <w:color w:val="000000" w:themeColor="text1"/>
                      <w:kern w:val="0"/>
                      <w:sz w:val="21"/>
                      <w:szCs w:val="21"/>
                      <w:highlight w:val="none"/>
                      <w:lang w:bidi="ar"/>
                      <w14:textFill>
                        <w14:solidFill>
                          <w14:schemeClr w14:val="tx1"/>
                        </w14:solidFill>
                      </w14:textFill>
                    </w:rPr>
                    <w:t>加强职工的安全教育，提高安全防范风险的意识；针对运营中可能发生的异常现象和存在的安全隐患，设置合理可行的技术措施，制定严格的操作规程；</w:t>
                  </w:r>
                </w:p>
                <w:p w14:paraId="683A52EC">
                  <w:pPr>
                    <w:keepNext w:val="0"/>
                    <w:keepLines w:val="0"/>
                    <w:pageBreakBefore w:val="0"/>
                    <w:widowControl/>
                    <w:kinsoku/>
                    <w:wordWrap/>
                    <w:overflowPunct/>
                    <w:topLinePunct w:val="0"/>
                    <w:bidi w:val="0"/>
                    <w:snapToGrid/>
                    <w:spacing w:line="240" w:lineRule="auto"/>
                    <w:ind w:firstLine="0" w:firstLineChars="0"/>
                    <w:rPr>
                      <w:color w:val="000000" w:themeColor="text1"/>
                      <w:kern w:val="0"/>
                      <w:sz w:val="21"/>
                      <w:szCs w:val="21"/>
                      <w:highlight w:val="none"/>
                      <w:lang w:bidi="ar"/>
                      <w14:textFill>
                        <w14:solidFill>
                          <w14:schemeClr w14:val="tx1"/>
                        </w14:solidFill>
                      </w14:textFill>
                    </w:rPr>
                  </w:pPr>
                  <w:r>
                    <w:rPr>
                      <w:color w:val="000000" w:themeColor="text1"/>
                      <w:kern w:val="0"/>
                      <w:sz w:val="21"/>
                      <w:szCs w:val="21"/>
                      <w:highlight w:val="none"/>
                      <w:lang w:bidi="ar"/>
                      <w14:textFill>
                        <w14:solidFill>
                          <w14:schemeClr w14:val="tx1"/>
                        </w14:solidFill>
                      </w14:textFill>
                    </w:rPr>
                    <w:t>B</w:t>
                  </w:r>
                  <w:r>
                    <w:rPr>
                      <w:rFonts w:hint="eastAsia"/>
                      <w:color w:val="000000" w:themeColor="text1"/>
                      <w:kern w:val="0"/>
                      <w:sz w:val="21"/>
                      <w:szCs w:val="21"/>
                      <w:highlight w:val="none"/>
                      <w:lang w:bidi="ar"/>
                      <w14:textFill>
                        <w14:solidFill>
                          <w14:schemeClr w14:val="tx1"/>
                        </w14:solidFill>
                      </w14:textFill>
                    </w:rPr>
                    <w:t>.</w:t>
                  </w:r>
                  <w:r>
                    <w:rPr>
                      <w:color w:val="000000" w:themeColor="text1"/>
                      <w:kern w:val="0"/>
                      <w:sz w:val="21"/>
                      <w:szCs w:val="21"/>
                      <w:highlight w:val="none"/>
                      <w:lang w:bidi="ar"/>
                      <w14:textFill>
                        <w14:solidFill>
                          <w14:schemeClr w14:val="tx1"/>
                        </w14:solidFill>
                      </w14:textFill>
                    </w:rPr>
                    <w:t>建立健全安全、环境管理体系及高效的安全生产机制，一旦发生事故，要做到快速、高效、安全处置；</w:t>
                  </w:r>
                </w:p>
                <w:p w14:paraId="1B63097E">
                  <w:pPr>
                    <w:keepNext w:val="0"/>
                    <w:keepLines w:val="0"/>
                    <w:pageBreakBefore w:val="0"/>
                    <w:widowControl/>
                    <w:kinsoku/>
                    <w:wordWrap/>
                    <w:overflowPunct/>
                    <w:topLinePunct w:val="0"/>
                    <w:bidi w:val="0"/>
                    <w:snapToGrid/>
                    <w:spacing w:line="240" w:lineRule="auto"/>
                    <w:ind w:firstLine="0" w:firstLineChars="0"/>
                    <w:rPr>
                      <w:color w:val="000000" w:themeColor="text1"/>
                      <w:sz w:val="21"/>
                      <w:szCs w:val="21"/>
                      <w:highlight w:val="none"/>
                      <w14:textFill>
                        <w14:solidFill>
                          <w14:schemeClr w14:val="tx1"/>
                        </w14:solidFill>
                      </w14:textFill>
                    </w:rPr>
                  </w:pPr>
                  <w:r>
                    <w:rPr>
                      <w:color w:val="000000" w:themeColor="text1"/>
                      <w:kern w:val="0"/>
                      <w:sz w:val="21"/>
                      <w:szCs w:val="21"/>
                      <w:highlight w:val="none"/>
                      <w:lang w:bidi="ar"/>
                      <w14:textFill>
                        <w14:solidFill>
                          <w14:schemeClr w14:val="tx1"/>
                        </w14:solidFill>
                      </w14:textFill>
                    </w:rPr>
                    <w:t>C</w:t>
                  </w:r>
                  <w:r>
                    <w:rPr>
                      <w:rFonts w:hint="eastAsia"/>
                      <w:color w:val="000000" w:themeColor="text1"/>
                      <w:kern w:val="0"/>
                      <w:sz w:val="21"/>
                      <w:szCs w:val="21"/>
                      <w:highlight w:val="none"/>
                      <w:lang w:bidi="ar"/>
                      <w14:textFill>
                        <w14:solidFill>
                          <w14:schemeClr w14:val="tx1"/>
                        </w14:solidFill>
                      </w14:textFill>
                    </w:rPr>
                    <w:t>.</w:t>
                  </w:r>
                  <w:r>
                    <w:rPr>
                      <w:color w:val="000000" w:themeColor="text1"/>
                      <w:kern w:val="0"/>
                      <w:sz w:val="21"/>
                      <w:szCs w:val="21"/>
                      <w:highlight w:val="none"/>
                      <w:lang w:bidi="ar"/>
                      <w14:textFill>
                        <w14:solidFill>
                          <w14:schemeClr w14:val="tx1"/>
                        </w14:solidFill>
                      </w14:textFill>
                    </w:rPr>
                    <w:t>按照危险化学品的危险特性，采取必要的安全防护措施。</w:t>
                  </w:r>
                </w:p>
                <w:p w14:paraId="59879F2D">
                  <w:pPr>
                    <w:keepNext w:val="0"/>
                    <w:keepLines w:val="0"/>
                    <w:pageBreakBefore w:val="0"/>
                    <w:widowControl/>
                    <w:kinsoku/>
                    <w:wordWrap/>
                    <w:overflowPunct/>
                    <w:topLinePunct w:val="0"/>
                    <w:bidi w:val="0"/>
                    <w:snapToGrid/>
                    <w:spacing w:line="240" w:lineRule="auto"/>
                    <w:ind w:firstLine="0" w:firstLineChars="0"/>
                    <w:jc w:val="left"/>
                    <w:rPr>
                      <w:color w:val="000000" w:themeColor="text1"/>
                      <w:sz w:val="21"/>
                      <w:szCs w:val="21"/>
                      <w:highlight w:val="none"/>
                      <w14:textFill>
                        <w14:solidFill>
                          <w14:schemeClr w14:val="tx1"/>
                        </w14:solidFill>
                      </w14:textFill>
                    </w:rPr>
                  </w:pPr>
                  <w:r>
                    <w:rPr>
                      <w:color w:val="000000" w:themeColor="text1"/>
                      <w:kern w:val="0"/>
                      <w:sz w:val="21"/>
                      <w:szCs w:val="21"/>
                      <w:highlight w:val="none"/>
                      <w:lang w:bidi="ar"/>
                      <w14:textFill>
                        <w14:solidFill>
                          <w14:schemeClr w14:val="tx1"/>
                        </w14:solidFill>
                      </w14:textFill>
                    </w:rPr>
                    <w:t>D</w:t>
                  </w:r>
                  <w:r>
                    <w:rPr>
                      <w:rFonts w:hint="eastAsia"/>
                      <w:color w:val="000000" w:themeColor="text1"/>
                      <w:kern w:val="0"/>
                      <w:sz w:val="21"/>
                      <w:szCs w:val="21"/>
                      <w:highlight w:val="none"/>
                      <w:lang w:bidi="ar"/>
                      <w14:textFill>
                        <w14:solidFill>
                          <w14:schemeClr w14:val="tx1"/>
                        </w14:solidFill>
                      </w14:textFill>
                    </w:rPr>
                    <w:t>.</w:t>
                  </w:r>
                  <w:r>
                    <w:rPr>
                      <w:color w:val="000000" w:themeColor="text1"/>
                      <w:kern w:val="0"/>
                      <w:sz w:val="21"/>
                      <w:szCs w:val="21"/>
                      <w:highlight w:val="none"/>
                      <w:lang w:bidi="ar"/>
                      <w14:textFill>
                        <w14:solidFill>
                          <w14:schemeClr w14:val="tx1"/>
                        </w14:solidFill>
                      </w14:textFill>
                    </w:rPr>
                    <w:t>化学品使用过程中注意防火防爆和泄漏。</w:t>
                  </w:r>
                </w:p>
                <w:p w14:paraId="05AF91BA">
                  <w:pPr>
                    <w:keepNext w:val="0"/>
                    <w:keepLines w:val="0"/>
                    <w:pageBreakBefore w:val="0"/>
                    <w:widowControl/>
                    <w:kinsoku/>
                    <w:wordWrap/>
                    <w:overflowPunct/>
                    <w:topLinePunct w:val="0"/>
                    <w:bidi w:val="0"/>
                    <w:snapToGrid/>
                    <w:spacing w:line="240" w:lineRule="auto"/>
                    <w:ind w:firstLine="0" w:firstLineChars="0"/>
                    <w:jc w:val="left"/>
                    <w:rPr>
                      <w:color w:val="000000" w:themeColor="text1"/>
                      <w:sz w:val="21"/>
                      <w:szCs w:val="21"/>
                      <w:highlight w:val="none"/>
                      <w14:textFill>
                        <w14:solidFill>
                          <w14:schemeClr w14:val="tx1"/>
                        </w14:solidFill>
                      </w14:textFill>
                    </w:rPr>
                  </w:pPr>
                  <w:r>
                    <w:rPr>
                      <w:color w:val="000000" w:themeColor="text1"/>
                      <w:kern w:val="0"/>
                      <w:sz w:val="21"/>
                      <w:szCs w:val="21"/>
                      <w:highlight w:val="none"/>
                      <w:lang w:bidi="ar"/>
                      <w14:textFill>
                        <w14:solidFill>
                          <w14:schemeClr w14:val="tx1"/>
                        </w14:solidFill>
                      </w14:textFill>
                    </w:rPr>
                    <w:t>E</w:t>
                  </w:r>
                  <w:r>
                    <w:rPr>
                      <w:rFonts w:hint="eastAsia"/>
                      <w:color w:val="000000" w:themeColor="text1"/>
                      <w:kern w:val="0"/>
                      <w:sz w:val="21"/>
                      <w:szCs w:val="21"/>
                      <w:highlight w:val="none"/>
                      <w:lang w:bidi="ar"/>
                      <w14:textFill>
                        <w14:solidFill>
                          <w14:schemeClr w14:val="tx1"/>
                        </w14:solidFill>
                      </w14:textFill>
                    </w:rPr>
                    <w:t>.</w:t>
                  </w:r>
                  <w:r>
                    <w:rPr>
                      <w:color w:val="000000" w:themeColor="text1"/>
                      <w:kern w:val="0"/>
                      <w:sz w:val="21"/>
                      <w:szCs w:val="21"/>
                      <w:highlight w:val="none"/>
                      <w:lang w:bidi="ar"/>
                      <w14:textFill>
                        <w14:solidFill>
                          <w14:schemeClr w14:val="tx1"/>
                        </w14:solidFill>
                      </w14:textFill>
                    </w:rPr>
                    <w:t>严格执行环评及相关法律法规要求，落实本章节提出的各项有关化学品储存使用、危险品及危险废物的储存和转运的风险防范措施。</w:t>
                  </w:r>
                </w:p>
              </w:tc>
            </w:tr>
            <w:tr w14:paraId="75DDF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1008" w:type="pct"/>
                  <w:noWrap w:val="0"/>
                  <w:vAlign w:val="center"/>
                </w:tcPr>
                <w:p w14:paraId="3FDDF66E">
                  <w:pPr>
                    <w:pStyle w:val="59"/>
                    <w:keepNext w:val="0"/>
                    <w:keepLines w:val="0"/>
                    <w:pageBreakBefore w:val="0"/>
                    <w:kinsoku/>
                    <w:wordWrap/>
                    <w:overflowPunct/>
                    <w:topLinePunct w:val="0"/>
                    <w:bidi w:val="0"/>
                    <w:snapToGrid/>
                    <w:spacing w:before="0" w:after="0" w:line="240" w:lineRule="auto"/>
                    <w:ind w:firstLine="0" w:firstLineChars="0"/>
                    <w:rPr>
                      <w:b/>
                      <w:bCs/>
                      <w:color w:val="000000" w:themeColor="text1"/>
                      <w:sz w:val="21"/>
                      <w:szCs w:val="21"/>
                      <w:highlight w:val="none"/>
                      <w14:textFill>
                        <w14:solidFill>
                          <w14:schemeClr w14:val="tx1"/>
                        </w14:solidFill>
                      </w14:textFill>
                    </w:rPr>
                  </w:pPr>
                  <w:r>
                    <w:rPr>
                      <w:b/>
                      <w:bCs/>
                      <w:color w:val="000000" w:themeColor="text1"/>
                      <w:sz w:val="21"/>
                      <w:szCs w:val="21"/>
                      <w:highlight w:val="none"/>
                      <w14:textFill>
                        <w14:solidFill>
                          <w14:schemeClr w14:val="tx1"/>
                        </w14:solidFill>
                      </w14:textFill>
                    </w:rPr>
                    <w:t>填表说明（列出项目相关信息及评价说明）</w:t>
                  </w:r>
                </w:p>
              </w:tc>
              <w:tc>
                <w:tcPr>
                  <w:tcW w:w="3991" w:type="pct"/>
                  <w:gridSpan w:val="4"/>
                  <w:noWrap w:val="0"/>
                  <w:vAlign w:val="center"/>
                </w:tcPr>
                <w:p w14:paraId="33019EBC">
                  <w:pPr>
                    <w:pStyle w:val="59"/>
                    <w:keepNext w:val="0"/>
                    <w:keepLines w:val="0"/>
                    <w:pageBreakBefore w:val="0"/>
                    <w:kinsoku/>
                    <w:wordWrap/>
                    <w:overflowPunct/>
                    <w:topLinePunct w:val="0"/>
                    <w:bidi w:val="0"/>
                    <w:snapToGrid/>
                    <w:spacing w:before="0" w:after="0" w:line="240" w:lineRule="auto"/>
                    <w:ind w:firstLine="0" w:firstLineChars="0"/>
                    <w:jc w:val="both"/>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项目厂区不涉及突发环境风险物质，本项目风险潜势为Ⅰ，评价等级为简单分析。在落实好各项环境风险防范措施后，对所在区域环境的影响较小，在可接受范围内。</w:t>
                  </w:r>
                </w:p>
              </w:tc>
            </w:tr>
          </w:tbl>
          <w:p w14:paraId="1DFFF1CC">
            <w:pPr>
              <w:ind w:firstLine="480"/>
              <w:rPr>
                <w:rFonts w:cs="Times New Roman"/>
                <w:bCs/>
                <w:lang w:bidi="ar"/>
              </w:rPr>
            </w:pPr>
            <w:r>
              <w:rPr>
                <w:rFonts w:cs="Times New Roman"/>
                <w:bCs/>
                <w:lang w:bidi="ar"/>
              </w:rPr>
              <w:t>综上分析，项目建成后，只要不断加强环境管理和生产安全，对每个环节特别是危险物品落实风险防范措施和应急措施，可避免环境风险事故的发生。本项目使用的风险物质其储存量较小，不构成重大危险源；风险分析表明，建设单位通过采取一系列风险防范措施，可有效降低</w:t>
            </w:r>
            <w:r>
              <w:rPr>
                <w:rFonts w:hint="eastAsia" w:cs="Times New Roman"/>
                <w:bCs/>
                <w:lang w:val="en-US" w:eastAsia="zh-CN" w:bidi="ar"/>
              </w:rPr>
              <w:t>环境</w:t>
            </w:r>
            <w:r>
              <w:rPr>
                <w:rFonts w:cs="Times New Roman"/>
                <w:bCs/>
                <w:lang w:bidi="ar"/>
              </w:rPr>
              <w:t>风险，能使项目风险水平降低至可接受程度。</w:t>
            </w:r>
          </w:p>
          <w:p w14:paraId="32ADA3E1">
            <w:pPr>
              <w:pStyle w:val="3"/>
              <w:spacing w:before="163"/>
              <w:rPr>
                <w:lang w:bidi="ar"/>
              </w:rPr>
            </w:pPr>
            <w:r>
              <w:rPr>
                <w:lang w:bidi="ar"/>
              </w:rPr>
              <w:t>8、排污口规范化设置</w:t>
            </w:r>
          </w:p>
          <w:p w14:paraId="11C8C07A">
            <w:pPr>
              <w:adjustRightInd w:val="0"/>
              <w:snapToGrid w:val="0"/>
              <w:ind w:firstLine="480"/>
              <w:rPr>
                <w:rFonts w:cs="Times New Roman"/>
              </w:rPr>
            </w:pPr>
            <w:r>
              <w:rPr>
                <w:rFonts w:cs="Times New Roman"/>
              </w:rPr>
              <w:t>建设单位应按要求在各污染源车间外及固体废物暂存场等设置明显的环境保护图形标志牌，设置规范的监测口，服务于后续监测采样。</w:t>
            </w:r>
          </w:p>
          <w:p w14:paraId="5D8CC0BD">
            <w:pPr>
              <w:adjustRightInd w:val="0"/>
              <w:snapToGrid w:val="0"/>
              <w:ind w:firstLine="480"/>
              <w:rPr>
                <w:rFonts w:cs="Times New Roman"/>
              </w:rPr>
            </w:pPr>
            <w:r>
              <w:rPr>
                <w:rFonts w:cs="Times New Roman"/>
              </w:rPr>
              <w:t>本项目排气筒应设置便于采样、监测的采样口，采样口的设置应符合</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w:t>
            </w:r>
            <w:r>
              <w:rPr>
                <w:rFonts w:ascii="Times New Roman" w:hAnsi="Times New Roman" w:eastAsia="宋体" w:cs="Times New Roman"/>
                <w:color w:val="000000" w:themeColor="text1"/>
                <w:kern w:val="2"/>
                <w:sz w:val="24"/>
                <w:szCs w:val="24"/>
                <w:highlight w:val="none"/>
                <w:lang w:val="en-US" w:eastAsia="zh-CN" w:bidi="ar"/>
                <w14:textFill>
                  <w14:solidFill>
                    <w14:schemeClr w14:val="tx1"/>
                  </w14:solidFill>
                </w14:textFill>
              </w:rPr>
              <w:t>排污单位污染物排放口监测点位设置</w:t>
            </w:r>
            <w:r>
              <w:rPr>
                <w:rFonts w:hint="default" w:ascii="Times New Roman" w:hAnsi="Times New Roman" w:eastAsia="宋体" w:cs="Times New Roman"/>
                <w:color w:val="000000" w:themeColor="text1"/>
                <w:kern w:val="2"/>
                <w:sz w:val="24"/>
                <w:szCs w:val="24"/>
                <w:highlight w:val="none"/>
                <w:lang w:val="en-US" w:eastAsia="zh-CN" w:bidi="ar"/>
                <w14:textFill>
                  <w14:solidFill>
                    <w14:schemeClr w14:val="tx1"/>
                  </w14:solidFill>
                </w14:textFill>
              </w:rPr>
              <w:t>技术规范》</w:t>
            </w:r>
            <w:r>
              <w:rPr>
                <w:rFonts w:hint="default" w:ascii="Times New Roman" w:hAnsi="Times New Roman" w:cs="Times New Roman"/>
                <w:color w:val="000000" w:themeColor="text1"/>
                <w:kern w:val="2"/>
                <w:sz w:val="24"/>
                <w:szCs w:val="24"/>
                <w:highlight w:val="none"/>
                <w:lang w:val="en-US" w:eastAsia="zh-CN" w:bidi="ar"/>
                <w14:textFill>
                  <w14:solidFill>
                    <w14:schemeClr w14:val="tx1"/>
                  </w14:solidFill>
                </w14:textFill>
              </w:rPr>
              <w:t>（</w:t>
            </w:r>
            <w:r>
              <w:rPr>
                <w:rFonts w:hint="default" w:ascii="Times New Roman" w:hAnsi="Times New Roman" w:eastAsia="宋体" w:cs="Times New Roman"/>
                <w:color w:val="000000" w:themeColor="text1"/>
                <w:kern w:val="2"/>
                <w:sz w:val="24"/>
                <w:szCs w:val="24"/>
                <w:highlight w:val="none"/>
                <w:lang w:val="en-US" w:eastAsia="zh-CN" w:bidi="ar"/>
                <w14:textFill>
                  <w14:solidFill>
                    <w14:schemeClr w14:val="tx1"/>
                  </w14:solidFill>
                </w14:textFill>
              </w:rPr>
              <w:t>HJ1405-2024</w:t>
            </w:r>
            <w:r>
              <w:rPr>
                <w:rFonts w:hint="default" w:ascii="Times New Roman" w:hAnsi="Times New Roman" w:cs="Times New Roman"/>
                <w:color w:val="000000" w:themeColor="text1"/>
                <w:kern w:val="2"/>
                <w:sz w:val="24"/>
                <w:szCs w:val="24"/>
                <w:highlight w:val="none"/>
                <w:lang w:val="en-US" w:eastAsia="zh-CN" w:bidi="ar"/>
                <w14:textFill>
                  <w14:solidFill>
                    <w14:schemeClr w14:val="tx1"/>
                  </w14:solidFill>
                </w14:textFill>
              </w:rPr>
              <w:t>）</w:t>
            </w:r>
            <w:r>
              <w:rPr>
                <w:rFonts w:hint="default" w:ascii="Times New Roman" w:hAnsi="Times New Roman" w:cs="Times New Roman"/>
                <w:caps w:val="0"/>
                <w:color w:val="000000" w:themeColor="text1"/>
                <w:sz w:val="24"/>
                <w:szCs w:val="32"/>
                <w:highlight w:val="none"/>
                <w14:textFill>
                  <w14:solidFill>
                    <w14:schemeClr w14:val="tx1"/>
                  </w14:solidFill>
                </w14:textFill>
              </w:rPr>
              <w:t>中采样位置（设置在</w:t>
            </w:r>
            <w:r>
              <w:rPr>
                <w:rFonts w:hint="eastAsia" w:ascii="Times New Roman" w:hAnsi="Times New Roman" w:cs="Times New Roman"/>
                <w:caps w:val="0"/>
                <w:color w:val="000000" w:themeColor="text1"/>
                <w:sz w:val="24"/>
                <w:szCs w:val="32"/>
                <w:highlight w:val="none"/>
                <w:lang w:val="en-US" w:eastAsia="zh-CN"/>
                <w14:textFill>
                  <w14:solidFill>
                    <w14:schemeClr w14:val="tx1"/>
                  </w14:solidFill>
                </w14:textFill>
              </w:rPr>
              <w:t>气流方向的上游距离</w:t>
            </w:r>
            <w:r>
              <w:rPr>
                <w:rFonts w:hint="default" w:ascii="Times New Roman" w:hAnsi="Times New Roman" w:cs="Times New Roman"/>
                <w:caps w:val="0"/>
                <w:color w:val="000000" w:themeColor="text1"/>
                <w:sz w:val="24"/>
                <w:szCs w:val="32"/>
                <w:highlight w:val="none"/>
                <w14:textFill>
                  <w14:solidFill>
                    <w14:schemeClr w14:val="tx1"/>
                  </w14:solidFill>
                </w14:textFill>
              </w:rPr>
              <w:t>弯头、阀门、变径管</w:t>
            </w:r>
            <w:r>
              <w:rPr>
                <w:rFonts w:hint="default" w:ascii="Times New Roman" w:hAnsi="Times New Roman" w:cs="Times New Roman"/>
                <w:caps w:val="0"/>
                <w:color w:val="000000" w:themeColor="text1"/>
                <w:sz w:val="24"/>
                <w:szCs w:val="32"/>
                <w:highlight w:val="none"/>
                <w:lang w:val="en-US" w:eastAsia="zh-CN"/>
                <w14:textFill>
                  <w14:solidFill>
                    <w14:schemeClr w14:val="tx1"/>
                  </w14:solidFill>
                </w14:textFill>
              </w:rPr>
              <w:t>≥4倍烟道直径，下游距离上述部件≥2倍</w:t>
            </w:r>
            <w:r>
              <w:rPr>
                <w:rFonts w:hint="eastAsia" w:ascii="Times New Roman" w:hAnsi="Times New Roman" w:cs="Times New Roman"/>
                <w:caps w:val="0"/>
                <w:color w:val="000000" w:themeColor="text1"/>
                <w:sz w:val="24"/>
                <w:szCs w:val="32"/>
                <w:highlight w:val="none"/>
                <w:lang w:val="en-US" w:eastAsia="zh-CN"/>
                <w14:textFill>
                  <w14:solidFill>
                    <w14:schemeClr w14:val="tx1"/>
                  </w14:solidFill>
                </w14:textFill>
              </w:rPr>
              <w:t>烟道直径</w:t>
            </w:r>
            <w:r>
              <w:rPr>
                <w:rFonts w:hint="default" w:ascii="Times New Roman" w:hAnsi="Times New Roman" w:cs="Times New Roman"/>
                <w:caps w:val="0"/>
                <w:color w:val="000000" w:themeColor="text1"/>
                <w:sz w:val="24"/>
                <w:szCs w:val="32"/>
                <w:highlight w:val="none"/>
                <w14:textFill>
                  <w14:solidFill>
                    <w14:schemeClr w14:val="tx1"/>
                  </w14:solidFill>
                </w14:textFill>
              </w:rPr>
              <w:t>）及采样口（采样孔内径</w:t>
            </w:r>
            <w:r>
              <w:rPr>
                <w:rFonts w:hint="default" w:ascii="Times New Roman" w:hAnsi="Times New Roman" w:cs="Times New Roman"/>
                <w:caps w:val="0"/>
                <w:color w:val="000000" w:themeColor="text1"/>
                <w:sz w:val="24"/>
                <w:szCs w:val="32"/>
                <w:highlight w:val="none"/>
                <w:lang w:val="en-US" w:eastAsia="zh-CN"/>
                <w14:textFill>
                  <w14:solidFill>
                    <w14:schemeClr w14:val="tx1"/>
                  </w14:solidFill>
                </w14:textFill>
              </w:rPr>
              <w:t>≥</w:t>
            </w:r>
            <w:r>
              <w:rPr>
                <w:rFonts w:hint="default" w:ascii="Times New Roman" w:hAnsi="Times New Roman" w:cs="Times New Roman"/>
                <w:caps w:val="0"/>
                <w:color w:val="000000" w:themeColor="text1"/>
                <w:sz w:val="24"/>
                <w:szCs w:val="32"/>
                <w:highlight w:val="none"/>
                <w14:textFill>
                  <w14:solidFill>
                    <w14:schemeClr w14:val="tx1"/>
                  </w14:solidFill>
                </w14:textFill>
              </w:rPr>
              <w:t>80mm，采样孔管长</w:t>
            </w:r>
            <w:r>
              <w:rPr>
                <w:rFonts w:hint="default" w:ascii="Times New Roman" w:hAnsi="Times New Roman" w:cs="Times New Roman"/>
                <w:caps w:val="0"/>
                <w:color w:val="000000" w:themeColor="text1"/>
                <w:sz w:val="24"/>
                <w:szCs w:val="32"/>
                <w:highlight w:val="none"/>
                <w:lang w:val="en-US" w:eastAsia="zh-CN"/>
                <w14:textFill>
                  <w14:solidFill>
                    <w14:schemeClr w14:val="tx1"/>
                  </w14:solidFill>
                </w14:textFill>
              </w:rPr>
              <w:t>≤</w:t>
            </w:r>
            <w:r>
              <w:rPr>
                <w:rFonts w:hint="default" w:ascii="Times New Roman" w:hAnsi="Times New Roman" w:cs="Times New Roman"/>
                <w:caps w:val="0"/>
                <w:color w:val="000000" w:themeColor="text1"/>
                <w:sz w:val="24"/>
                <w:szCs w:val="32"/>
                <w:highlight w:val="none"/>
                <w14:textFill>
                  <w14:solidFill>
                    <w14:schemeClr w14:val="tx1"/>
                  </w14:solidFill>
                </w14:textFill>
              </w:rPr>
              <w:t>50mm）的要求</w:t>
            </w:r>
            <w:r>
              <w:rPr>
                <w:rFonts w:cs="Times New Roman"/>
              </w:rPr>
              <w:t>。</w:t>
            </w:r>
          </w:p>
          <w:p w14:paraId="7BCB0A3E">
            <w:pPr>
              <w:adjustRightInd w:val="0"/>
              <w:snapToGrid w:val="0"/>
              <w:ind w:firstLine="480"/>
              <w:rPr>
                <w:rFonts w:cs="Times New Roman"/>
              </w:rPr>
            </w:pPr>
            <w:r>
              <w:rPr>
                <w:rFonts w:cs="Times New Roman"/>
              </w:rPr>
              <w:t>本项目排污口设置牌可参照以下标识设置。</w:t>
            </w:r>
          </w:p>
          <w:p w14:paraId="3754E8D5">
            <w:pPr>
              <w:pStyle w:val="11"/>
              <w:rPr>
                <w:rFonts w:cs="Times New Roman"/>
              </w:rPr>
            </w:pPr>
            <w:r>
              <w:rPr>
                <w:rFonts w:cs="Times New Roman"/>
              </w:rPr>
              <w:t>表</w:t>
            </w:r>
            <w:r>
              <w:rPr>
                <w:rFonts w:cs="Times New Roman"/>
              </w:rPr>
              <w:fldChar w:fldCharType="begin"/>
            </w:r>
            <w:r>
              <w:rPr>
                <w:rFonts w:cs="Times New Roman"/>
              </w:rPr>
              <w:instrText xml:space="preserve"> SEQ seq \c </w:instrText>
            </w:r>
            <w:r>
              <w:rPr>
                <w:rFonts w:cs="Times New Roman"/>
              </w:rPr>
              <w:fldChar w:fldCharType="separate"/>
            </w:r>
            <w:r>
              <w:rPr>
                <w:rFonts w:cs="Times New Roman"/>
              </w:rPr>
              <w:t>4</w:t>
            </w:r>
            <w:r>
              <w:rPr>
                <w:rFonts w:cs="Times New Roman"/>
              </w:rPr>
              <w:fldChar w:fldCharType="end"/>
            </w:r>
            <w:r>
              <w:rPr>
                <w:rFonts w:cs="Times New Roman"/>
              </w:rPr>
              <w:noBreakHyphen/>
            </w:r>
            <w:r>
              <w:rPr>
                <w:rFonts w:cs="Times New Roman"/>
              </w:rPr>
              <w:fldChar w:fldCharType="begin"/>
            </w:r>
            <w:r>
              <w:rPr>
                <w:rFonts w:cs="Times New Roman"/>
              </w:rPr>
              <w:instrText xml:space="preserve"> SEQ 表 \* ARABIC \s 1 </w:instrText>
            </w:r>
            <w:r>
              <w:rPr>
                <w:rFonts w:cs="Times New Roman"/>
              </w:rPr>
              <w:fldChar w:fldCharType="separate"/>
            </w:r>
            <w:r>
              <w:rPr>
                <w:rFonts w:cs="Times New Roman"/>
              </w:rPr>
              <w:t>12</w:t>
            </w:r>
            <w:r>
              <w:rPr>
                <w:rFonts w:cs="Times New Roman"/>
              </w:rPr>
              <w:fldChar w:fldCharType="end"/>
            </w:r>
            <w:r>
              <w:rPr>
                <w:rFonts w:cs="Times New Roman"/>
              </w:rPr>
              <w:t xml:space="preserve"> 排放源图形标识</w:t>
            </w:r>
          </w:p>
          <w:tbl>
            <w:tblPr>
              <w:tblStyle w:val="26"/>
              <w:tblW w:w="5000" w:type="pct"/>
              <w:tblInd w:w="0" w:type="dxa"/>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Layout w:type="autofit"/>
              <w:tblCellMar>
                <w:top w:w="0" w:type="dxa"/>
                <w:left w:w="108" w:type="dxa"/>
                <w:bottom w:w="0" w:type="dxa"/>
                <w:right w:w="108" w:type="dxa"/>
              </w:tblCellMar>
            </w:tblPr>
            <w:tblGrid>
              <w:gridCol w:w="904"/>
              <w:gridCol w:w="1889"/>
              <w:gridCol w:w="2048"/>
              <w:gridCol w:w="1984"/>
              <w:gridCol w:w="1986"/>
            </w:tblGrid>
            <w:tr w14:paraId="1046814A">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c>
                <w:tcPr>
                  <w:tcW w:w="513" w:type="pct"/>
                  <w:tcBorders>
                    <w:tl2br w:val="nil"/>
                    <w:tr2bl w:val="nil"/>
                  </w:tcBorders>
                  <w:shd w:val="clear" w:color="auto" w:fill="auto"/>
                  <w:vAlign w:val="center"/>
                </w:tcPr>
                <w:p w14:paraId="4F74F40B">
                  <w:pPr>
                    <w:pStyle w:val="45"/>
                    <w:rPr>
                      <w:rFonts w:cs="Times New Roman"/>
                    </w:rPr>
                  </w:pPr>
                  <w:r>
                    <w:rPr>
                      <w:rFonts w:cs="Times New Roman"/>
                    </w:rPr>
                    <w:t>排放口</w:t>
                  </w:r>
                </w:p>
              </w:tc>
              <w:tc>
                <w:tcPr>
                  <w:tcW w:w="1072" w:type="pct"/>
                  <w:tcBorders>
                    <w:tl2br w:val="nil"/>
                    <w:tr2bl w:val="nil"/>
                  </w:tcBorders>
                  <w:shd w:val="clear" w:color="auto" w:fill="auto"/>
                  <w:vAlign w:val="center"/>
                </w:tcPr>
                <w:p w14:paraId="54C31A78">
                  <w:pPr>
                    <w:pStyle w:val="45"/>
                    <w:rPr>
                      <w:rFonts w:cs="Times New Roman"/>
                    </w:rPr>
                  </w:pPr>
                  <w:r>
                    <w:rPr>
                      <w:rFonts w:cs="Times New Roman"/>
                    </w:rPr>
                    <w:t>废水排口</w:t>
                  </w:r>
                </w:p>
              </w:tc>
              <w:tc>
                <w:tcPr>
                  <w:tcW w:w="1162" w:type="pct"/>
                  <w:tcBorders>
                    <w:tl2br w:val="nil"/>
                    <w:tr2bl w:val="nil"/>
                  </w:tcBorders>
                  <w:shd w:val="clear" w:color="auto" w:fill="auto"/>
                  <w:vAlign w:val="center"/>
                </w:tcPr>
                <w:p w14:paraId="5BDB4A94">
                  <w:pPr>
                    <w:pStyle w:val="45"/>
                    <w:rPr>
                      <w:rFonts w:cs="Times New Roman"/>
                    </w:rPr>
                  </w:pPr>
                  <w:r>
                    <w:rPr>
                      <w:rFonts w:cs="Times New Roman"/>
                    </w:rPr>
                    <w:t>废气排口</w:t>
                  </w:r>
                </w:p>
              </w:tc>
              <w:tc>
                <w:tcPr>
                  <w:tcW w:w="1126" w:type="pct"/>
                  <w:tcBorders>
                    <w:tl2br w:val="nil"/>
                    <w:tr2bl w:val="nil"/>
                  </w:tcBorders>
                  <w:shd w:val="clear" w:color="auto" w:fill="auto"/>
                  <w:vAlign w:val="center"/>
                </w:tcPr>
                <w:p w14:paraId="06C8F991">
                  <w:pPr>
                    <w:pStyle w:val="45"/>
                    <w:rPr>
                      <w:rFonts w:cs="Times New Roman"/>
                    </w:rPr>
                  </w:pPr>
                  <w:r>
                    <w:rPr>
                      <w:rFonts w:cs="Times New Roman"/>
                    </w:rPr>
                    <w:t>噪声源</w:t>
                  </w:r>
                </w:p>
              </w:tc>
              <w:tc>
                <w:tcPr>
                  <w:tcW w:w="1127" w:type="pct"/>
                  <w:tcBorders>
                    <w:tl2br w:val="nil"/>
                    <w:tr2bl w:val="nil"/>
                  </w:tcBorders>
                  <w:shd w:val="clear" w:color="auto" w:fill="auto"/>
                  <w:vAlign w:val="center"/>
                </w:tcPr>
                <w:p w14:paraId="671AF56F">
                  <w:pPr>
                    <w:pStyle w:val="45"/>
                    <w:rPr>
                      <w:rFonts w:cs="Times New Roman"/>
                    </w:rPr>
                  </w:pPr>
                  <w:r>
                    <w:rPr>
                      <w:rFonts w:cs="Times New Roman"/>
                    </w:rPr>
                    <w:t>一般固废排放源</w:t>
                  </w:r>
                </w:p>
              </w:tc>
            </w:tr>
            <w:tr w14:paraId="78AEA9D7">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c>
                <w:tcPr>
                  <w:tcW w:w="513" w:type="pct"/>
                  <w:tcBorders>
                    <w:tl2br w:val="nil"/>
                    <w:tr2bl w:val="nil"/>
                  </w:tcBorders>
                  <w:shd w:val="clear" w:color="auto" w:fill="auto"/>
                  <w:vAlign w:val="center"/>
                </w:tcPr>
                <w:p w14:paraId="7BDA9ED0">
                  <w:pPr>
                    <w:pStyle w:val="12"/>
                    <w:rPr>
                      <w:rFonts w:cs="Times New Roman"/>
                    </w:rPr>
                  </w:pPr>
                  <w:r>
                    <w:rPr>
                      <w:rFonts w:cs="Times New Roman"/>
                    </w:rPr>
                    <w:t>图形符号</w:t>
                  </w:r>
                </w:p>
              </w:tc>
              <w:tc>
                <w:tcPr>
                  <w:tcW w:w="1072" w:type="pct"/>
                  <w:tcBorders>
                    <w:tl2br w:val="nil"/>
                    <w:tr2bl w:val="nil"/>
                  </w:tcBorders>
                  <w:shd w:val="clear" w:color="auto" w:fill="auto"/>
                  <w:vAlign w:val="center"/>
                </w:tcPr>
                <w:p w14:paraId="0D0B94D7">
                  <w:pPr>
                    <w:pStyle w:val="12"/>
                    <w:rPr>
                      <w:rFonts w:cs="Times New Roman"/>
                    </w:rPr>
                  </w:pPr>
                  <w:r>
                    <w:rPr>
                      <w:rFonts w:cs="Times New Roman"/>
                    </w:rPr>
                    <w:drawing>
                      <wp:inline distT="0" distB="0" distL="0" distR="0">
                        <wp:extent cx="990600" cy="1000125"/>
                        <wp:effectExtent l="0" t="0" r="0" b="9525"/>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a:xfrm>
                                  <a:off x="0" y="0"/>
                                  <a:ext cx="990600" cy="1000125"/>
                                </a:xfrm>
                                <a:prstGeom prst="rect">
                                  <a:avLst/>
                                </a:prstGeom>
                                <a:noFill/>
                                <a:ln>
                                  <a:noFill/>
                                </a:ln>
                              </pic:spPr>
                            </pic:pic>
                          </a:graphicData>
                        </a:graphic>
                      </wp:inline>
                    </w:drawing>
                  </w:r>
                </w:p>
              </w:tc>
              <w:tc>
                <w:tcPr>
                  <w:tcW w:w="1162" w:type="pct"/>
                  <w:tcBorders>
                    <w:tl2br w:val="nil"/>
                    <w:tr2bl w:val="nil"/>
                  </w:tcBorders>
                  <w:shd w:val="clear" w:color="auto" w:fill="auto"/>
                  <w:vAlign w:val="center"/>
                </w:tcPr>
                <w:p w14:paraId="1059B893">
                  <w:pPr>
                    <w:pStyle w:val="12"/>
                    <w:rPr>
                      <w:rFonts w:cs="Times New Roman"/>
                    </w:rPr>
                  </w:pPr>
                  <w:r>
                    <w:rPr>
                      <w:rFonts w:cs="Times New Roman"/>
                    </w:rPr>
                    <w:drawing>
                      <wp:inline distT="0" distB="0" distL="0" distR="0">
                        <wp:extent cx="1076325" cy="981075"/>
                        <wp:effectExtent l="0" t="0" r="9525" b="9525"/>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a:xfrm>
                                  <a:off x="0" y="0"/>
                                  <a:ext cx="1076325" cy="981075"/>
                                </a:xfrm>
                                <a:prstGeom prst="rect">
                                  <a:avLst/>
                                </a:prstGeom>
                                <a:noFill/>
                                <a:ln>
                                  <a:noFill/>
                                </a:ln>
                              </pic:spPr>
                            </pic:pic>
                          </a:graphicData>
                        </a:graphic>
                      </wp:inline>
                    </w:drawing>
                  </w:r>
                </w:p>
              </w:tc>
              <w:tc>
                <w:tcPr>
                  <w:tcW w:w="1126" w:type="pct"/>
                  <w:tcBorders>
                    <w:tl2br w:val="nil"/>
                    <w:tr2bl w:val="nil"/>
                  </w:tcBorders>
                  <w:shd w:val="clear" w:color="auto" w:fill="auto"/>
                  <w:vAlign w:val="center"/>
                </w:tcPr>
                <w:p w14:paraId="5D0AA948">
                  <w:pPr>
                    <w:pStyle w:val="12"/>
                    <w:rPr>
                      <w:rFonts w:cs="Times New Roman"/>
                    </w:rPr>
                  </w:pPr>
                  <w:r>
                    <w:rPr>
                      <w:rFonts w:cs="Times New Roman"/>
                    </w:rPr>
                    <w:drawing>
                      <wp:inline distT="0" distB="0" distL="0" distR="0">
                        <wp:extent cx="971550" cy="971550"/>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a:xfrm>
                                  <a:off x="0" y="0"/>
                                  <a:ext cx="971550" cy="971550"/>
                                </a:xfrm>
                                <a:prstGeom prst="rect">
                                  <a:avLst/>
                                </a:prstGeom>
                                <a:noFill/>
                                <a:ln>
                                  <a:noFill/>
                                </a:ln>
                              </pic:spPr>
                            </pic:pic>
                          </a:graphicData>
                        </a:graphic>
                      </wp:inline>
                    </w:drawing>
                  </w:r>
                </w:p>
              </w:tc>
              <w:tc>
                <w:tcPr>
                  <w:tcW w:w="1127" w:type="pct"/>
                  <w:tcBorders>
                    <w:tl2br w:val="nil"/>
                    <w:tr2bl w:val="nil"/>
                  </w:tcBorders>
                  <w:shd w:val="clear" w:color="auto" w:fill="auto"/>
                  <w:vAlign w:val="center"/>
                </w:tcPr>
                <w:p w14:paraId="7D0D0CBD">
                  <w:pPr>
                    <w:pStyle w:val="12"/>
                    <w:rPr>
                      <w:rFonts w:cs="Times New Roman"/>
                    </w:rPr>
                  </w:pPr>
                  <w:r>
                    <w:rPr>
                      <w:rFonts w:cs="Times New Roman"/>
                    </w:rPr>
                    <w:drawing>
                      <wp:inline distT="0" distB="0" distL="0" distR="0">
                        <wp:extent cx="1047750" cy="1009650"/>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a:xfrm>
                                  <a:off x="0" y="0"/>
                                  <a:ext cx="1047750" cy="1009650"/>
                                </a:xfrm>
                                <a:prstGeom prst="rect">
                                  <a:avLst/>
                                </a:prstGeom>
                                <a:noFill/>
                                <a:ln>
                                  <a:noFill/>
                                </a:ln>
                              </pic:spPr>
                            </pic:pic>
                          </a:graphicData>
                        </a:graphic>
                      </wp:inline>
                    </w:drawing>
                  </w:r>
                </w:p>
              </w:tc>
            </w:tr>
            <w:tr w14:paraId="49643034">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c>
                <w:tcPr>
                  <w:tcW w:w="513" w:type="pct"/>
                  <w:tcBorders>
                    <w:tl2br w:val="nil"/>
                    <w:tr2bl w:val="nil"/>
                  </w:tcBorders>
                  <w:shd w:val="clear" w:color="auto" w:fill="auto"/>
                  <w:vAlign w:val="center"/>
                </w:tcPr>
                <w:p w14:paraId="5FB68E9F">
                  <w:pPr>
                    <w:pStyle w:val="12"/>
                    <w:rPr>
                      <w:rFonts w:cs="Times New Roman"/>
                    </w:rPr>
                  </w:pPr>
                  <w:r>
                    <w:rPr>
                      <w:rFonts w:cs="Times New Roman"/>
                    </w:rPr>
                    <w:t>图形颜色</w:t>
                  </w:r>
                </w:p>
              </w:tc>
              <w:tc>
                <w:tcPr>
                  <w:tcW w:w="4487" w:type="pct"/>
                  <w:gridSpan w:val="4"/>
                  <w:tcBorders>
                    <w:tl2br w:val="nil"/>
                    <w:tr2bl w:val="nil"/>
                  </w:tcBorders>
                  <w:shd w:val="clear" w:color="auto" w:fill="auto"/>
                  <w:vAlign w:val="center"/>
                </w:tcPr>
                <w:p w14:paraId="798A4ACA">
                  <w:pPr>
                    <w:pStyle w:val="12"/>
                    <w:rPr>
                      <w:rFonts w:cs="Times New Roman"/>
                    </w:rPr>
                  </w:pPr>
                  <w:r>
                    <w:rPr>
                      <w:rFonts w:cs="Times New Roman"/>
                    </w:rPr>
                    <w:t>白色</w:t>
                  </w:r>
                </w:p>
              </w:tc>
            </w:tr>
            <w:tr w14:paraId="04860CA2">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c>
                <w:tcPr>
                  <w:tcW w:w="513" w:type="pct"/>
                  <w:tcBorders>
                    <w:tl2br w:val="nil"/>
                    <w:tr2bl w:val="nil"/>
                  </w:tcBorders>
                  <w:shd w:val="clear" w:color="auto" w:fill="auto"/>
                  <w:vAlign w:val="center"/>
                </w:tcPr>
                <w:p w14:paraId="239A0872">
                  <w:pPr>
                    <w:pStyle w:val="12"/>
                    <w:rPr>
                      <w:rFonts w:cs="Times New Roman"/>
                    </w:rPr>
                  </w:pPr>
                  <w:r>
                    <w:rPr>
                      <w:rFonts w:cs="Times New Roman"/>
                    </w:rPr>
                    <w:t>背景颜色</w:t>
                  </w:r>
                </w:p>
              </w:tc>
              <w:tc>
                <w:tcPr>
                  <w:tcW w:w="4487" w:type="pct"/>
                  <w:gridSpan w:val="4"/>
                  <w:tcBorders>
                    <w:tl2br w:val="nil"/>
                    <w:tr2bl w:val="nil"/>
                  </w:tcBorders>
                  <w:shd w:val="clear" w:color="auto" w:fill="auto"/>
                  <w:vAlign w:val="center"/>
                </w:tcPr>
                <w:p w14:paraId="6742B0D0">
                  <w:pPr>
                    <w:pStyle w:val="12"/>
                    <w:rPr>
                      <w:rFonts w:cs="Times New Roman"/>
                    </w:rPr>
                  </w:pPr>
                  <w:r>
                    <w:rPr>
                      <w:rFonts w:cs="Times New Roman"/>
                    </w:rPr>
                    <w:t>绿色</w:t>
                  </w:r>
                </w:p>
              </w:tc>
            </w:tr>
          </w:tbl>
          <w:p w14:paraId="259F5A00">
            <w:pPr>
              <w:adjustRightInd w:val="0"/>
              <w:snapToGrid w:val="0"/>
              <w:ind w:firstLine="480"/>
              <w:rPr>
                <w:rFonts w:cs="Times New Roman"/>
              </w:rPr>
            </w:pPr>
            <w:r>
              <w:rPr>
                <w:rFonts w:cs="Times New Roman"/>
              </w:rPr>
              <w:t>本项目危险废物标识牌应参照《危险废物识别标志设置技术规范》（HJ1276-2022）设置，见下表。</w:t>
            </w:r>
          </w:p>
          <w:p w14:paraId="6D4C7FD9">
            <w:pPr>
              <w:pStyle w:val="11"/>
              <w:rPr>
                <w:rFonts w:cs="Times New Roman"/>
                <w:bCs/>
                <w:szCs w:val="21"/>
              </w:rPr>
            </w:pPr>
            <w:bookmarkStart w:id="82" w:name="OLE_LINK214"/>
            <w:bookmarkStart w:id="83" w:name="OLE_LINK215"/>
            <w:r>
              <w:rPr>
                <w:rFonts w:cs="Times New Roman"/>
              </w:rPr>
              <w:t>表</w:t>
            </w:r>
            <w:r>
              <w:rPr>
                <w:rFonts w:cs="Times New Roman"/>
              </w:rPr>
              <w:fldChar w:fldCharType="begin"/>
            </w:r>
            <w:r>
              <w:rPr>
                <w:rFonts w:cs="Times New Roman"/>
              </w:rPr>
              <w:instrText xml:space="preserve"> SEQ seq \c </w:instrText>
            </w:r>
            <w:r>
              <w:rPr>
                <w:rFonts w:cs="Times New Roman"/>
              </w:rPr>
              <w:fldChar w:fldCharType="separate"/>
            </w:r>
            <w:r>
              <w:rPr>
                <w:rFonts w:cs="Times New Roman"/>
              </w:rPr>
              <w:t>4</w:t>
            </w:r>
            <w:r>
              <w:rPr>
                <w:rFonts w:cs="Times New Roman"/>
              </w:rPr>
              <w:fldChar w:fldCharType="end"/>
            </w:r>
            <w:r>
              <w:rPr>
                <w:rFonts w:cs="Times New Roman"/>
              </w:rPr>
              <w:noBreakHyphen/>
            </w:r>
            <w:r>
              <w:rPr>
                <w:rFonts w:cs="Times New Roman"/>
              </w:rPr>
              <w:fldChar w:fldCharType="begin"/>
            </w:r>
            <w:r>
              <w:rPr>
                <w:rFonts w:cs="Times New Roman"/>
              </w:rPr>
              <w:instrText xml:space="preserve"> SEQ 表 \* ARABIC \s 1 </w:instrText>
            </w:r>
            <w:r>
              <w:rPr>
                <w:rFonts w:cs="Times New Roman"/>
              </w:rPr>
              <w:fldChar w:fldCharType="separate"/>
            </w:r>
            <w:r>
              <w:rPr>
                <w:rFonts w:cs="Times New Roman"/>
              </w:rPr>
              <w:t>13</w:t>
            </w:r>
            <w:r>
              <w:rPr>
                <w:rFonts w:cs="Times New Roman"/>
              </w:rPr>
              <w:fldChar w:fldCharType="end"/>
            </w:r>
            <w:r>
              <w:rPr>
                <w:rFonts w:cs="Times New Roman"/>
              </w:rPr>
              <w:t xml:space="preserve"> </w:t>
            </w:r>
            <w:bookmarkEnd w:id="82"/>
            <w:bookmarkEnd w:id="83"/>
            <w:r>
              <w:rPr>
                <w:rFonts w:cs="Times New Roman"/>
              </w:rPr>
              <w:t>危废暂存间</w:t>
            </w:r>
            <w:r>
              <w:rPr>
                <w:rFonts w:cs="Times New Roman"/>
                <w:bCs/>
                <w:szCs w:val="21"/>
              </w:rPr>
              <w:t>标识</w:t>
            </w:r>
          </w:p>
          <w:tbl>
            <w:tblPr>
              <w:tblStyle w:val="26"/>
              <w:tblW w:w="5000" w:type="pct"/>
              <w:tblInd w:w="0" w:type="dxa"/>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Layout w:type="autofit"/>
              <w:tblCellMar>
                <w:top w:w="0" w:type="dxa"/>
                <w:left w:w="108" w:type="dxa"/>
                <w:bottom w:w="0" w:type="dxa"/>
                <w:right w:w="108" w:type="dxa"/>
              </w:tblCellMar>
            </w:tblPr>
            <w:tblGrid>
              <w:gridCol w:w="3050"/>
              <w:gridCol w:w="4719"/>
              <w:gridCol w:w="1042"/>
            </w:tblGrid>
            <w:tr w14:paraId="6E7C32F7">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c>
                <w:tcPr>
                  <w:tcW w:w="1731" w:type="pct"/>
                  <w:tcBorders>
                    <w:tl2br w:val="nil"/>
                    <w:tr2bl w:val="nil"/>
                  </w:tcBorders>
                  <w:shd w:val="clear" w:color="auto" w:fill="auto"/>
                  <w:vAlign w:val="center"/>
                </w:tcPr>
                <w:p w14:paraId="2AD19D79">
                  <w:pPr>
                    <w:pStyle w:val="45"/>
                    <w:rPr>
                      <w:rFonts w:cs="Times New Roman"/>
                    </w:rPr>
                  </w:pPr>
                  <w:r>
                    <w:rPr>
                      <w:rFonts w:cs="Times New Roman"/>
                    </w:rPr>
                    <w:t>标牌</w:t>
                  </w:r>
                </w:p>
              </w:tc>
              <w:tc>
                <w:tcPr>
                  <w:tcW w:w="2678" w:type="pct"/>
                  <w:tcBorders>
                    <w:tl2br w:val="nil"/>
                    <w:tr2bl w:val="nil"/>
                  </w:tcBorders>
                  <w:shd w:val="clear" w:color="auto" w:fill="auto"/>
                  <w:vAlign w:val="center"/>
                </w:tcPr>
                <w:p w14:paraId="4692E553">
                  <w:pPr>
                    <w:pStyle w:val="45"/>
                    <w:rPr>
                      <w:rFonts w:cs="Times New Roman"/>
                    </w:rPr>
                  </w:pPr>
                  <w:r>
                    <w:rPr>
                      <w:rFonts w:cs="Times New Roman"/>
                    </w:rPr>
                    <w:t>说明</w:t>
                  </w:r>
                </w:p>
              </w:tc>
              <w:tc>
                <w:tcPr>
                  <w:tcW w:w="591" w:type="pct"/>
                  <w:tcBorders>
                    <w:tl2br w:val="nil"/>
                    <w:tr2bl w:val="nil"/>
                  </w:tcBorders>
                  <w:shd w:val="clear" w:color="auto" w:fill="auto"/>
                  <w:vAlign w:val="center"/>
                </w:tcPr>
                <w:p w14:paraId="0C748E1A">
                  <w:pPr>
                    <w:pStyle w:val="45"/>
                    <w:rPr>
                      <w:rFonts w:cs="Times New Roman"/>
                    </w:rPr>
                  </w:pPr>
                  <w:r>
                    <w:rPr>
                      <w:rFonts w:cs="Times New Roman"/>
                    </w:rPr>
                    <w:t>备注</w:t>
                  </w:r>
                </w:p>
              </w:tc>
            </w:tr>
            <w:tr w14:paraId="6EC2D282">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c>
                <w:tcPr>
                  <w:tcW w:w="1731" w:type="pct"/>
                  <w:tcBorders>
                    <w:tl2br w:val="nil"/>
                    <w:tr2bl w:val="nil"/>
                  </w:tcBorders>
                  <w:shd w:val="clear" w:color="auto" w:fill="auto"/>
                  <w:vAlign w:val="center"/>
                </w:tcPr>
                <w:p w14:paraId="2DBC1E6D">
                  <w:pPr>
                    <w:pStyle w:val="12"/>
                    <w:rPr>
                      <w:rFonts w:cs="Times New Roman"/>
                    </w:rPr>
                  </w:pPr>
                  <w:r>
                    <w:rPr>
                      <w:rFonts w:cs="Times New Roman"/>
                    </w:rPr>
                    <w:drawing>
                      <wp:inline distT="0" distB="0" distL="0" distR="0">
                        <wp:extent cx="1619250" cy="1028700"/>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a:xfrm>
                                  <a:off x="0" y="0"/>
                                  <a:ext cx="1619250" cy="1028700"/>
                                </a:xfrm>
                                <a:prstGeom prst="rect">
                                  <a:avLst/>
                                </a:prstGeom>
                                <a:noFill/>
                                <a:ln>
                                  <a:noFill/>
                                </a:ln>
                              </pic:spPr>
                            </pic:pic>
                          </a:graphicData>
                        </a:graphic>
                      </wp:inline>
                    </w:drawing>
                  </w:r>
                </w:p>
              </w:tc>
              <w:tc>
                <w:tcPr>
                  <w:tcW w:w="2678" w:type="pct"/>
                  <w:tcBorders>
                    <w:tl2br w:val="nil"/>
                    <w:tr2bl w:val="nil"/>
                  </w:tcBorders>
                  <w:shd w:val="clear" w:color="auto" w:fill="auto"/>
                  <w:vAlign w:val="center"/>
                </w:tcPr>
                <w:p w14:paraId="24E7F645">
                  <w:pPr>
                    <w:pStyle w:val="12"/>
                    <w:rPr>
                      <w:rFonts w:cs="Times New Roman"/>
                    </w:rPr>
                  </w:pPr>
                  <w:r>
                    <w:rPr>
                      <w:rFonts w:cs="Times New Roman"/>
                    </w:rPr>
                    <w:t>危险废物贮存、利用、处置设施标志应包含三角形警告性图形标志和文字性辅助标志，其中三角形警告性图形标志应符合GB 15562.2中的要求（如下）。</w:t>
                  </w:r>
                </w:p>
                <w:p w14:paraId="71DF7128">
                  <w:pPr>
                    <w:pStyle w:val="12"/>
                    <w:rPr>
                      <w:rFonts w:cs="Times New Roman"/>
                    </w:rPr>
                  </w:pPr>
                  <w:r>
                    <w:rPr>
                      <w:rFonts w:cs="Times New Roman"/>
                    </w:rPr>
                    <w:t>危险废物警告标志规格为等边三角形，边长40cm，背景为黄色，图形为黑色，适用于危险废物贮存设施为房屋的，建有围墙或防护栅栏，且高度高于100cm时；部分危险废物利用、处置场所。</w:t>
                  </w:r>
                </w:p>
              </w:tc>
              <w:tc>
                <w:tcPr>
                  <w:tcW w:w="591" w:type="pct"/>
                  <w:tcBorders>
                    <w:tl2br w:val="nil"/>
                    <w:tr2bl w:val="nil"/>
                  </w:tcBorders>
                  <w:shd w:val="clear" w:color="auto" w:fill="auto"/>
                  <w:vAlign w:val="center"/>
                </w:tcPr>
                <w:p w14:paraId="2404FF4C">
                  <w:pPr>
                    <w:pStyle w:val="12"/>
                    <w:rPr>
                      <w:rFonts w:cs="Times New Roman"/>
                    </w:rPr>
                  </w:pPr>
                  <w:r>
                    <w:rPr>
                      <w:rFonts w:cs="Times New Roman"/>
                    </w:rPr>
                    <w:t>危险废物贮存设施标志</w:t>
                  </w:r>
                </w:p>
              </w:tc>
            </w:tr>
            <w:tr w14:paraId="2E4C7025">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c>
                <w:tcPr>
                  <w:tcW w:w="1731" w:type="pct"/>
                  <w:tcBorders>
                    <w:tl2br w:val="nil"/>
                    <w:tr2bl w:val="nil"/>
                  </w:tcBorders>
                  <w:shd w:val="clear" w:color="auto" w:fill="auto"/>
                  <w:vAlign w:val="center"/>
                </w:tcPr>
                <w:p w14:paraId="4312C581">
                  <w:pPr>
                    <w:pStyle w:val="12"/>
                    <w:rPr>
                      <w:rFonts w:cs="Times New Roman"/>
                    </w:rPr>
                  </w:pPr>
                  <w:r>
                    <w:rPr>
                      <w:rFonts w:cs="Times New Roman"/>
                    </w:rPr>
                    <w:drawing>
                      <wp:inline distT="0" distB="0" distL="0" distR="0">
                        <wp:extent cx="1619250" cy="1609725"/>
                        <wp:effectExtent l="0" t="0" r="0" b="952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a:xfrm>
                                  <a:off x="0" y="0"/>
                                  <a:ext cx="1619250" cy="1609725"/>
                                </a:xfrm>
                                <a:prstGeom prst="rect">
                                  <a:avLst/>
                                </a:prstGeom>
                                <a:noFill/>
                                <a:ln>
                                  <a:noFill/>
                                </a:ln>
                              </pic:spPr>
                            </pic:pic>
                          </a:graphicData>
                        </a:graphic>
                      </wp:inline>
                    </w:drawing>
                  </w:r>
                </w:p>
              </w:tc>
              <w:tc>
                <w:tcPr>
                  <w:tcW w:w="2678" w:type="pct"/>
                  <w:tcBorders>
                    <w:tl2br w:val="nil"/>
                    <w:tr2bl w:val="nil"/>
                  </w:tcBorders>
                  <w:shd w:val="clear" w:color="auto" w:fill="auto"/>
                  <w:vAlign w:val="center"/>
                </w:tcPr>
                <w:p w14:paraId="422FBE81">
                  <w:pPr>
                    <w:pStyle w:val="12"/>
                    <w:rPr>
                      <w:rFonts w:cs="Times New Roman"/>
                    </w:rPr>
                  </w:pPr>
                  <w:r>
                    <w:rPr>
                      <w:rFonts w:cs="Times New Roman"/>
                    </w:rPr>
                    <w:t>危险废物标签背景色应采用醒目的橘黄色，RGB颜色值为（255，150，0）。</w:t>
                  </w:r>
                </w:p>
                <w:p w14:paraId="3CAC3022">
                  <w:pPr>
                    <w:pStyle w:val="12"/>
                    <w:rPr>
                      <w:rFonts w:cs="Times New Roman"/>
                    </w:rPr>
                  </w:pPr>
                  <w:r>
                    <w:rPr>
                      <w:rFonts w:cs="Times New Roman"/>
                    </w:rPr>
                    <w:t>标签边框和字体颜色为黑色，RGB颜色值为（0，0，0）。</w:t>
                  </w:r>
                </w:p>
                <w:p w14:paraId="34BF56F4">
                  <w:pPr>
                    <w:pStyle w:val="12"/>
                    <w:rPr>
                      <w:rFonts w:cs="Times New Roman"/>
                    </w:rPr>
                  </w:pPr>
                  <w:r>
                    <w:rPr>
                      <w:rFonts w:cs="Times New Roman"/>
                    </w:rPr>
                    <w:t>危险废物标签字体宜采用黑体字，其中“危险废物”字样应加粗放大。</w:t>
                  </w:r>
                </w:p>
              </w:tc>
              <w:tc>
                <w:tcPr>
                  <w:tcW w:w="591" w:type="pct"/>
                  <w:tcBorders>
                    <w:tl2br w:val="nil"/>
                    <w:tr2bl w:val="nil"/>
                  </w:tcBorders>
                  <w:shd w:val="clear" w:color="auto" w:fill="auto"/>
                  <w:vAlign w:val="center"/>
                </w:tcPr>
                <w:p w14:paraId="2B7796E0">
                  <w:pPr>
                    <w:pStyle w:val="12"/>
                    <w:rPr>
                      <w:rFonts w:cs="Times New Roman"/>
                    </w:rPr>
                  </w:pPr>
                  <w:r>
                    <w:rPr>
                      <w:rFonts w:cs="Times New Roman"/>
                    </w:rPr>
                    <w:t>粘贴于危险废物储存容器上的危险废物标</w:t>
                  </w:r>
                </w:p>
                <w:p w14:paraId="25E3C6C0">
                  <w:pPr>
                    <w:pStyle w:val="12"/>
                    <w:rPr>
                      <w:rFonts w:cs="Times New Roman"/>
                    </w:rPr>
                  </w:pPr>
                  <w:r>
                    <w:rPr>
                      <w:rFonts w:cs="Times New Roman"/>
                    </w:rPr>
                    <w:t>签</w:t>
                  </w:r>
                </w:p>
              </w:tc>
            </w:tr>
          </w:tbl>
          <w:p w14:paraId="76AEC831">
            <w:pPr>
              <w:pStyle w:val="3"/>
              <w:spacing w:before="163"/>
              <w:rPr>
                <w:rFonts w:hint="default" w:eastAsia="宋体"/>
                <w:lang w:val="en-US" w:eastAsia="zh-CN" w:bidi="ar"/>
              </w:rPr>
            </w:pPr>
            <w:r>
              <w:rPr>
                <w:rFonts w:hint="eastAsia"/>
                <w:lang w:val="en-US" w:eastAsia="zh-CN" w:bidi="ar"/>
              </w:rPr>
              <w:t>9</w:t>
            </w:r>
            <w:r>
              <w:rPr>
                <w:lang w:bidi="ar"/>
              </w:rPr>
              <w:t>、</w:t>
            </w:r>
            <w:r>
              <w:rPr>
                <w:rFonts w:hint="eastAsia"/>
                <w:lang w:val="en-US" w:eastAsia="zh-CN" w:bidi="ar"/>
              </w:rPr>
              <w:t>其他环境管理要求</w:t>
            </w:r>
          </w:p>
          <w:p w14:paraId="325E08A1">
            <w:pPr>
              <w:adjustRightInd w:val="0"/>
              <w:spacing w:line="360" w:lineRule="auto"/>
              <w:rPr>
                <w:color w:val="auto"/>
                <w:sz w:val="24"/>
              </w:rPr>
            </w:pPr>
            <w:r>
              <w:rPr>
                <w:rFonts w:hint="eastAsia"/>
                <w:color w:val="auto"/>
                <w:sz w:val="24"/>
                <w:lang w:eastAsia="zh-CN"/>
              </w:rPr>
              <w:t>（</w:t>
            </w:r>
            <w:r>
              <w:rPr>
                <w:rFonts w:hint="eastAsia"/>
                <w:color w:val="auto"/>
                <w:sz w:val="24"/>
                <w:lang w:val="en-US" w:eastAsia="zh-CN"/>
              </w:rPr>
              <w:t>1</w:t>
            </w:r>
            <w:r>
              <w:rPr>
                <w:rFonts w:hint="eastAsia"/>
                <w:color w:val="auto"/>
                <w:sz w:val="24"/>
                <w:lang w:eastAsia="zh-CN"/>
              </w:rPr>
              <w:t>）</w:t>
            </w:r>
            <w:r>
              <w:rPr>
                <w:color w:val="auto"/>
                <w:sz w:val="24"/>
              </w:rPr>
              <w:t>水基</w:t>
            </w:r>
            <w:r>
              <w:rPr>
                <w:rFonts w:hint="eastAsia"/>
                <w:color w:val="auto"/>
                <w:sz w:val="24"/>
              </w:rPr>
              <w:t>岩屑</w:t>
            </w:r>
            <w:r>
              <w:rPr>
                <w:color w:val="auto"/>
                <w:sz w:val="24"/>
              </w:rPr>
              <w:t>管理要求</w:t>
            </w:r>
          </w:p>
          <w:p w14:paraId="17A3ADD6">
            <w:pPr>
              <w:adjustRightInd w:val="0"/>
              <w:spacing w:line="360" w:lineRule="auto"/>
              <w:ind w:firstLine="480" w:firstLineChars="200"/>
              <w:rPr>
                <w:color w:val="auto"/>
                <w:sz w:val="24"/>
              </w:rPr>
            </w:pPr>
            <w:r>
              <w:rPr>
                <w:color w:val="auto"/>
                <w:sz w:val="24"/>
              </w:rPr>
              <w:t>1）水基</w:t>
            </w:r>
            <w:r>
              <w:rPr>
                <w:rFonts w:hint="eastAsia"/>
                <w:color w:val="auto"/>
                <w:sz w:val="24"/>
              </w:rPr>
              <w:t>岩屑</w:t>
            </w:r>
            <w:r>
              <w:rPr>
                <w:color w:val="auto"/>
                <w:sz w:val="24"/>
              </w:rPr>
              <w:t>收集运输系统</w:t>
            </w:r>
          </w:p>
          <w:p w14:paraId="7FF5BF32">
            <w:pPr>
              <w:adjustRightInd w:val="0"/>
              <w:spacing w:line="360" w:lineRule="auto"/>
              <w:ind w:firstLine="480" w:firstLineChars="200"/>
              <w:rPr>
                <w:color w:val="auto"/>
                <w:sz w:val="24"/>
              </w:rPr>
            </w:pPr>
            <w:r>
              <w:rPr>
                <w:color w:val="auto"/>
                <w:sz w:val="24"/>
              </w:rPr>
              <w:t>本项目的</w:t>
            </w:r>
            <w:r>
              <w:rPr>
                <w:rFonts w:hint="eastAsia"/>
                <w:color w:val="auto"/>
                <w:sz w:val="24"/>
              </w:rPr>
              <w:t>综合利用对象</w:t>
            </w:r>
            <w:r>
              <w:rPr>
                <w:color w:val="auto"/>
                <w:sz w:val="24"/>
              </w:rPr>
              <w:t>为</w:t>
            </w:r>
            <w:r>
              <w:rPr>
                <w:rFonts w:hint="eastAsia"/>
                <w:color w:val="auto"/>
                <w:sz w:val="24"/>
              </w:rPr>
              <w:t>水基岩屑</w:t>
            </w:r>
            <w:r>
              <w:rPr>
                <w:color w:val="auto"/>
                <w:sz w:val="24"/>
              </w:rPr>
              <w:t>，主要是</w:t>
            </w:r>
            <w:r>
              <w:rPr>
                <w:rFonts w:hint="eastAsia"/>
                <w:color w:val="auto"/>
                <w:sz w:val="24"/>
                <w:lang w:eastAsia="zh-CN"/>
              </w:rPr>
              <w:t>天然气</w:t>
            </w:r>
            <w:r>
              <w:rPr>
                <w:color w:val="auto"/>
                <w:sz w:val="24"/>
              </w:rPr>
              <w:t>开采过程中产生的</w:t>
            </w:r>
            <w:r>
              <w:rPr>
                <w:rFonts w:hint="eastAsia"/>
                <w:color w:val="auto"/>
                <w:sz w:val="24"/>
              </w:rPr>
              <w:t>水基岩屑</w:t>
            </w:r>
            <w:r>
              <w:rPr>
                <w:color w:val="auto"/>
                <w:sz w:val="24"/>
              </w:rPr>
              <w:t>，属一般废物。需按照国家规定要求，制定相应的收运方式。</w:t>
            </w:r>
          </w:p>
          <w:p w14:paraId="53347DDA">
            <w:pPr>
              <w:adjustRightInd w:val="0"/>
              <w:spacing w:line="360" w:lineRule="auto"/>
              <w:ind w:firstLine="480" w:firstLineChars="200"/>
              <w:rPr>
                <w:color w:val="auto"/>
                <w:sz w:val="24"/>
              </w:rPr>
            </w:pPr>
            <w:r>
              <w:rPr>
                <w:color w:val="auto"/>
                <w:sz w:val="24"/>
              </w:rPr>
              <w:t>项目采用公路运输的方式，</w:t>
            </w:r>
            <w:r>
              <w:rPr>
                <w:rFonts w:hint="eastAsia"/>
                <w:color w:val="auto"/>
                <w:sz w:val="24"/>
                <w:lang w:eastAsia="zh-CN"/>
              </w:rPr>
              <w:t>提供单位</w:t>
            </w:r>
            <w:r>
              <w:rPr>
                <w:color w:val="auto"/>
                <w:sz w:val="24"/>
              </w:rPr>
              <w:t>与第三方专业运输公司签订的委托运输合同，</w:t>
            </w:r>
            <w:r>
              <w:rPr>
                <w:rFonts w:hint="eastAsia"/>
                <w:color w:val="auto"/>
                <w:sz w:val="24"/>
                <w:lang w:val="en-US" w:eastAsia="zh-CN"/>
              </w:rPr>
              <w:t>由</w:t>
            </w:r>
            <w:r>
              <w:rPr>
                <w:color w:val="auto"/>
                <w:sz w:val="24"/>
              </w:rPr>
              <w:t>第三方专业运输公司进行运输。</w:t>
            </w:r>
            <w:r>
              <w:rPr>
                <w:rFonts w:hint="eastAsia"/>
                <w:color w:val="auto"/>
                <w:sz w:val="24"/>
              </w:rPr>
              <w:t>水基岩屑</w:t>
            </w:r>
            <w:r>
              <w:rPr>
                <w:color w:val="auto"/>
                <w:sz w:val="24"/>
              </w:rPr>
              <w:t>的运输要求安全可靠，并要严格按照货物运输的管理规定进行固化物的运输，减少运输过程中的二次污染和可能造成的环境风险。</w:t>
            </w:r>
          </w:p>
          <w:p w14:paraId="6A830F2C">
            <w:pPr>
              <w:adjustRightInd w:val="0"/>
              <w:spacing w:line="360" w:lineRule="auto"/>
              <w:ind w:firstLine="480" w:firstLineChars="200"/>
              <w:rPr>
                <w:color w:val="auto"/>
                <w:sz w:val="24"/>
              </w:rPr>
            </w:pPr>
            <w:r>
              <w:rPr>
                <w:color w:val="auto"/>
                <w:sz w:val="24"/>
              </w:rPr>
              <w:t>本项目的</w:t>
            </w:r>
            <w:r>
              <w:rPr>
                <w:rFonts w:hint="eastAsia"/>
                <w:color w:val="auto"/>
                <w:sz w:val="24"/>
              </w:rPr>
              <w:t>水基岩屑</w:t>
            </w:r>
            <w:r>
              <w:rPr>
                <w:color w:val="auto"/>
                <w:sz w:val="24"/>
              </w:rPr>
              <w:t>运输采取公路运输的方式。选专用转运车，按时到各钻井平台暂存点收集、装运</w:t>
            </w:r>
            <w:r>
              <w:rPr>
                <w:rFonts w:hint="eastAsia"/>
                <w:color w:val="auto"/>
                <w:sz w:val="24"/>
              </w:rPr>
              <w:t>水基岩屑</w:t>
            </w:r>
            <w:r>
              <w:rPr>
                <w:color w:val="auto"/>
                <w:sz w:val="24"/>
              </w:rPr>
              <w:t>，并选用路线短、对沿路影响小的运输路线，避免在装、运途中产生二次污染。</w:t>
            </w:r>
          </w:p>
          <w:p w14:paraId="53A2BEF1">
            <w:pPr>
              <w:adjustRightInd w:val="0"/>
              <w:spacing w:line="360" w:lineRule="auto"/>
              <w:ind w:firstLine="480" w:firstLineChars="200"/>
              <w:rPr>
                <w:color w:val="auto"/>
                <w:sz w:val="24"/>
              </w:rPr>
            </w:pPr>
            <w:r>
              <w:rPr>
                <w:color w:val="auto"/>
                <w:sz w:val="24"/>
              </w:rPr>
              <w:t>根据各平台</w:t>
            </w:r>
            <w:r>
              <w:rPr>
                <w:rFonts w:hint="eastAsia"/>
                <w:color w:val="auto"/>
                <w:sz w:val="24"/>
              </w:rPr>
              <w:t>水基岩屑</w:t>
            </w:r>
            <w:r>
              <w:rPr>
                <w:color w:val="auto"/>
                <w:sz w:val="24"/>
              </w:rPr>
              <w:t>产生量，设计运输线路、时间及频次。综合考虑服务区域、运距、交通、废物产量和经济性等因素。</w:t>
            </w:r>
          </w:p>
          <w:p w14:paraId="76CA80CF">
            <w:pPr>
              <w:adjustRightInd w:val="0"/>
              <w:spacing w:line="360" w:lineRule="auto"/>
              <w:ind w:firstLine="480" w:firstLineChars="200"/>
              <w:rPr>
                <w:color w:val="auto"/>
                <w:sz w:val="24"/>
              </w:rPr>
            </w:pPr>
            <w:r>
              <w:rPr>
                <w:rFonts w:hint="eastAsia"/>
                <w:color w:val="auto"/>
                <w:sz w:val="24"/>
                <w:lang w:eastAsia="zh-CN"/>
              </w:rPr>
              <w:t>（</w:t>
            </w:r>
            <w:r>
              <w:rPr>
                <w:color w:val="auto"/>
                <w:sz w:val="24"/>
              </w:rPr>
              <w:t>2）确保本项目只针对</w:t>
            </w:r>
            <w:r>
              <w:rPr>
                <w:rFonts w:hint="eastAsia"/>
                <w:color w:val="auto"/>
                <w:sz w:val="24"/>
              </w:rPr>
              <w:t>水基岩屑</w:t>
            </w:r>
            <w:r>
              <w:rPr>
                <w:color w:val="auto"/>
                <w:sz w:val="24"/>
              </w:rPr>
              <w:t>处理的分析</w:t>
            </w:r>
          </w:p>
          <w:p w14:paraId="5E2BBC8C">
            <w:pPr>
              <w:adjustRightInd w:val="0"/>
              <w:spacing w:line="360" w:lineRule="auto"/>
              <w:ind w:firstLine="480" w:firstLineChars="200"/>
              <w:rPr>
                <w:color w:val="auto"/>
                <w:sz w:val="24"/>
              </w:rPr>
            </w:pPr>
            <w:r>
              <w:rPr>
                <w:color w:val="auto"/>
                <w:sz w:val="24"/>
              </w:rPr>
              <w:t>本项目只针对</w:t>
            </w:r>
            <w:r>
              <w:rPr>
                <w:rFonts w:hint="eastAsia"/>
                <w:color w:val="auto"/>
                <w:sz w:val="24"/>
              </w:rPr>
              <w:t>水基岩屑</w:t>
            </w:r>
            <w:r>
              <w:rPr>
                <w:color w:val="auto"/>
                <w:sz w:val="24"/>
              </w:rPr>
              <w:t>的处理，不涉及油基固化物的处理。为确保本项目处理的固化物为</w:t>
            </w:r>
            <w:r>
              <w:rPr>
                <w:rFonts w:hint="eastAsia"/>
                <w:color w:val="auto"/>
                <w:sz w:val="24"/>
              </w:rPr>
              <w:t>水基岩屑</w:t>
            </w:r>
            <w:r>
              <w:rPr>
                <w:color w:val="auto"/>
                <w:sz w:val="24"/>
              </w:rPr>
              <w:t>，本环评提出以下要求：</w:t>
            </w:r>
          </w:p>
          <w:p w14:paraId="2B763AB5">
            <w:pPr>
              <w:adjustRightInd w:val="0"/>
              <w:spacing w:line="360" w:lineRule="auto"/>
              <w:ind w:firstLine="480" w:firstLineChars="200"/>
              <w:rPr>
                <w:color w:val="auto"/>
                <w:sz w:val="24"/>
              </w:rPr>
            </w:pPr>
            <w:r>
              <w:rPr>
                <w:color w:val="auto"/>
                <w:sz w:val="24"/>
              </w:rPr>
              <w:t>①每次在开采井运回固化物时需要明确固化物性质为</w:t>
            </w:r>
            <w:r>
              <w:rPr>
                <w:rFonts w:hint="eastAsia"/>
                <w:color w:val="auto"/>
                <w:sz w:val="24"/>
              </w:rPr>
              <w:t>水基岩屑</w:t>
            </w:r>
            <w:r>
              <w:rPr>
                <w:color w:val="auto"/>
                <w:sz w:val="24"/>
              </w:rPr>
              <w:t>，</w:t>
            </w:r>
            <w:r>
              <w:rPr>
                <w:rFonts w:hint="eastAsia"/>
                <w:color w:val="auto"/>
                <w:sz w:val="24"/>
              </w:rPr>
              <w:t>建立台账，</w:t>
            </w:r>
            <w:r>
              <w:rPr>
                <w:color w:val="auto"/>
                <w:sz w:val="24"/>
              </w:rPr>
              <w:t>相关负责人进行签字确认；</w:t>
            </w:r>
          </w:p>
          <w:p w14:paraId="212B1405">
            <w:pPr>
              <w:adjustRightInd w:val="0"/>
              <w:spacing w:line="360" w:lineRule="auto"/>
              <w:ind w:firstLine="480" w:firstLineChars="200"/>
              <w:rPr>
                <w:rFonts w:hint="eastAsia" w:ascii="宋体" w:hAnsi="宋体" w:cs="宋体"/>
                <w:color w:val="000000"/>
                <w:kern w:val="0"/>
                <w:sz w:val="24"/>
                <w:szCs w:val="24"/>
                <w:lang w:val="en-US" w:eastAsia="zh-CN" w:bidi="ar"/>
              </w:rPr>
            </w:pPr>
            <w:r>
              <w:rPr>
                <w:rFonts w:hint="eastAsia"/>
                <w:color w:val="auto"/>
                <w:sz w:val="24"/>
                <w:lang w:val="en-US" w:eastAsia="zh-CN"/>
              </w:rPr>
              <w:t>②</w:t>
            </w:r>
            <w:r>
              <w:rPr>
                <w:rFonts w:hint="eastAsia" w:ascii="宋体" w:hAnsi="宋体" w:cs="宋体"/>
                <w:color w:val="000000"/>
                <w:kern w:val="0"/>
                <w:sz w:val="24"/>
                <w:szCs w:val="24"/>
                <w:lang w:val="en-US" w:eastAsia="zh-CN" w:bidi="ar"/>
              </w:rPr>
              <w:t>本项目来料单位需提供井场环保手续，明确钻井方式；</w:t>
            </w:r>
          </w:p>
          <w:p w14:paraId="6F279A39">
            <w:pPr>
              <w:adjustRightInd w:val="0"/>
              <w:spacing w:line="360" w:lineRule="auto"/>
              <w:ind w:firstLine="480" w:firstLineChars="200"/>
              <w:rPr>
                <w:rFonts w:hint="eastAsia" w:eastAsia="宋体"/>
                <w:color w:val="auto"/>
                <w:sz w:val="24"/>
                <w:lang w:eastAsia="zh-CN"/>
              </w:rPr>
            </w:pPr>
            <w:r>
              <w:rPr>
                <w:rFonts w:hint="eastAsia" w:ascii="宋体" w:hAnsi="宋体" w:cs="宋体"/>
                <w:color w:val="000000"/>
                <w:kern w:val="0"/>
                <w:sz w:val="24"/>
                <w:szCs w:val="24"/>
                <w:lang w:val="en-US" w:eastAsia="zh-CN" w:bidi="ar"/>
              </w:rPr>
              <w:t>③</w:t>
            </w:r>
            <w:r>
              <w:rPr>
                <w:color w:val="auto"/>
                <w:sz w:val="24"/>
              </w:rPr>
              <w:t>开采方每口井提供相应的检测报告，证明</w:t>
            </w:r>
            <w:r>
              <w:rPr>
                <w:rFonts w:hint="eastAsia"/>
                <w:color w:val="auto"/>
                <w:sz w:val="24"/>
              </w:rPr>
              <w:t>水基岩屑</w:t>
            </w:r>
            <w:r>
              <w:rPr>
                <w:color w:val="auto"/>
                <w:sz w:val="24"/>
              </w:rPr>
              <w:t>的理化性质和无毒性</w:t>
            </w:r>
            <w:r>
              <w:rPr>
                <w:rFonts w:hint="eastAsia"/>
                <w:color w:val="auto"/>
                <w:sz w:val="24"/>
                <w:lang w:eastAsia="zh-CN"/>
              </w:rPr>
              <w:t>。</w:t>
            </w:r>
          </w:p>
          <w:p w14:paraId="1BDAF618">
            <w:pPr>
              <w:adjustRightInd w:val="0"/>
              <w:spacing w:line="360" w:lineRule="auto"/>
              <w:ind w:firstLine="480" w:firstLineChars="200"/>
              <w:rPr>
                <w:color w:val="auto"/>
                <w:sz w:val="24"/>
              </w:rPr>
            </w:pPr>
            <w:r>
              <w:rPr>
                <w:rFonts w:hint="eastAsia"/>
                <w:color w:val="auto"/>
                <w:sz w:val="24"/>
                <w:lang w:eastAsia="zh-CN"/>
              </w:rPr>
              <w:t>（</w:t>
            </w:r>
            <w:r>
              <w:rPr>
                <w:rFonts w:hint="eastAsia"/>
                <w:color w:val="auto"/>
                <w:sz w:val="24"/>
              </w:rPr>
              <w:t>3）水基岩屑资源化利用要求</w:t>
            </w:r>
          </w:p>
          <w:p w14:paraId="64836D13">
            <w:pPr>
              <w:adjustRightInd w:val="0"/>
              <w:spacing w:line="360" w:lineRule="auto"/>
              <w:ind w:firstLine="480" w:firstLineChars="200"/>
              <w:rPr>
                <w:color w:val="auto"/>
                <w:sz w:val="24"/>
              </w:rPr>
            </w:pPr>
            <w:r>
              <w:rPr>
                <w:rFonts w:hint="eastAsia"/>
                <w:color w:val="auto"/>
                <w:sz w:val="24"/>
              </w:rPr>
              <w:t>定期对水基岩屑及</w:t>
            </w:r>
            <w:r>
              <w:rPr>
                <w:rFonts w:hint="eastAsia"/>
                <w:color w:val="auto"/>
                <w:sz w:val="24"/>
                <w:lang w:val="en-US" w:eastAsia="zh-CN"/>
              </w:rPr>
              <w:t>产品</w:t>
            </w:r>
            <w:r>
              <w:rPr>
                <w:rFonts w:hint="eastAsia"/>
                <w:color w:val="auto"/>
                <w:sz w:val="24"/>
              </w:rPr>
              <w:t>进行检测，其质量标准需满足</w:t>
            </w:r>
            <w:r>
              <w:rPr>
                <w:color w:val="auto"/>
                <w:sz w:val="24"/>
              </w:rPr>
              <w:t>《陆上石油天然气开采水基钻井废弃物处理处置及资源化利用技术规范》（SY/T7466-2020）中资源化利用及处置技术要求</w:t>
            </w:r>
            <w:r>
              <w:rPr>
                <w:rFonts w:hint="eastAsia"/>
                <w:color w:val="auto"/>
                <w:sz w:val="24"/>
              </w:rPr>
              <w:t>。</w:t>
            </w:r>
          </w:p>
          <w:p w14:paraId="686C25E1">
            <w:pPr>
              <w:adjustRightInd w:val="0"/>
              <w:spacing w:line="360" w:lineRule="auto"/>
              <w:rPr>
                <w:color w:val="auto"/>
                <w:sz w:val="24"/>
              </w:rPr>
            </w:pPr>
            <w:r>
              <w:rPr>
                <w:rFonts w:hint="eastAsia"/>
                <w:color w:val="auto"/>
                <w:sz w:val="24"/>
                <w:lang w:val="en-US" w:eastAsia="zh-CN"/>
              </w:rPr>
              <w:t>2、</w:t>
            </w:r>
            <w:r>
              <w:rPr>
                <w:color w:val="auto"/>
                <w:sz w:val="24"/>
              </w:rPr>
              <w:t>工程设施的环境管理要求</w:t>
            </w:r>
          </w:p>
          <w:p w14:paraId="14D4E4E2">
            <w:pPr>
              <w:adjustRightInd w:val="0"/>
              <w:spacing w:line="360" w:lineRule="auto"/>
              <w:ind w:firstLine="480" w:firstLineChars="200"/>
              <w:rPr>
                <w:color w:val="auto"/>
                <w:sz w:val="24"/>
              </w:rPr>
            </w:pPr>
            <w:r>
              <w:rPr>
                <w:color w:val="auto"/>
                <w:sz w:val="24"/>
              </w:rPr>
              <w:t>本项目营运期工程设施的环境管理计划包括污染物排放清单、执行标准、监测计划、排污口信息、向社会公开的信息内容。</w:t>
            </w:r>
          </w:p>
          <w:p w14:paraId="0E868440">
            <w:pPr>
              <w:adjustRightInd w:val="0"/>
              <w:spacing w:line="360" w:lineRule="auto"/>
              <w:rPr>
                <w:color w:val="auto"/>
                <w:sz w:val="24"/>
              </w:rPr>
            </w:pPr>
            <w:r>
              <w:rPr>
                <w:rFonts w:hint="eastAsia"/>
                <w:color w:val="auto"/>
                <w:sz w:val="24"/>
                <w:lang w:val="en-US" w:eastAsia="zh-CN"/>
              </w:rPr>
              <w:t>3、</w:t>
            </w:r>
            <w:r>
              <w:rPr>
                <w:color w:val="auto"/>
                <w:sz w:val="24"/>
              </w:rPr>
              <w:t>制度约束的环境管理计划</w:t>
            </w:r>
          </w:p>
          <w:p w14:paraId="09DF74AE">
            <w:pPr>
              <w:adjustRightInd w:val="0"/>
              <w:spacing w:line="360" w:lineRule="auto"/>
              <w:ind w:firstLine="480" w:firstLineChars="200"/>
              <w:rPr>
                <w:color w:val="auto"/>
                <w:sz w:val="24"/>
              </w:rPr>
            </w:pPr>
            <w:r>
              <w:rPr>
                <w:color w:val="auto"/>
                <w:sz w:val="24"/>
              </w:rPr>
              <w:t>①分别针对噪声影响、生活垃圾收集、废水处理、废气治理等防控措施，制定相应的制度约束内容，确定各项制度约束实施的责任主体、监管主体、履责内容和奖惩细则。</w:t>
            </w:r>
          </w:p>
          <w:p w14:paraId="5EBC2033">
            <w:pPr>
              <w:adjustRightInd w:val="0"/>
              <w:spacing w:line="360" w:lineRule="auto"/>
              <w:ind w:firstLine="480" w:firstLineChars="200"/>
              <w:rPr>
                <w:color w:val="auto"/>
                <w:sz w:val="24"/>
              </w:rPr>
            </w:pPr>
            <w:r>
              <w:rPr>
                <w:color w:val="auto"/>
                <w:sz w:val="24"/>
              </w:rPr>
              <w:t>②分别针对污水处理设施、大气治理设施、噪声源强控制设施、固废暂存设施等工程措施，制定相应的设施运行操作规则、预期目标、监督实施和责任分工。</w:t>
            </w:r>
          </w:p>
          <w:p w14:paraId="51CD9279">
            <w:pPr>
              <w:pStyle w:val="3"/>
              <w:spacing w:before="163"/>
              <w:rPr>
                <w:lang w:bidi="ar"/>
              </w:rPr>
            </w:pPr>
            <w:r>
              <w:rPr>
                <w:rFonts w:hint="eastAsia"/>
                <w:lang w:val="en-US" w:eastAsia="zh-CN" w:bidi="ar"/>
              </w:rPr>
              <w:t>10</w:t>
            </w:r>
            <w:r>
              <w:rPr>
                <w:lang w:bidi="ar"/>
              </w:rPr>
              <w:t>、环保投资估算</w:t>
            </w:r>
          </w:p>
          <w:p w14:paraId="6FDC3FA9">
            <w:pPr>
              <w:adjustRightInd w:val="0"/>
              <w:snapToGrid w:val="0"/>
              <w:ind w:firstLine="440"/>
              <w:rPr>
                <w:rFonts w:cs="Times New Roman"/>
                <w:b/>
                <w:bCs/>
                <w:szCs w:val="21"/>
              </w:rPr>
            </w:pPr>
            <w:r>
              <w:rPr>
                <w:rFonts w:cs="Times New Roman"/>
                <w:bCs/>
                <w:spacing w:val="-10"/>
              </w:rPr>
              <w:t>本项目总投资</w:t>
            </w:r>
            <w:r>
              <w:rPr>
                <w:rFonts w:hint="eastAsia" w:cs="Times New Roman"/>
                <w:bCs/>
                <w:spacing w:val="-10"/>
                <w:lang w:val="en-US" w:eastAsia="zh-CN"/>
              </w:rPr>
              <w:t>3000</w:t>
            </w:r>
            <w:r>
              <w:rPr>
                <w:rFonts w:cs="Times New Roman"/>
                <w:bCs/>
                <w:spacing w:val="-10"/>
              </w:rPr>
              <w:t>万元，</w:t>
            </w:r>
            <w:r>
              <w:rPr>
                <w:rFonts w:cs="Times New Roman"/>
                <w:bCs/>
              </w:rPr>
              <w:t>环保投资</w:t>
            </w:r>
            <w:r>
              <w:rPr>
                <w:rFonts w:hint="eastAsia" w:cs="Times New Roman"/>
                <w:bCs/>
                <w:lang w:val="en-US" w:eastAsia="zh-CN"/>
              </w:rPr>
              <w:t>141</w:t>
            </w:r>
            <w:r>
              <w:rPr>
                <w:rFonts w:cs="Times New Roman"/>
                <w:bCs/>
              </w:rPr>
              <w:t>万元，占总投资的</w:t>
            </w:r>
            <w:r>
              <w:rPr>
                <w:rFonts w:hint="eastAsia" w:cs="Times New Roman"/>
                <w:bCs/>
                <w:lang w:val="en-US" w:eastAsia="zh-CN"/>
              </w:rPr>
              <w:t>4.7</w:t>
            </w:r>
            <w:r>
              <w:rPr>
                <w:rFonts w:cs="Times New Roman"/>
                <w:bCs/>
              </w:rPr>
              <w:t>%。</w:t>
            </w:r>
            <w:r>
              <w:rPr>
                <w:rFonts w:cs="Times New Roman"/>
                <w:kern w:val="0"/>
              </w:rPr>
              <w:t>环保治理措施及投资一览表见下表所示。</w:t>
            </w:r>
          </w:p>
          <w:p w14:paraId="6F832450">
            <w:pPr>
              <w:pStyle w:val="11"/>
              <w:rPr>
                <w:rFonts w:cs="Times New Roman"/>
                <w:sz w:val="24"/>
              </w:rPr>
            </w:pPr>
            <w:r>
              <w:rPr>
                <w:rFonts w:cs="Times New Roman"/>
              </w:rPr>
              <w:t>表</w:t>
            </w:r>
            <w:r>
              <w:rPr>
                <w:rFonts w:cs="Times New Roman"/>
              </w:rPr>
              <w:fldChar w:fldCharType="begin"/>
            </w:r>
            <w:r>
              <w:rPr>
                <w:rFonts w:cs="Times New Roman"/>
              </w:rPr>
              <w:instrText xml:space="preserve"> SEQ seq \c </w:instrText>
            </w:r>
            <w:r>
              <w:rPr>
                <w:rFonts w:cs="Times New Roman"/>
              </w:rPr>
              <w:fldChar w:fldCharType="separate"/>
            </w:r>
            <w:r>
              <w:rPr>
                <w:rFonts w:cs="Times New Roman"/>
              </w:rPr>
              <w:t>4</w:t>
            </w:r>
            <w:r>
              <w:rPr>
                <w:rFonts w:cs="Times New Roman"/>
              </w:rPr>
              <w:fldChar w:fldCharType="end"/>
            </w:r>
            <w:r>
              <w:rPr>
                <w:rFonts w:cs="Times New Roman"/>
              </w:rPr>
              <w:noBreakHyphen/>
            </w:r>
            <w:r>
              <w:rPr>
                <w:rFonts w:cs="Times New Roman"/>
              </w:rPr>
              <w:fldChar w:fldCharType="begin"/>
            </w:r>
            <w:r>
              <w:rPr>
                <w:rFonts w:cs="Times New Roman"/>
              </w:rPr>
              <w:instrText xml:space="preserve"> SEQ 表 \* ARABIC \s 1 </w:instrText>
            </w:r>
            <w:r>
              <w:rPr>
                <w:rFonts w:cs="Times New Roman"/>
              </w:rPr>
              <w:fldChar w:fldCharType="separate"/>
            </w:r>
            <w:r>
              <w:rPr>
                <w:rFonts w:cs="Times New Roman"/>
              </w:rPr>
              <w:t>14</w:t>
            </w:r>
            <w:r>
              <w:rPr>
                <w:rFonts w:cs="Times New Roman"/>
              </w:rPr>
              <w:fldChar w:fldCharType="end"/>
            </w:r>
            <w:r>
              <w:rPr>
                <w:rFonts w:hint="eastAsia" w:cs="Times New Roman"/>
                <w:lang w:val="en-US" w:eastAsia="zh-CN"/>
              </w:rPr>
              <w:t xml:space="preserve"> </w:t>
            </w:r>
            <w:r>
              <w:rPr>
                <w:rFonts w:cs="Times New Roman"/>
                <w:szCs w:val="21"/>
              </w:rPr>
              <w:t>项目环保投资一览表</w:t>
            </w:r>
          </w:p>
          <w:tbl>
            <w:tblPr>
              <w:tblStyle w:val="26"/>
              <w:tblW w:w="4999" w:type="pct"/>
              <w:tblInd w:w="0" w:type="dxa"/>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Layout w:type="autofit"/>
              <w:tblCellMar>
                <w:top w:w="0" w:type="dxa"/>
                <w:left w:w="0" w:type="dxa"/>
                <w:bottom w:w="0" w:type="dxa"/>
                <w:right w:w="0" w:type="dxa"/>
              </w:tblCellMar>
            </w:tblPr>
            <w:tblGrid>
              <w:gridCol w:w="897"/>
              <w:gridCol w:w="923"/>
              <w:gridCol w:w="1182"/>
              <w:gridCol w:w="4145"/>
              <w:gridCol w:w="802"/>
              <w:gridCol w:w="860"/>
            </w:tblGrid>
            <w:tr w14:paraId="0EE3B446">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57" w:hRule="atLeast"/>
              </w:trPr>
              <w:tc>
                <w:tcPr>
                  <w:tcW w:w="509" w:type="pct"/>
                  <w:tcBorders>
                    <w:tl2br w:val="nil"/>
                    <w:tr2bl w:val="nil"/>
                  </w:tcBorders>
                  <w:vAlign w:val="center"/>
                </w:tcPr>
                <w:p w14:paraId="7BA98C03">
                  <w:pPr>
                    <w:pStyle w:val="45"/>
                    <w:keepNext w:val="0"/>
                    <w:keepLines w:val="0"/>
                    <w:pageBreakBefore w:val="0"/>
                    <w:kinsoku/>
                    <w:wordWrap/>
                    <w:overflowPunct/>
                    <w:topLinePunct w:val="0"/>
                    <w:autoSpaceDE/>
                    <w:autoSpaceDN/>
                    <w:bidi w:val="0"/>
                    <w:spacing w:line="240" w:lineRule="auto"/>
                    <w:ind w:firstLine="0" w:firstLineChars="0"/>
                    <w:textAlignment w:val="auto"/>
                    <w:rPr>
                      <w:rFonts w:cs="Times New Roman"/>
                      <w:sz w:val="21"/>
                      <w:szCs w:val="21"/>
                    </w:rPr>
                  </w:pPr>
                  <w:r>
                    <w:rPr>
                      <w:rFonts w:cs="Times New Roman"/>
                      <w:sz w:val="21"/>
                      <w:szCs w:val="21"/>
                    </w:rPr>
                    <w:t>类别</w:t>
                  </w:r>
                </w:p>
              </w:tc>
              <w:tc>
                <w:tcPr>
                  <w:tcW w:w="524" w:type="pct"/>
                  <w:tcBorders>
                    <w:tl2br w:val="nil"/>
                    <w:tr2bl w:val="nil"/>
                  </w:tcBorders>
                  <w:vAlign w:val="center"/>
                </w:tcPr>
                <w:p w14:paraId="2DC67CFE">
                  <w:pPr>
                    <w:pStyle w:val="45"/>
                    <w:keepNext w:val="0"/>
                    <w:keepLines w:val="0"/>
                    <w:pageBreakBefore w:val="0"/>
                    <w:kinsoku/>
                    <w:wordWrap/>
                    <w:overflowPunct/>
                    <w:topLinePunct w:val="0"/>
                    <w:autoSpaceDE/>
                    <w:autoSpaceDN/>
                    <w:bidi w:val="0"/>
                    <w:spacing w:line="240" w:lineRule="auto"/>
                    <w:ind w:firstLine="0" w:firstLineChars="0"/>
                    <w:textAlignment w:val="auto"/>
                    <w:rPr>
                      <w:rFonts w:cs="Times New Roman"/>
                      <w:sz w:val="21"/>
                      <w:szCs w:val="21"/>
                    </w:rPr>
                  </w:pPr>
                  <w:r>
                    <w:rPr>
                      <w:rFonts w:cs="Times New Roman"/>
                      <w:sz w:val="21"/>
                      <w:szCs w:val="21"/>
                    </w:rPr>
                    <w:t>项目</w:t>
                  </w:r>
                </w:p>
              </w:tc>
              <w:tc>
                <w:tcPr>
                  <w:tcW w:w="671" w:type="pct"/>
                  <w:tcBorders>
                    <w:tl2br w:val="nil"/>
                    <w:tr2bl w:val="nil"/>
                  </w:tcBorders>
                  <w:vAlign w:val="center"/>
                </w:tcPr>
                <w:p w14:paraId="3A758CEF">
                  <w:pPr>
                    <w:pStyle w:val="45"/>
                    <w:keepNext w:val="0"/>
                    <w:keepLines w:val="0"/>
                    <w:pageBreakBefore w:val="0"/>
                    <w:kinsoku/>
                    <w:wordWrap/>
                    <w:overflowPunct/>
                    <w:topLinePunct w:val="0"/>
                    <w:autoSpaceDE/>
                    <w:autoSpaceDN/>
                    <w:bidi w:val="0"/>
                    <w:spacing w:line="240" w:lineRule="auto"/>
                    <w:ind w:firstLine="0" w:firstLineChars="0"/>
                    <w:textAlignment w:val="auto"/>
                    <w:rPr>
                      <w:rFonts w:cs="Times New Roman"/>
                      <w:sz w:val="21"/>
                      <w:szCs w:val="21"/>
                    </w:rPr>
                  </w:pPr>
                  <w:r>
                    <w:rPr>
                      <w:rFonts w:cs="Times New Roman"/>
                      <w:sz w:val="21"/>
                      <w:szCs w:val="21"/>
                    </w:rPr>
                    <w:t>污染物</w:t>
                  </w:r>
                </w:p>
              </w:tc>
              <w:tc>
                <w:tcPr>
                  <w:tcW w:w="2351" w:type="pct"/>
                  <w:tcBorders>
                    <w:tl2br w:val="nil"/>
                    <w:tr2bl w:val="nil"/>
                  </w:tcBorders>
                  <w:vAlign w:val="center"/>
                </w:tcPr>
                <w:p w14:paraId="0E6A8261">
                  <w:pPr>
                    <w:pStyle w:val="45"/>
                    <w:keepNext w:val="0"/>
                    <w:keepLines w:val="0"/>
                    <w:pageBreakBefore w:val="0"/>
                    <w:kinsoku/>
                    <w:wordWrap/>
                    <w:overflowPunct/>
                    <w:topLinePunct w:val="0"/>
                    <w:autoSpaceDE/>
                    <w:autoSpaceDN/>
                    <w:bidi w:val="0"/>
                    <w:spacing w:line="240" w:lineRule="auto"/>
                    <w:ind w:firstLine="0" w:firstLineChars="0"/>
                    <w:textAlignment w:val="auto"/>
                    <w:rPr>
                      <w:rFonts w:cs="Times New Roman"/>
                      <w:sz w:val="21"/>
                      <w:szCs w:val="21"/>
                    </w:rPr>
                  </w:pPr>
                  <w:r>
                    <w:rPr>
                      <w:rFonts w:cs="Times New Roman"/>
                      <w:sz w:val="21"/>
                      <w:szCs w:val="21"/>
                    </w:rPr>
                    <w:t>设施概况</w:t>
                  </w:r>
                </w:p>
              </w:tc>
              <w:tc>
                <w:tcPr>
                  <w:tcW w:w="455" w:type="pct"/>
                  <w:tcBorders>
                    <w:tl2br w:val="nil"/>
                    <w:tr2bl w:val="nil"/>
                  </w:tcBorders>
                  <w:vAlign w:val="center"/>
                </w:tcPr>
                <w:p w14:paraId="3B512D35">
                  <w:pPr>
                    <w:pStyle w:val="45"/>
                    <w:keepNext w:val="0"/>
                    <w:keepLines w:val="0"/>
                    <w:pageBreakBefore w:val="0"/>
                    <w:kinsoku/>
                    <w:wordWrap/>
                    <w:overflowPunct/>
                    <w:topLinePunct w:val="0"/>
                    <w:autoSpaceDE/>
                    <w:autoSpaceDN/>
                    <w:bidi w:val="0"/>
                    <w:spacing w:line="240" w:lineRule="auto"/>
                    <w:ind w:firstLine="0" w:firstLineChars="0"/>
                    <w:textAlignment w:val="auto"/>
                    <w:rPr>
                      <w:rFonts w:cs="Times New Roman"/>
                      <w:sz w:val="21"/>
                      <w:szCs w:val="21"/>
                    </w:rPr>
                  </w:pPr>
                  <w:r>
                    <w:rPr>
                      <w:rFonts w:cs="Times New Roman"/>
                      <w:sz w:val="21"/>
                      <w:szCs w:val="21"/>
                    </w:rPr>
                    <w:t>环保投资（万元）</w:t>
                  </w:r>
                </w:p>
              </w:tc>
              <w:tc>
                <w:tcPr>
                  <w:tcW w:w="488" w:type="pct"/>
                  <w:tcBorders>
                    <w:tl2br w:val="nil"/>
                    <w:tr2bl w:val="nil"/>
                  </w:tcBorders>
                  <w:vAlign w:val="center"/>
                </w:tcPr>
                <w:p w14:paraId="202481FC">
                  <w:pPr>
                    <w:pStyle w:val="45"/>
                    <w:keepNext w:val="0"/>
                    <w:keepLines w:val="0"/>
                    <w:pageBreakBefore w:val="0"/>
                    <w:kinsoku/>
                    <w:wordWrap/>
                    <w:overflowPunct/>
                    <w:topLinePunct w:val="0"/>
                    <w:autoSpaceDE/>
                    <w:autoSpaceDN/>
                    <w:bidi w:val="0"/>
                    <w:spacing w:line="240" w:lineRule="auto"/>
                    <w:ind w:firstLine="0" w:firstLineChars="0"/>
                    <w:jc w:val="center"/>
                    <w:textAlignment w:val="auto"/>
                    <w:rPr>
                      <w:rFonts w:cs="Times New Roman"/>
                      <w:bCs/>
                      <w:sz w:val="21"/>
                      <w:szCs w:val="21"/>
                    </w:rPr>
                  </w:pPr>
                  <w:r>
                    <w:rPr>
                      <w:rFonts w:cs="Times New Roman"/>
                      <w:sz w:val="21"/>
                      <w:szCs w:val="21"/>
                    </w:rPr>
                    <w:t>备注</w:t>
                  </w:r>
                </w:p>
              </w:tc>
            </w:tr>
            <w:tr w14:paraId="4A6DF9AE">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57" w:hRule="atLeast"/>
              </w:trPr>
              <w:tc>
                <w:tcPr>
                  <w:tcW w:w="509" w:type="pct"/>
                  <w:vMerge w:val="restart"/>
                  <w:tcBorders>
                    <w:tl2br w:val="nil"/>
                    <w:tr2bl w:val="nil"/>
                  </w:tcBorders>
                  <w:vAlign w:val="center"/>
                </w:tcPr>
                <w:p w14:paraId="52221C85">
                  <w:pPr>
                    <w:pStyle w:val="12"/>
                    <w:keepNext w:val="0"/>
                    <w:keepLines w:val="0"/>
                    <w:pageBreakBefore w:val="0"/>
                    <w:kinsoku/>
                    <w:wordWrap/>
                    <w:overflowPunct/>
                    <w:topLinePunct w:val="0"/>
                    <w:autoSpaceDE/>
                    <w:autoSpaceDN/>
                    <w:bidi w:val="0"/>
                    <w:spacing w:line="240" w:lineRule="auto"/>
                    <w:ind w:firstLine="0" w:firstLineChars="0"/>
                    <w:textAlignment w:val="auto"/>
                    <w:rPr>
                      <w:rFonts w:cs="Times New Roman"/>
                      <w:bCs/>
                      <w:sz w:val="21"/>
                      <w:szCs w:val="21"/>
                    </w:rPr>
                  </w:pPr>
                  <w:r>
                    <w:rPr>
                      <w:rFonts w:cs="Times New Roman"/>
                      <w:bCs/>
                      <w:sz w:val="21"/>
                      <w:szCs w:val="21"/>
                    </w:rPr>
                    <w:t>施工期</w:t>
                  </w:r>
                </w:p>
              </w:tc>
              <w:tc>
                <w:tcPr>
                  <w:tcW w:w="524" w:type="pct"/>
                  <w:tcBorders>
                    <w:tl2br w:val="nil"/>
                    <w:tr2bl w:val="nil"/>
                  </w:tcBorders>
                  <w:vAlign w:val="center"/>
                </w:tcPr>
                <w:p w14:paraId="567DBAD1">
                  <w:pPr>
                    <w:pStyle w:val="12"/>
                    <w:keepNext w:val="0"/>
                    <w:keepLines w:val="0"/>
                    <w:pageBreakBefore w:val="0"/>
                    <w:kinsoku/>
                    <w:wordWrap/>
                    <w:overflowPunct/>
                    <w:topLinePunct w:val="0"/>
                    <w:autoSpaceDE/>
                    <w:autoSpaceDN/>
                    <w:bidi w:val="0"/>
                    <w:spacing w:line="240" w:lineRule="auto"/>
                    <w:ind w:firstLine="0" w:firstLineChars="0"/>
                    <w:textAlignment w:val="auto"/>
                    <w:rPr>
                      <w:rFonts w:cs="Times New Roman"/>
                      <w:bCs/>
                      <w:sz w:val="21"/>
                      <w:szCs w:val="21"/>
                    </w:rPr>
                  </w:pPr>
                  <w:r>
                    <w:rPr>
                      <w:rFonts w:cs="Times New Roman"/>
                      <w:bCs/>
                      <w:sz w:val="21"/>
                      <w:szCs w:val="21"/>
                    </w:rPr>
                    <w:t>废气治理</w:t>
                  </w:r>
                </w:p>
              </w:tc>
              <w:tc>
                <w:tcPr>
                  <w:tcW w:w="671" w:type="pct"/>
                  <w:tcBorders>
                    <w:tl2br w:val="nil"/>
                    <w:tr2bl w:val="nil"/>
                  </w:tcBorders>
                  <w:vAlign w:val="center"/>
                </w:tcPr>
                <w:p w14:paraId="55385345">
                  <w:pPr>
                    <w:pStyle w:val="12"/>
                    <w:keepNext w:val="0"/>
                    <w:keepLines w:val="0"/>
                    <w:pageBreakBefore w:val="0"/>
                    <w:kinsoku/>
                    <w:wordWrap/>
                    <w:overflowPunct/>
                    <w:topLinePunct w:val="0"/>
                    <w:autoSpaceDE/>
                    <w:autoSpaceDN/>
                    <w:bidi w:val="0"/>
                    <w:spacing w:line="240" w:lineRule="auto"/>
                    <w:ind w:firstLine="0" w:firstLineChars="0"/>
                    <w:textAlignment w:val="auto"/>
                    <w:rPr>
                      <w:rFonts w:cs="Times New Roman"/>
                      <w:sz w:val="21"/>
                      <w:szCs w:val="21"/>
                    </w:rPr>
                  </w:pPr>
                  <w:r>
                    <w:rPr>
                      <w:rFonts w:cs="Times New Roman"/>
                      <w:sz w:val="21"/>
                      <w:szCs w:val="21"/>
                    </w:rPr>
                    <w:t>扬尘</w:t>
                  </w:r>
                </w:p>
              </w:tc>
              <w:tc>
                <w:tcPr>
                  <w:tcW w:w="2351" w:type="pct"/>
                  <w:tcBorders>
                    <w:tl2br w:val="nil"/>
                    <w:tr2bl w:val="nil"/>
                  </w:tcBorders>
                  <w:vAlign w:val="center"/>
                </w:tcPr>
                <w:p w14:paraId="619E771D">
                  <w:pPr>
                    <w:pStyle w:val="12"/>
                    <w:keepNext w:val="0"/>
                    <w:keepLines w:val="0"/>
                    <w:pageBreakBefore w:val="0"/>
                    <w:kinsoku/>
                    <w:wordWrap/>
                    <w:overflowPunct/>
                    <w:topLinePunct w:val="0"/>
                    <w:autoSpaceDE/>
                    <w:autoSpaceDN/>
                    <w:bidi w:val="0"/>
                    <w:spacing w:line="240" w:lineRule="auto"/>
                    <w:ind w:firstLine="0" w:firstLineChars="0"/>
                    <w:jc w:val="left"/>
                    <w:textAlignment w:val="auto"/>
                    <w:rPr>
                      <w:rFonts w:hint="default" w:eastAsia="宋体" w:cs="Times New Roman"/>
                      <w:sz w:val="21"/>
                      <w:szCs w:val="21"/>
                      <w:lang w:val="en-US" w:eastAsia="zh-CN"/>
                    </w:rPr>
                  </w:pPr>
                  <w:r>
                    <w:rPr>
                      <w:rFonts w:cs="Times New Roman"/>
                      <w:sz w:val="21"/>
                      <w:szCs w:val="21"/>
                    </w:rPr>
                    <w:t>厂区抑尘通过洒水除尘；运输车辆篷布遮盖</w:t>
                  </w:r>
                  <w:r>
                    <w:rPr>
                      <w:rFonts w:hint="eastAsia" w:cs="Times New Roman"/>
                      <w:sz w:val="21"/>
                      <w:szCs w:val="21"/>
                      <w:lang w:eastAsia="zh-CN"/>
                    </w:rPr>
                    <w:t>、</w:t>
                  </w:r>
                  <w:r>
                    <w:rPr>
                      <w:rFonts w:hint="eastAsia" w:cs="Times New Roman"/>
                      <w:sz w:val="21"/>
                      <w:szCs w:val="21"/>
                      <w:lang w:val="en-US" w:eastAsia="zh-CN"/>
                    </w:rPr>
                    <w:t>限速运行；建筑垃圾及时清运</w:t>
                  </w:r>
                </w:p>
              </w:tc>
              <w:tc>
                <w:tcPr>
                  <w:tcW w:w="455" w:type="pct"/>
                  <w:tcBorders>
                    <w:tl2br w:val="nil"/>
                    <w:tr2bl w:val="nil"/>
                  </w:tcBorders>
                  <w:vAlign w:val="center"/>
                </w:tcPr>
                <w:p w14:paraId="7F9AF3C9">
                  <w:pPr>
                    <w:pStyle w:val="12"/>
                    <w:keepNext w:val="0"/>
                    <w:keepLines w:val="0"/>
                    <w:pageBreakBefore w:val="0"/>
                    <w:kinsoku/>
                    <w:wordWrap/>
                    <w:overflowPunct/>
                    <w:topLinePunct w:val="0"/>
                    <w:autoSpaceDE/>
                    <w:autoSpaceDN/>
                    <w:bidi w:val="0"/>
                    <w:spacing w:line="240" w:lineRule="auto"/>
                    <w:ind w:firstLine="0" w:firstLineChars="0"/>
                    <w:textAlignment w:val="auto"/>
                    <w:rPr>
                      <w:rFonts w:hint="default" w:eastAsia="宋体" w:cs="Times New Roman"/>
                      <w:bCs/>
                      <w:sz w:val="21"/>
                      <w:szCs w:val="21"/>
                      <w:lang w:val="en-US" w:eastAsia="zh-CN"/>
                    </w:rPr>
                  </w:pPr>
                  <w:r>
                    <w:rPr>
                      <w:rFonts w:hint="eastAsia" w:cs="Times New Roman"/>
                      <w:bCs/>
                      <w:sz w:val="21"/>
                      <w:szCs w:val="21"/>
                      <w:lang w:val="en-US" w:eastAsia="zh-CN"/>
                    </w:rPr>
                    <w:t>0.2</w:t>
                  </w:r>
                </w:p>
              </w:tc>
              <w:tc>
                <w:tcPr>
                  <w:tcW w:w="488" w:type="pct"/>
                  <w:tcBorders>
                    <w:tl2br w:val="nil"/>
                    <w:tr2bl w:val="nil"/>
                  </w:tcBorders>
                  <w:vAlign w:val="center"/>
                </w:tcPr>
                <w:p w14:paraId="7CF4F14A">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eastAsia="宋体" w:cs="Times New Roman"/>
                      <w:bCs/>
                      <w:sz w:val="21"/>
                      <w:szCs w:val="21"/>
                      <w:lang w:val="en-US" w:eastAsia="zh-CN"/>
                    </w:rPr>
                  </w:pPr>
                  <w:r>
                    <w:rPr>
                      <w:rFonts w:hint="eastAsia" w:cs="Times New Roman"/>
                      <w:bCs/>
                      <w:sz w:val="21"/>
                      <w:szCs w:val="21"/>
                      <w:lang w:val="en-US" w:eastAsia="zh-CN"/>
                    </w:rPr>
                    <w:t>新建</w:t>
                  </w:r>
                </w:p>
              </w:tc>
            </w:tr>
            <w:tr w14:paraId="630543E7">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57" w:hRule="atLeast"/>
              </w:trPr>
              <w:tc>
                <w:tcPr>
                  <w:tcW w:w="509" w:type="pct"/>
                  <w:vMerge w:val="continue"/>
                  <w:tcBorders>
                    <w:tl2br w:val="nil"/>
                    <w:tr2bl w:val="nil"/>
                  </w:tcBorders>
                  <w:vAlign w:val="center"/>
                </w:tcPr>
                <w:p w14:paraId="46CF42C7">
                  <w:pPr>
                    <w:pStyle w:val="12"/>
                    <w:keepNext w:val="0"/>
                    <w:keepLines w:val="0"/>
                    <w:pageBreakBefore w:val="0"/>
                    <w:kinsoku/>
                    <w:wordWrap/>
                    <w:overflowPunct/>
                    <w:topLinePunct w:val="0"/>
                    <w:autoSpaceDE/>
                    <w:autoSpaceDN/>
                    <w:bidi w:val="0"/>
                    <w:spacing w:line="240" w:lineRule="auto"/>
                    <w:ind w:firstLine="0" w:firstLineChars="0"/>
                    <w:textAlignment w:val="auto"/>
                    <w:rPr>
                      <w:rFonts w:cs="Times New Roman"/>
                      <w:bCs/>
                      <w:sz w:val="21"/>
                      <w:szCs w:val="21"/>
                    </w:rPr>
                  </w:pPr>
                </w:p>
              </w:tc>
              <w:tc>
                <w:tcPr>
                  <w:tcW w:w="524" w:type="pct"/>
                  <w:tcBorders>
                    <w:tl2br w:val="nil"/>
                    <w:tr2bl w:val="nil"/>
                  </w:tcBorders>
                  <w:vAlign w:val="center"/>
                </w:tcPr>
                <w:p w14:paraId="51690B8E">
                  <w:pPr>
                    <w:pStyle w:val="12"/>
                    <w:keepNext w:val="0"/>
                    <w:keepLines w:val="0"/>
                    <w:pageBreakBefore w:val="0"/>
                    <w:kinsoku/>
                    <w:wordWrap/>
                    <w:overflowPunct/>
                    <w:topLinePunct w:val="0"/>
                    <w:autoSpaceDE/>
                    <w:autoSpaceDN/>
                    <w:bidi w:val="0"/>
                    <w:spacing w:line="240" w:lineRule="auto"/>
                    <w:ind w:firstLine="0" w:firstLineChars="0"/>
                    <w:textAlignment w:val="auto"/>
                    <w:rPr>
                      <w:rFonts w:cs="Times New Roman"/>
                      <w:bCs/>
                      <w:sz w:val="21"/>
                      <w:szCs w:val="21"/>
                    </w:rPr>
                  </w:pPr>
                  <w:r>
                    <w:rPr>
                      <w:rFonts w:cs="Times New Roman"/>
                      <w:bCs/>
                      <w:sz w:val="21"/>
                      <w:szCs w:val="21"/>
                    </w:rPr>
                    <w:t>废水治理</w:t>
                  </w:r>
                </w:p>
              </w:tc>
              <w:tc>
                <w:tcPr>
                  <w:tcW w:w="671" w:type="pct"/>
                  <w:tcBorders>
                    <w:tl2br w:val="nil"/>
                    <w:tr2bl w:val="nil"/>
                  </w:tcBorders>
                  <w:vAlign w:val="center"/>
                </w:tcPr>
                <w:p w14:paraId="6947BA2F">
                  <w:pPr>
                    <w:pStyle w:val="12"/>
                    <w:keepNext w:val="0"/>
                    <w:keepLines w:val="0"/>
                    <w:pageBreakBefore w:val="0"/>
                    <w:kinsoku/>
                    <w:wordWrap/>
                    <w:overflowPunct/>
                    <w:topLinePunct w:val="0"/>
                    <w:autoSpaceDE/>
                    <w:autoSpaceDN/>
                    <w:bidi w:val="0"/>
                    <w:spacing w:line="240" w:lineRule="auto"/>
                    <w:ind w:firstLine="0" w:firstLineChars="0"/>
                    <w:textAlignment w:val="auto"/>
                    <w:rPr>
                      <w:rFonts w:cs="Times New Roman"/>
                      <w:sz w:val="21"/>
                      <w:szCs w:val="21"/>
                    </w:rPr>
                  </w:pPr>
                  <w:r>
                    <w:rPr>
                      <w:rFonts w:cs="Times New Roman"/>
                      <w:sz w:val="21"/>
                      <w:szCs w:val="21"/>
                    </w:rPr>
                    <w:t>生活污水</w:t>
                  </w:r>
                </w:p>
              </w:tc>
              <w:tc>
                <w:tcPr>
                  <w:tcW w:w="2351" w:type="pct"/>
                  <w:tcBorders>
                    <w:tl2br w:val="nil"/>
                    <w:tr2bl w:val="nil"/>
                  </w:tcBorders>
                  <w:vAlign w:val="center"/>
                </w:tcPr>
                <w:p w14:paraId="1E457450">
                  <w:pPr>
                    <w:pStyle w:val="12"/>
                    <w:keepNext w:val="0"/>
                    <w:keepLines w:val="0"/>
                    <w:pageBreakBefore w:val="0"/>
                    <w:kinsoku/>
                    <w:wordWrap/>
                    <w:overflowPunct/>
                    <w:topLinePunct w:val="0"/>
                    <w:autoSpaceDE/>
                    <w:autoSpaceDN/>
                    <w:bidi w:val="0"/>
                    <w:spacing w:line="240" w:lineRule="auto"/>
                    <w:ind w:firstLine="0" w:firstLineChars="0"/>
                    <w:jc w:val="left"/>
                    <w:textAlignment w:val="auto"/>
                    <w:rPr>
                      <w:rFonts w:cs="Times New Roman"/>
                      <w:sz w:val="21"/>
                      <w:szCs w:val="21"/>
                    </w:rPr>
                  </w:pPr>
                  <w:r>
                    <w:rPr>
                      <w:rFonts w:cs="Times New Roman"/>
                      <w:sz w:val="21"/>
                      <w:szCs w:val="21"/>
                    </w:rPr>
                    <w:t>依托厂区已建预处理池处理后进入</w:t>
                  </w:r>
                  <w:r>
                    <w:rPr>
                      <w:rFonts w:hint="eastAsia" w:cs="Times New Roman"/>
                      <w:sz w:val="21"/>
                      <w:szCs w:val="21"/>
                      <w:lang w:val="en-US" w:eastAsia="zh-CN"/>
                    </w:rPr>
                    <w:t>园区</w:t>
                  </w:r>
                  <w:r>
                    <w:rPr>
                      <w:rFonts w:cs="Times New Roman"/>
                      <w:sz w:val="21"/>
                      <w:szCs w:val="21"/>
                    </w:rPr>
                    <w:t>污水管网</w:t>
                  </w:r>
                </w:p>
              </w:tc>
              <w:tc>
                <w:tcPr>
                  <w:tcW w:w="455" w:type="pct"/>
                  <w:tcBorders>
                    <w:tl2br w:val="nil"/>
                    <w:tr2bl w:val="nil"/>
                  </w:tcBorders>
                  <w:vAlign w:val="center"/>
                </w:tcPr>
                <w:p w14:paraId="7B32B569">
                  <w:pPr>
                    <w:pStyle w:val="12"/>
                    <w:keepNext w:val="0"/>
                    <w:keepLines w:val="0"/>
                    <w:pageBreakBefore w:val="0"/>
                    <w:kinsoku/>
                    <w:wordWrap/>
                    <w:overflowPunct/>
                    <w:topLinePunct w:val="0"/>
                    <w:autoSpaceDE/>
                    <w:autoSpaceDN/>
                    <w:bidi w:val="0"/>
                    <w:spacing w:line="240" w:lineRule="auto"/>
                    <w:ind w:firstLine="0" w:firstLineChars="0"/>
                    <w:textAlignment w:val="auto"/>
                    <w:rPr>
                      <w:rFonts w:cs="Times New Roman"/>
                      <w:bCs/>
                      <w:sz w:val="21"/>
                      <w:szCs w:val="21"/>
                    </w:rPr>
                  </w:pPr>
                  <w:r>
                    <w:rPr>
                      <w:rFonts w:cs="Times New Roman"/>
                      <w:bCs/>
                      <w:sz w:val="21"/>
                      <w:szCs w:val="21"/>
                    </w:rPr>
                    <w:t>/</w:t>
                  </w:r>
                </w:p>
              </w:tc>
              <w:tc>
                <w:tcPr>
                  <w:tcW w:w="488" w:type="pct"/>
                  <w:tcBorders>
                    <w:tl2br w:val="nil"/>
                    <w:tr2bl w:val="nil"/>
                  </w:tcBorders>
                  <w:vAlign w:val="center"/>
                </w:tcPr>
                <w:p w14:paraId="6C4FFF37">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cs="Times New Roman"/>
                      <w:bCs/>
                      <w:sz w:val="21"/>
                      <w:szCs w:val="21"/>
                    </w:rPr>
                  </w:pPr>
                  <w:r>
                    <w:rPr>
                      <w:rFonts w:cs="Times New Roman"/>
                      <w:bCs/>
                      <w:sz w:val="21"/>
                      <w:szCs w:val="21"/>
                    </w:rPr>
                    <w:t>依托</w:t>
                  </w:r>
                </w:p>
              </w:tc>
            </w:tr>
            <w:tr w14:paraId="0EC02B14">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57" w:hRule="atLeast"/>
              </w:trPr>
              <w:tc>
                <w:tcPr>
                  <w:tcW w:w="509" w:type="pct"/>
                  <w:vMerge w:val="continue"/>
                  <w:tcBorders>
                    <w:tl2br w:val="nil"/>
                    <w:tr2bl w:val="nil"/>
                  </w:tcBorders>
                  <w:vAlign w:val="center"/>
                </w:tcPr>
                <w:p w14:paraId="74E46B82">
                  <w:pPr>
                    <w:pStyle w:val="12"/>
                    <w:keepNext w:val="0"/>
                    <w:keepLines w:val="0"/>
                    <w:pageBreakBefore w:val="0"/>
                    <w:kinsoku/>
                    <w:wordWrap/>
                    <w:overflowPunct/>
                    <w:topLinePunct w:val="0"/>
                    <w:autoSpaceDE/>
                    <w:autoSpaceDN/>
                    <w:bidi w:val="0"/>
                    <w:spacing w:line="240" w:lineRule="auto"/>
                    <w:ind w:firstLine="0" w:firstLineChars="0"/>
                    <w:textAlignment w:val="auto"/>
                    <w:rPr>
                      <w:rFonts w:cs="Times New Roman"/>
                      <w:bCs/>
                      <w:sz w:val="21"/>
                      <w:szCs w:val="21"/>
                    </w:rPr>
                  </w:pPr>
                </w:p>
              </w:tc>
              <w:tc>
                <w:tcPr>
                  <w:tcW w:w="524" w:type="pct"/>
                  <w:tcBorders>
                    <w:tl2br w:val="nil"/>
                    <w:tr2bl w:val="nil"/>
                  </w:tcBorders>
                  <w:vAlign w:val="center"/>
                </w:tcPr>
                <w:p w14:paraId="2FF8A765">
                  <w:pPr>
                    <w:pStyle w:val="12"/>
                    <w:keepNext w:val="0"/>
                    <w:keepLines w:val="0"/>
                    <w:pageBreakBefore w:val="0"/>
                    <w:kinsoku/>
                    <w:wordWrap/>
                    <w:overflowPunct/>
                    <w:topLinePunct w:val="0"/>
                    <w:autoSpaceDE/>
                    <w:autoSpaceDN/>
                    <w:bidi w:val="0"/>
                    <w:spacing w:line="240" w:lineRule="auto"/>
                    <w:ind w:firstLine="0" w:firstLineChars="0"/>
                    <w:textAlignment w:val="auto"/>
                    <w:rPr>
                      <w:rFonts w:cs="Times New Roman"/>
                      <w:bCs/>
                      <w:sz w:val="21"/>
                      <w:szCs w:val="21"/>
                    </w:rPr>
                  </w:pPr>
                  <w:r>
                    <w:rPr>
                      <w:rFonts w:cs="Times New Roman"/>
                      <w:bCs/>
                      <w:sz w:val="21"/>
                      <w:szCs w:val="21"/>
                    </w:rPr>
                    <w:t>噪声治理</w:t>
                  </w:r>
                </w:p>
              </w:tc>
              <w:tc>
                <w:tcPr>
                  <w:tcW w:w="671" w:type="pct"/>
                  <w:tcBorders>
                    <w:tl2br w:val="nil"/>
                    <w:tr2bl w:val="nil"/>
                  </w:tcBorders>
                  <w:vAlign w:val="center"/>
                </w:tcPr>
                <w:p w14:paraId="5F21444A">
                  <w:pPr>
                    <w:pStyle w:val="12"/>
                    <w:keepNext w:val="0"/>
                    <w:keepLines w:val="0"/>
                    <w:pageBreakBefore w:val="0"/>
                    <w:kinsoku/>
                    <w:wordWrap/>
                    <w:overflowPunct/>
                    <w:topLinePunct w:val="0"/>
                    <w:autoSpaceDE/>
                    <w:autoSpaceDN/>
                    <w:bidi w:val="0"/>
                    <w:spacing w:line="240" w:lineRule="auto"/>
                    <w:ind w:firstLine="0" w:firstLineChars="0"/>
                    <w:textAlignment w:val="auto"/>
                    <w:rPr>
                      <w:rFonts w:cs="Times New Roman"/>
                      <w:sz w:val="21"/>
                      <w:szCs w:val="21"/>
                    </w:rPr>
                  </w:pPr>
                  <w:r>
                    <w:rPr>
                      <w:rFonts w:cs="Times New Roman"/>
                      <w:sz w:val="21"/>
                      <w:szCs w:val="21"/>
                    </w:rPr>
                    <w:t>噪声</w:t>
                  </w:r>
                </w:p>
              </w:tc>
              <w:tc>
                <w:tcPr>
                  <w:tcW w:w="2351" w:type="pct"/>
                  <w:tcBorders>
                    <w:tl2br w:val="nil"/>
                    <w:tr2bl w:val="nil"/>
                  </w:tcBorders>
                  <w:vAlign w:val="center"/>
                </w:tcPr>
                <w:p w14:paraId="3D5AC478">
                  <w:pPr>
                    <w:pStyle w:val="12"/>
                    <w:keepNext w:val="0"/>
                    <w:keepLines w:val="0"/>
                    <w:pageBreakBefore w:val="0"/>
                    <w:kinsoku/>
                    <w:wordWrap/>
                    <w:overflowPunct/>
                    <w:topLinePunct w:val="0"/>
                    <w:autoSpaceDE/>
                    <w:autoSpaceDN/>
                    <w:bidi w:val="0"/>
                    <w:spacing w:line="240" w:lineRule="auto"/>
                    <w:ind w:firstLine="0" w:firstLineChars="0"/>
                    <w:jc w:val="left"/>
                    <w:textAlignment w:val="auto"/>
                    <w:rPr>
                      <w:rFonts w:hint="default" w:eastAsia="宋体" w:cs="Times New Roman"/>
                      <w:sz w:val="21"/>
                      <w:szCs w:val="21"/>
                      <w:lang w:val="en-US" w:eastAsia="zh-CN"/>
                    </w:rPr>
                  </w:pPr>
                  <w:r>
                    <w:rPr>
                      <w:rFonts w:cs="Times New Roman"/>
                      <w:sz w:val="21"/>
                      <w:szCs w:val="21"/>
                    </w:rPr>
                    <w:t>施工期加强管理，合理布局，</w:t>
                  </w:r>
                  <w:r>
                    <w:rPr>
                      <w:rFonts w:hint="eastAsia" w:cs="Times New Roman"/>
                      <w:sz w:val="21"/>
                      <w:szCs w:val="21"/>
                      <w:lang w:val="en-US" w:eastAsia="zh-CN"/>
                    </w:rPr>
                    <w:t>选用低噪设备，合理安排施工时间</w:t>
                  </w:r>
                </w:p>
              </w:tc>
              <w:tc>
                <w:tcPr>
                  <w:tcW w:w="455" w:type="pct"/>
                  <w:tcBorders>
                    <w:tl2br w:val="nil"/>
                    <w:tr2bl w:val="nil"/>
                  </w:tcBorders>
                  <w:vAlign w:val="center"/>
                </w:tcPr>
                <w:p w14:paraId="09BFF4FC">
                  <w:pPr>
                    <w:pStyle w:val="12"/>
                    <w:keepNext w:val="0"/>
                    <w:keepLines w:val="0"/>
                    <w:pageBreakBefore w:val="0"/>
                    <w:kinsoku/>
                    <w:wordWrap/>
                    <w:overflowPunct/>
                    <w:topLinePunct w:val="0"/>
                    <w:autoSpaceDE/>
                    <w:autoSpaceDN/>
                    <w:bidi w:val="0"/>
                    <w:spacing w:line="240" w:lineRule="auto"/>
                    <w:ind w:firstLine="0" w:firstLineChars="0"/>
                    <w:textAlignment w:val="auto"/>
                    <w:rPr>
                      <w:rFonts w:hint="default" w:eastAsia="宋体" w:cs="Times New Roman"/>
                      <w:bCs/>
                      <w:sz w:val="21"/>
                      <w:szCs w:val="21"/>
                      <w:lang w:val="en-US" w:eastAsia="zh-CN"/>
                    </w:rPr>
                  </w:pPr>
                  <w:r>
                    <w:rPr>
                      <w:rFonts w:hint="eastAsia" w:cs="Times New Roman"/>
                      <w:bCs/>
                      <w:sz w:val="21"/>
                      <w:szCs w:val="21"/>
                      <w:lang w:val="en-US" w:eastAsia="zh-CN"/>
                    </w:rPr>
                    <w:t>0.2</w:t>
                  </w:r>
                </w:p>
              </w:tc>
              <w:tc>
                <w:tcPr>
                  <w:tcW w:w="488" w:type="pct"/>
                  <w:tcBorders>
                    <w:tl2br w:val="nil"/>
                    <w:tr2bl w:val="nil"/>
                  </w:tcBorders>
                  <w:vAlign w:val="center"/>
                </w:tcPr>
                <w:p w14:paraId="0393E4B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eastAsia="宋体" w:cs="Times New Roman"/>
                      <w:bCs/>
                      <w:sz w:val="21"/>
                      <w:szCs w:val="21"/>
                      <w:lang w:val="en-US" w:eastAsia="zh-CN"/>
                    </w:rPr>
                  </w:pPr>
                  <w:r>
                    <w:rPr>
                      <w:rFonts w:hint="eastAsia" w:cs="Times New Roman"/>
                      <w:bCs/>
                      <w:sz w:val="21"/>
                      <w:szCs w:val="21"/>
                      <w:lang w:val="en-US" w:eastAsia="zh-CN"/>
                    </w:rPr>
                    <w:t>新建</w:t>
                  </w:r>
                </w:p>
              </w:tc>
            </w:tr>
            <w:tr w14:paraId="0D894DC6">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57" w:hRule="atLeast"/>
              </w:trPr>
              <w:tc>
                <w:tcPr>
                  <w:tcW w:w="509" w:type="pct"/>
                  <w:vMerge w:val="continue"/>
                  <w:tcBorders>
                    <w:tl2br w:val="nil"/>
                    <w:tr2bl w:val="nil"/>
                  </w:tcBorders>
                  <w:vAlign w:val="center"/>
                </w:tcPr>
                <w:p w14:paraId="51F2BBF2">
                  <w:pPr>
                    <w:pStyle w:val="12"/>
                    <w:keepNext w:val="0"/>
                    <w:keepLines w:val="0"/>
                    <w:pageBreakBefore w:val="0"/>
                    <w:kinsoku/>
                    <w:wordWrap/>
                    <w:overflowPunct/>
                    <w:topLinePunct w:val="0"/>
                    <w:autoSpaceDE/>
                    <w:autoSpaceDN/>
                    <w:bidi w:val="0"/>
                    <w:spacing w:line="240" w:lineRule="auto"/>
                    <w:ind w:firstLine="0" w:firstLineChars="0"/>
                    <w:textAlignment w:val="auto"/>
                    <w:rPr>
                      <w:rFonts w:cs="Times New Roman"/>
                      <w:bCs/>
                      <w:sz w:val="21"/>
                      <w:szCs w:val="21"/>
                    </w:rPr>
                  </w:pPr>
                </w:p>
              </w:tc>
              <w:tc>
                <w:tcPr>
                  <w:tcW w:w="524" w:type="pct"/>
                  <w:vMerge w:val="restart"/>
                  <w:tcBorders>
                    <w:tl2br w:val="nil"/>
                    <w:tr2bl w:val="nil"/>
                  </w:tcBorders>
                  <w:vAlign w:val="center"/>
                </w:tcPr>
                <w:p w14:paraId="7BDC7539">
                  <w:pPr>
                    <w:pStyle w:val="12"/>
                    <w:keepNext w:val="0"/>
                    <w:keepLines w:val="0"/>
                    <w:pageBreakBefore w:val="0"/>
                    <w:kinsoku/>
                    <w:wordWrap/>
                    <w:overflowPunct/>
                    <w:topLinePunct w:val="0"/>
                    <w:autoSpaceDE/>
                    <w:autoSpaceDN/>
                    <w:bidi w:val="0"/>
                    <w:spacing w:line="240" w:lineRule="auto"/>
                    <w:ind w:firstLine="0" w:firstLineChars="0"/>
                    <w:textAlignment w:val="auto"/>
                    <w:rPr>
                      <w:rFonts w:cs="Times New Roman"/>
                      <w:bCs/>
                      <w:sz w:val="21"/>
                      <w:szCs w:val="21"/>
                    </w:rPr>
                  </w:pPr>
                  <w:r>
                    <w:rPr>
                      <w:rFonts w:cs="Times New Roman"/>
                      <w:bCs/>
                      <w:sz w:val="21"/>
                      <w:szCs w:val="21"/>
                    </w:rPr>
                    <w:t>固废治理</w:t>
                  </w:r>
                </w:p>
              </w:tc>
              <w:tc>
                <w:tcPr>
                  <w:tcW w:w="671" w:type="pct"/>
                  <w:tcBorders>
                    <w:tl2br w:val="nil"/>
                    <w:tr2bl w:val="nil"/>
                  </w:tcBorders>
                  <w:vAlign w:val="center"/>
                </w:tcPr>
                <w:p w14:paraId="28D442B7">
                  <w:pPr>
                    <w:pStyle w:val="12"/>
                    <w:keepNext w:val="0"/>
                    <w:keepLines w:val="0"/>
                    <w:pageBreakBefore w:val="0"/>
                    <w:kinsoku/>
                    <w:wordWrap/>
                    <w:overflowPunct/>
                    <w:topLinePunct w:val="0"/>
                    <w:autoSpaceDE/>
                    <w:autoSpaceDN/>
                    <w:bidi w:val="0"/>
                    <w:spacing w:line="240" w:lineRule="auto"/>
                    <w:ind w:firstLine="0" w:firstLineChars="0"/>
                    <w:textAlignment w:val="auto"/>
                    <w:rPr>
                      <w:rFonts w:cs="Times New Roman"/>
                      <w:sz w:val="21"/>
                      <w:szCs w:val="21"/>
                    </w:rPr>
                  </w:pPr>
                  <w:r>
                    <w:rPr>
                      <w:rFonts w:cs="Times New Roman"/>
                      <w:sz w:val="21"/>
                      <w:szCs w:val="21"/>
                    </w:rPr>
                    <w:t>生活垃圾</w:t>
                  </w:r>
                </w:p>
              </w:tc>
              <w:tc>
                <w:tcPr>
                  <w:tcW w:w="2351" w:type="pct"/>
                  <w:tcBorders>
                    <w:tl2br w:val="nil"/>
                    <w:tr2bl w:val="nil"/>
                  </w:tcBorders>
                  <w:vAlign w:val="center"/>
                </w:tcPr>
                <w:p w14:paraId="338904BD">
                  <w:pPr>
                    <w:pStyle w:val="12"/>
                    <w:keepNext w:val="0"/>
                    <w:keepLines w:val="0"/>
                    <w:pageBreakBefore w:val="0"/>
                    <w:kinsoku/>
                    <w:wordWrap/>
                    <w:overflowPunct/>
                    <w:topLinePunct w:val="0"/>
                    <w:autoSpaceDE/>
                    <w:autoSpaceDN/>
                    <w:bidi w:val="0"/>
                    <w:spacing w:line="240" w:lineRule="auto"/>
                    <w:ind w:firstLine="0" w:firstLineChars="0"/>
                    <w:jc w:val="left"/>
                    <w:textAlignment w:val="auto"/>
                    <w:rPr>
                      <w:rFonts w:cs="Times New Roman"/>
                      <w:sz w:val="21"/>
                      <w:szCs w:val="21"/>
                    </w:rPr>
                  </w:pPr>
                  <w:r>
                    <w:rPr>
                      <w:rFonts w:cs="Times New Roman"/>
                      <w:sz w:val="21"/>
                      <w:szCs w:val="21"/>
                    </w:rPr>
                    <w:t>统一收集后由环卫部门进行清运处理</w:t>
                  </w:r>
                </w:p>
              </w:tc>
              <w:tc>
                <w:tcPr>
                  <w:tcW w:w="455" w:type="pct"/>
                  <w:tcBorders>
                    <w:tl2br w:val="nil"/>
                    <w:tr2bl w:val="nil"/>
                  </w:tcBorders>
                  <w:vAlign w:val="center"/>
                </w:tcPr>
                <w:p w14:paraId="42A1D6E7">
                  <w:pPr>
                    <w:pStyle w:val="12"/>
                    <w:keepNext w:val="0"/>
                    <w:keepLines w:val="0"/>
                    <w:pageBreakBefore w:val="0"/>
                    <w:kinsoku/>
                    <w:wordWrap/>
                    <w:overflowPunct/>
                    <w:topLinePunct w:val="0"/>
                    <w:autoSpaceDE/>
                    <w:autoSpaceDN/>
                    <w:bidi w:val="0"/>
                    <w:spacing w:line="240" w:lineRule="auto"/>
                    <w:ind w:firstLine="0" w:firstLineChars="0"/>
                    <w:textAlignment w:val="auto"/>
                    <w:rPr>
                      <w:rFonts w:cs="Times New Roman"/>
                      <w:bCs/>
                      <w:sz w:val="21"/>
                      <w:szCs w:val="21"/>
                    </w:rPr>
                  </w:pPr>
                  <w:r>
                    <w:rPr>
                      <w:rFonts w:cs="Times New Roman"/>
                      <w:bCs/>
                      <w:sz w:val="21"/>
                      <w:szCs w:val="21"/>
                    </w:rPr>
                    <w:t>0.1</w:t>
                  </w:r>
                </w:p>
              </w:tc>
              <w:tc>
                <w:tcPr>
                  <w:tcW w:w="488" w:type="pct"/>
                  <w:tcBorders>
                    <w:bottom w:val="single" w:color="000000" w:sz="2" w:space="0"/>
                    <w:tl2br w:val="nil"/>
                    <w:tr2bl w:val="nil"/>
                  </w:tcBorders>
                  <w:vAlign w:val="center"/>
                </w:tcPr>
                <w:p w14:paraId="496D997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eastAsia="宋体" w:cs="Times New Roman"/>
                      <w:bCs/>
                      <w:sz w:val="21"/>
                      <w:szCs w:val="21"/>
                      <w:lang w:val="en-US" w:eastAsia="zh-CN"/>
                    </w:rPr>
                  </w:pPr>
                  <w:r>
                    <w:rPr>
                      <w:rFonts w:hint="eastAsia" w:cs="Times New Roman"/>
                      <w:bCs/>
                      <w:sz w:val="21"/>
                      <w:szCs w:val="21"/>
                      <w:lang w:val="en-US" w:eastAsia="zh-CN"/>
                    </w:rPr>
                    <w:t>新建</w:t>
                  </w:r>
                </w:p>
              </w:tc>
            </w:tr>
            <w:tr w14:paraId="4E736AAB">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57" w:hRule="atLeast"/>
              </w:trPr>
              <w:tc>
                <w:tcPr>
                  <w:tcW w:w="509" w:type="pct"/>
                  <w:vMerge w:val="continue"/>
                  <w:tcBorders>
                    <w:tl2br w:val="nil"/>
                    <w:tr2bl w:val="nil"/>
                  </w:tcBorders>
                  <w:vAlign w:val="center"/>
                </w:tcPr>
                <w:p w14:paraId="3604BA8D">
                  <w:pPr>
                    <w:pStyle w:val="12"/>
                    <w:keepNext w:val="0"/>
                    <w:keepLines w:val="0"/>
                    <w:pageBreakBefore w:val="0"/>
                    <w:kinsoku/>
                    <w:wordWrap/>
                    <w:overflowPunct/>
                    <w:topLinePunct w:val="0"/>
                    <w:autoSpaceDE/>
                    <w:autoSpaceDN/>
                    <w:bidi w:val="0"/>
                    <w:spacing w:line="240" w:lineRule="auto"/>
                    <w:ind w:firstLine="0" w:firstLineChars="0"/>
                    <w:textAlignment w:val="auto"/>
                    <w:rPr>
                      <w:rFonts w:cs="Times New Roman"/>
                      <w:bCs/>
                      <w:sz w:val="21"/>
                      <w:szCs w:val="21"/>
                    </w:rPr>
                  </w:pPr>
                </w:p>
              </w:tc>
              <w:tc>
                <w:tcPr>
                  <w:tcW w:w="524" w:type="pct"/>
                  <w:vMerge w:val="continue"/>
                  <w:tcBorders>
                    <w:tl2br w:val="nil"/>
                    <w:tr2bl w:val="nil"/>
                  </w:tcBorders>
                  <w:vAlign w:val="center"/>
                </w:tcPr>
                <w:p w14:paraId="214B89DC">
                  <w:pPr>
                    <w:pStyle w:val="12"/>
                    <w:keepNext w:val="0"/>
                    <w:keepLines w:val="0"/>
                    <w:pageBreakBefore w:val="0"/>
                    <w:kinsoku/>
                    <w:wordWrap/>
                    <w:overflowPunct/>
                    <w:topLinePunct w:val="0"/>
                    <w:autoSpaceDE/>
                    <w:autoSpaceDN/>
                    <w:bidi w:val="0"/>
                    <w:spacing w:line="240" w:lineRule="auto"/>
                    <w:ind w:firstLine="0" w:firstLineChars="0"/>
                    <w:textAlignment w:val="auto"/>
                    <w:rPr>
                      <w:rFonts w:cs="Times New Roman"/>
                      <w:bCs/>
                      <w:sz w:val="21"/>
                      <w:szCs w:val="21"/>
                    </w:rPr>
                  </w:pPr>
                </w:p>
              </w:tc>
              <w:tc>
                <w:tcPr>
                  <w:tcW w:w="671" w:type="pct"/>
                  <w:tcBorders>
                    <w:tl2br w:val="nil"/>
                    <w:tr2bl w:val="nil"/>
                  </w:tcBorders>
                  <w:vAlign w:val="center"/>
                </w:tcPr>
                <w:p w14:paraId="31DD9E15">
                  <w:pPr>
                    <w:pStyle w:val="12"/>
                    <w:keepNext w:val="0"/>
                    <w:keepLines w:val="0"/>
                    <w:pageBreakBefore w:val="0"/>
                    <w:kinsoku/>
                    <w:wordWrap/>
                    <w:overflowPunct/>
                    <w:topLinePunct w:val="0"/>
                    <w:autoSpaceDE/>
                    <w:autoSpaceDN/>
                    <w:bidi w:val="0"/>
                    <w:spacing w:line="240" w:lineRule="auto"/>
                    <w:ind w:firstLine="0" w:firstLineChars="0"/>
                    <w:textAlignment w:val="auto"/>
                    <w:rPr>
                      <w:rFonts w:hint="default" w:eastAsia="宋体" w:cs="Times New Roman"/>
                      <w:sz w:val="21"/>
                      <w:szCs w:val="21"/>
                      <w:lang w:val="en-US" w:eastAsia="zh-CN"/>
                    </w:rPr>
                  </w:pPr>
                  <w:r>
                    <w:rPr>
                      <w:rFonts w:hint="eastAsia" w:cs="Times New Roman"/>
                      <w:sz w:val="21"/>
                      <w:szCs w:val="21"/>
                      <w:lang w:val="en-US" w:eastAsia="zh-CN"/>
                    </w:rPr>
                    <w:t>废土石方</w:t>
                  </w:r>
                </w:p>
              </w:tc>
              <w:tc>
                <w:tcPr>
                  <w:tcW w:w="2351" w:type="pct"/>
                  <w:tcBorders>
                    <w:tl2br w:val="nil"/>
                    <w:tr2bl w:val="nil"/>
                  </w:tcBorders>
                  <w:vAlign w:val="center"/>
                </w:tcPr>
                <w:p w14:paraId="1ED51930">
                  <w:pPr>
                    <w:pStyle w:val="12"/>
                    <w:keepNext w:val="0"/>
                    <w:keepLines w:val="0"/>
                    <w:pageBreakBefore w:val="0"/>
                    <w:kinsoku/>
                    <w:wordWrap/>
                    <w:overflowPunct/>
                    <w:topLinePunct w:val="0"/>
                    <w:autoSpaceDE/>
                    <w:autoSpaceDN/>
                    <w:bidi w:val="0"/>
                    <w:spacing w:line="240" w:lineRule="auto"/>
                    <w:ind w:firstLine="0" w:firstLineChars="0"/>
                    <w:jc w:val="left"/>
                    <w:textAlignment w:val="auto"/>
                    <w:rPr>
                      <w:rFonts w:cs="Times New Roman"/>
                      <w:sz w:val="21"/>
                      <w:szCs w:val="21"/>
                    </w:rPr>
                  </w:pPr>
                  <w:r>
                    <w:rPr>
                      <w:rFonts w:cs="Times New Roman"/>
                      <w:sz w:val="21"/>
                      <w:szCs w:val="21"/>
                    </w:rPr>
                    <w:t>运至政府指定</w:t>
                  </w:r>
                  <w:r>
                    <w:rPr>
                      <w:rFonts w:hint="eastAsia" w:cs="Times New Roman"/>
                      <w:sz w:val="21"/>
                      <w:szCs w:val="21"/>
                      <w:lang w:val="en-US" w:eastAsia="zh-CN"/>
                    </w:rPr>
                    <w:t>弃土</w:t>
                  </w:r>
                  <w:r>
                    <w:rPr>
                      <w:rFonts w:cs="Times New Roman"/>
                      <w:sz w:val="21"/>
                      <w:szCs w:val="21"/>
                    </w:rPr>
                    <w:t>场处理</w:t>
                  </w:r>
                </w:p>
              </w:tc>
              <w:tc>
                <w:tcPr>
                  <w:tcW w:w="455" w:type="pct"/>
                  <w:tcBorders>
                    <w:tl2br w:val="nil"/>
                    <w:tr2bl w:val="nil"/>
                  </w:tcBorders>
                  <w:vAlign w:val="center"/>
                </w:tcPr>
                <w:p w14:paraId="70E568A9">
                  <w:pPr>
                    <w:pStyle w:val="12"/>
                    <w:keepNext w:val="0"/>
                    <w:keepLines w:val="0"/>
                    <w:pageBreakBefore w:val="0"/>
                    <w:kinsoku/>
                    <w:wordWrap/>
                    <w:overflowPunct/>
                    <w:topLinePunct w:val="0"/>
                    <w:autoSpaceDE/>
                    <w:autoSpaceDN/>
                    <w:bidi w:val="0"/>
                    <w:spacing w:line="240" w:lineRule="auto"/>
                    <w:ind w:firstLine="0" w:firstLineChars="0"/>
                    <w:textAlignment w:val="auto"/>
                    <w:rPr>
                      <w:rFonts w:hint="eastAsia" w:eastAsia="宋体" w:cs="Times New Roman"/>
                      <w:bCs/>
                      <w:sz w:val="21"/>
                      <w:szCs w:val="21"/>
                      <w:lang w:val="en-US" w:eastAsia="zh-CN"/>
                    </w:rPr>
                  </w:pPr>
                  <w:r>
                    <w:rPr>
                      <w:rFonts w:hint="eastAsia" w:cs="Times New Roman"/>
                      <w:bCs/>
                      <w:sz w:val="21"/>
                      <w:szCs w:val="21"/>
                      <w:lang w:val="en-US" w:eastAsia="zh-CN"/>
                    </w:rPr>
                    <w:t>5</w:t>
                  </w:r>
                </w:p>
              </w:tc>
              <w:tc>
                <w:tcPr>
                  <w:tcW w:w="488" w:type="pct"/>
                  <w:tcBorders>
                    <w:top w:val="single" w:color="000000" w:sz="2" w:space="0"/>
                    <w:tl2br w:val="nil"/>
                    <w:tr2bl w:val="nil"/>
                  </w:tcBorders>
                  <w:vAlign w:val="center"/>
                </w:tcPr>
                <w:p w14:paraId="3761DF6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eastAsia="宋体" w:cs="Times New Roman"/>
                      <w:bCs/>
                      <w:sz w:val="21"/>
                      <w:szCs w:val="21"/>
                      <w:lang w:val="en-US" w:eastAsia="zh-CN"/>
                    </w:rPr>
                  </w:pPr>
                  <w:r>
                    <w:rPr>
                      <w:rFonts w:hint="eastAsia" w:cs="Times New Roman"/>
                      <w:bCs/>
                      <w:sz w:val="21"/>
                      <w:szCs w:val="21"/>
                      <w:lang w:val="en-US" w:eastAsia="zh-CN"/>
                    </w:rPr>
                    <w:t>新建</w:t>
                  </w:r>
                </w:p>
              </w:tc>
            </w:tr>
            <w:tr w14:paraId="7AC5C12F">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57" w:hRule="atLeast"/>
              </w:trPr>
              <w:tc>
                <w:tcPr>
                  <w:tcW w:w="509" w:type="pct"/>
                  <w:vMerge w:val="continue"/>
                  <w:tcBorders>
                    <w:tl2br w:val="nil"/>
                    <w:tr2bl w:val="nil"/>
                  </w:tcBorders>
                  <w:vAlign w:val="center"/>
                </w:tcPr>
                <w:p w14:paraId="05157D11">
                  <w:pPr>
                    <w:pStyle w:val="12"/>
                    <w:keepNext w:val="0"/>
                    <w:keepLines w:val="0"/>
                    <w:pageBreakBefore w:val="0"/>
                    <w:kinsoku/>
                    <w:wordWrap/>
                    <w:overflowPunct/>
                    <w:topLinePunct w:val="0"/>
                    <w:autoSpaceDE/>
                    <w:autoSpaceDN/>
                    <w:bidi w:val="0"/>
                    <w:spacing w:line="240" w:lineRule="auto"/>
                    <w:ind w:firstLine="0" w:firstLineChars="0"/>
                    <w:textAlignment w:val="auto"/>
                    <w:rPr>
                      <w:rFonts w:cs="Times New Roman"/>
                      <w:bCs/>
                      <w:sz w:val="21"/>
                      <w:szCs w:val="21"/>
                    </w:rPr>
                  </w:pPr>
                </w:p>
              </w:tc>
              <w:tc>
                <w:tcPr>
                  <w:tcW w:w="524" w:type="pct"/>
                  <w:vMerge w:val="continue"/>
                  <w:tcBorders>
                    <w:tl2br w:val="nil"/>
                    <w:tr2bl w:val="nil"/>
                  </w:tcBorders>
                  <w:vAlign w:val="center"/>
                </w:tcPr>
                <w:p w14:paraId="6A83FD85">
                  <w:pPr>
                    <w:pStyle w:val="12"/>
                    <w:keepNext w:val="0"/>
                    <w:keepLines w:val="0"/>
                    <w:pageBreakBefore w:val="0"/>
                    <w:kinsoku/>
                    <w:wordWrap/>
                    <w:overflowPunct/>
                    <w:topLinePunct w:val="0"/>
                    <w:autoSpaceDE/>
                    <w:autoSpaceDN/>
                    <w:bidi w:val="0"/>
                    <w:spacing w:line="240" w:lineRule="auto"/>
                    <w:ind w:firstLine="0" w:firstLineChars="0"/>
                    <w:textAlignment w:val="auto"/>
                    <w:rPr>
                      <w:rFonts w:cs="Times New Roman"/>
                      <w:bCs/>
                      <w:sz w:val="21"/>
                      <w:szCs w:val="21"/>
                    </w:rPr>
                  </w:pPr>
                </w:p>
              </w:tc>
              <w:tc>
                <w:tcPr>
                  <w:tcW w:w="671" w:type="pct"/>
                  <w:tcBorders>
                    <w:tl2br w:val="nil"/>
                    <w:tr2bl w:val="nil"/>
                  </w:tcBorders>
                  <w:vAlign w:val="center"/>
                </w:tcPr>
                <w:p w14:paraId="6E821CAF">
                  <w:pPr>
                    <w:pStyle w:val="12"/>
                    <w:keepNext w:val="0"/>
                    <w:keepLines w:val="0"/>
                    <w:pageBreakBefore w:val="0"/>
                    <w:kinsoku/>
                    <w:wordWrap/>
                    <w:overflowPunct/>
                    <w:topLinePunct w:val="0"/>
                    <w:autoSpaceDE/>
                    <w:autoSpaceDN/>
                    <w:bidi w:val="0"/>
                    <w:spacing w:line="240" w:lineRule="auto"/>
                    <w:ind w:firstLine="0" w:firstLineChars="0"/>
                    <w:textAlignment w:val="auto"/>
                    <w:rPr>
                      <w:rFonts w:cs="Times New Roman"/>
                      <w:sz w:val="21"/>
                      <w:szCs w:val="21"/>
                    </w:rPr>
                  </w:pPr>
                  <w:r>
                    <w:rPr>
                      <w:rFonts w:cs="Times New Roman"/>
                      <w:sz w:val="21"/>
                      <w:szCs w:val="21"/>
                    </w:rPr>
                    <w:t>建筑垃圾</w:t>
                  </w:r>
                </w:p>
              </w:tc>
              <w:tc>
                <w:tcPr>
                  <w:tcW w:w="2351" w:type="pct"/>
                  <w:tcBorders>
                    <w:tl2br w:val="nil"/>
                    <w:tr2bl w:val="nil"/>
                  </w:tcBorders>
                  <w:vAlign w:val="center"/>
                </w:tcPr>
                <w:p w14:paraId="4BCEA202">
                  <w:pPr>
                    <w:pStyle w:val="12"/>
                    <w:keepNext w:val="0"/>
                    <w:keepLines w:val="0"/>
                    <w:pageBreakBefore w:val="0"/>
                    <w:kinsoku/>
                    <w:wordWrap/>
                    <w:overflowPunct/>
                    <w:topLinePunct w:val="0"/>
                    <w:autoSpaceDE/>
                    <w:autoSpaceDN/>
                    <w:bidi w:val="0"/>
                    <w:spacing w:line="240" w:lineRule="auto"/>
                    <w:ind w:firstLine="0" w:firstLineChars="0"/>
                    <w:jc w:val="left"/>
                    <w:textAlignment w:val="auto"/>
                    <w:rPr>
                      <w:rFonts w:cs="Times New Roman"/>
                      <w:sz w:val="21"/>
                      <w:szCs w:val="21"/>
                    </w:rPr>
                  </w:pPr>
                  <w:r>
                    <w:rPr>
                      <w:rFonts w:cs="Times New Roman"/>
                      <w:sz w:val="21"/>
                      <w:szCs w:val="21"/>
                    </w:rPr>
                    <w:t>运至政府指定建渣场处理</w:t>
                  </w:r>
                </w:p>
              </w:tc>
              <w:tc>
                <w:tcPr>
                  <w:tcW w:w="455" w:type="pct"/>
                  <w:tcBorders>
                    <w:tl2br w:val="nil"/>
                    <w:tr2bl w:val="nil"/>
                  </w:tcBorders>
                  <w:vAlign w:val="center"/>
                </w:tcPr>
                <w:p w14:paraId="139DE2BE">
                  <w:pPr>
                    <w:pStyle w:val="12"/>
                    <w:keepNext w:val="0"/>
                    <w:keepLines w:val="0"/>
                    <w:pageBreakBefore w:val="0"/>
                    <w:kinsoku/>
                    <w:wordWrap/>
                    <w:overflowPunct/>
                    <w:topLinePunct w:val="0"/>
                    <w:autoSpaceDE/>
                    <w:autoSpaceDN/>
                    <w:bidi w:val="0"/>
                    <w:spacing w:line="240" w:lineRule="auto"/>
                    <w:ind w:firstLine="0" w:firstLineChars="0"/>
                    <w:textAlignment w:val="auto"/>
                    <w:rPr>
                      <w:rFonts w:hint="eastAsia" w:eastAsia="宋体" w:cs="Times New Roman"/>
                      <w:bCs/>
                      <w:sz w:val="21"/>
                      <w:szCs w:val="21"/>
                      <w:lang w:eastAsia="zh-CN"/>
                    </w:rPr>
                  </w:pPr>
                  <w:r>
                    <w:rPr>
                      <w:rFonts w:hint="eastAsia" w:cs="Times New Roman"/>
                      <w:bCs/>
                      <w:sz w:val="21"/>
                      <w:szCs w:val="21"/>
                      <w:lang w:val="en-US" w:eastAsia="zh-CN"/>
                    </w:rPr>
                    <w:t>2</w:t>
                  </w:r>
                </w:p>
              </w:tc>
              <w:tc>
                <w:tcPr>
                  <w:tcW w:w="488" w:type="pct"/>
                  <w:tcBorders>
                    <w:top w:val="single" w:color="000000" w:sz="2" w:space="0"/>
                    <w:tl2br w:val="nil"/>
                    <w:tr2bl w:val="nil"/>
                  </w:tcBorders>
                  <w:vAlign w:val="center"/>
                </w:tcPr>
                <w:p w14:paraId="2057826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eastAsia="宋体" w:cs="Times New Roman"/>
                      <w:bCs/>
                      <w:sz w:val="21"/>
                      <w:szCs w:val="21"/>
                      <w:lang w:val="en-US" w:eastAsia="zh-CN"/>
                    </w:rPr>
                  </w:pPr>
                  <w:r>
                    <w:rPr>
                      <w:rFonts w:hint="eastAsia" w:cs="Times New Roman"/>
                      <w:bCs/>
                      <w:sz w:val="21"/>
                      <w:szCs w:val="21"/>
                      <w:lang w:val="en-US" w:eastAsia="zh-CN"/>
                    </w:rPr>
                    <w:t>新建</w:t>
                  </w:r>
                </w:p>
              </w:tc>
            </w:tr>
            <w:tr w14:paraId="1BC2998A">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57" w:hRule="atLeast"/>
              </w:trPr>
              <w:tc>
                <w:tcPr>
                  <w:tcW w:w="509" w:type="pct"/>
                  <w:vMerge w:val="restart"/>
                  <w:tcBorders>
                    <w:tl2br w:val="nil"/>
                    <w:tr2bl w:val="nil"/>
                  </w:tcBorders>
                  <w:vAlign w:val="center"/>
                </w:tcPr>
                <w:p w14:paraId="48590C0A">
                  <w:pPr>
                    <w:pStyle w:val="12"/>
                    <w:keepNext w:val="0"/>
                    <w:keepLines w:val="0"/>
                    <w:pageBreakBefore w:val="0"/>
                    <w:kinsoku/>
                    <w:wordWrap/>
                    <w:overflowPunct/>
                    <w:topLinePunct w:val="0"/>
                    <w:autoSpaceDE/>
                    <w:autoSpaceDN/>
                    <w:bidi w:val="0"/>
                    <w:spacing w:line="240" w:lineRule="auto"/>
                    <w:ind w:firstLine="0" w:firstLineChars="0"/>
                    <w:textAlignment w:val="auto"/>
                    <w:rPr>
                      <w:rFonts w:cs="Times New Roman"/>
                      <w:bCs/>
                      <w:sz w:val="21"/>
                      <w:szCs w:val="21"/>
                    </w:rPr>
                  </w:pPr>
                  <w:r>
                    <w:rPr>
                      <w:rFonts w:cs="Times New Roman"/>
                      <w:bCs/>
                      <w:sz w:val="21"/>
                      <w:szCs w:val="21"/>
                    </w:rPr>
                    <w:t>营运期</w:t>
                  </w:r>
                </w:p>
              </w:tc>
              <w:tc>
                <w:tcPr>
                  <w:tcW w:w="524" w:type="pct"/>
                  <w:vMerge w:val="restart"/>
                  <w:tcBorders>
                    <w:tl2br w:val="nil"/>
                    <w:tr2bl w:val="nil"/>
                  </w:tcBorders>
                  <w:vAlign w:val="center"/>
                </w:tcPr>
                <w:p w14:paraId="7A849687">
                  <w:pPr>
                    <w:pStyle w:val="12"/>
                    <w:keepNext w:val="0"/>
                    <w:keepLines w:val="0"/>
                    <w:pageBreakBefore w:val="0"/>
                    <w:kinsoku/>
                    <w:wordWrap/>
                    <w:overflowPunct/>
                    <w:topLinePunct w:val="0"/>
                    <w:autoSpaceDE/>
                    <w:autoSpaceDN/>
                    <w:bidi w:val="0"/>
                    <w:spacing w:line="240" w:lineRule="auto"/>
                    <w:ind w:firstLine="0" w:firstLineChars="0"/>
                    <w:textAlignment w:val="auto"/>
                    <w:rPr>
                      <w:rFonts w:cs="Times New Roman"/>
                      <w:bCs/>
                      <w:sz w:val="21"/>
                      <w:szCs w:val="21"/>
                    </w:rPr>
                  </w:pPr>
                  <w:r>
                    <w:rPr>
                      <w:rFonts w:cs="Times New Roman"/>
                      <w:bCs/>
                      <w:sz w:val="21"/>
                      <w:szCs w:val="21"/>
                    </w:rPr>
                    <w:t>废气治理</w:t>
                  </w:r>
                </w:p>
              </w:tc>
              <w:tc>
                <w:tcPr>
                  <w:tcW w:w="671" w:type="pct"/>
                  <w:tcBorders>
                    <w:tl2br w:val="nil"/>
                    <w:tr2bl w:val="nil"/>
                  </w:tcBorders>
                  <w:vAlign w:val="center"/>
                </w:tcPr>
                <w:p w14:paraId="55DEA9E3">
                  <w:pPr>
                    <w:pStyle w:val="12"/>
                    <w:keepNext w:val="0"/>
                    <w:keepLines w:val="0"/>
                    <w:pageBreakBefore w:val="0"/>
                    <w:kinsoku/>
                    <w:wordWrap/>
                    <w:overflowPunct/>
                    <w:topLinePunct w:val="0"/>
                    <w:autoSpaceDE/>
                    <w:autoSpaceDN/>
                    <w:bidi w:val="0"/>
                    <w:spacing w:line="240" w:lineRule="auto"/>
                    <w:ind w:firstLine="0" w:firstLineChars="0"/>
                    <w:textAlignment w:val="auto"/>
                    <w:rPr>
                      <w:rFonts w:hint="default" w:eastAsia="宋体" w:cs="Times New Roman"/>
                      <w:sz w:val="21"/>
                      <w:szCs w:val="21"/>
                      <w:lang w:val="en-US" w:eastAsia="zh-CN"/>
                    </w:rPr>
                  </w:pPr>
                  <w:r>
                    <w:rPr>
                      <w:rFonts w:hint="eastAsia" w:cs="Times New Roman"/>
                      <w:sz w:val="21"/>
                      <w:szCs w:val="21"/>
                      <w:lang w:val="en-US" w:eastAsia="zh-CN"/>
                    </w:rPr>
                    <w:t>G1煅烧废气</w:t>
                  </w:r>
                </w:p>
              </w:tc>
              <w:tc>
                <w:tcPr>
                  <w:tcW w:w="2351" w:type="pct"/>
                  <w:tcBorders>
                    <w:tl2br w:val="nil"/>
                    <w:tr2bl w:val="nil"/>
                  </w:tcBorders>
                  <w:vAlign w:val="center"/>
                </w:tcPr>
                <w:p w14:paraId="6AA3DBFD">
                  <w:pPr>
                    <w:pStyle w:val="12"/>
                    <w:keepNext w:val="0"/>
                    <w:keepLines w:val="0"/>
                    <w:pageBreakBefore w:val="0"/>
                    <w:kinsoku/>
                    <w:wordWrap/>
                    <w:overflowPunct/>
                    <w:topLinePunct w:val="0"/>
                    <w:autoSpaceDE/>
                    <w:autoSpaceDN/>
                    <w:bidi w:val="0"/>
                    <w:spacing w:line="240" w:lineRule="auto"/>
                    <w:ind w:firstLine="0" w:firstLineChars="0"/>
                    <w:jc w:val="left"/>
                    <w:textAlignment w:val="auto"/>
                    <w:rPr>
                      <w:rFonts w:cs="Times New Roman"/>
                      <w:sz w:val="21"/>
                      <w:szCs w:val="21"/>
                    </w:rPr>
                  </w:pPr>
                  <w:r>
                    <w:rPr>
                      <w:rFonts w:hint="eastAsia" w:cs="Times New Roman"/>
                      <w:sz w:val="21"/>
                      <w:szCs w:val="21"/>
                      <w:lang w:val="en-US" w:eastAsia="zh-CN"/>
                    </w:rPr>
                    <w:t>旋风除尘器+布袋除尘器1#+活性炭喷射+布袋除尘器2#+3座脱酸塔处理后，经1根25m高排气筒排放（DA001）</w:t>
                  </w:r>
                </w:p>
              </w:tc>
              <w:tc>
                <w:tcPr>
                  <w:tcW w:w="455" w:type="pct"/>
                  <w:tcBorders>
                    <w:tl2br w:val="nil"/>
                    <w:tr2bl w:val="nil"/>
                  </w:tcBorders>
                  <w:vAlign w:val="center"/>
                </w:tcPr>
                <w:p w14:paraId="71FB1A11">
                  <w:pPr>
                    <w:pStyle w:val="12"/>
                    <w:keepNext w:val="0"/>
                    <w:keepLines w:val="0"/>
                    <w:pageBreakBefore w:val="0"/>
                    <w:kinsoku/>
                    <w:wordWrap/>
                    <w:overflowPunct/>
                    <w:topLinePunct w:val="0"/>
                    <w:autoSpaceDE/>
                    <w:autoSpaceDN/>
                    <w:bidi w:val="0"/>
                    <w:spacing w:line="240" w:lineRule="auto"/>
                    <w:ind w:firstLine="0" w:firstLineChars="0"/>
                    <w:textAlignment w:val="auto"/>
                    <w:rPr>
                      <w:rFonts w:hint="default" w:eastAsia="宋体" w:cs="Times New Roman"/>
                      <w:bCs/>
                      <w:sz w:val="21"/>
                      <w:szCs w:val="21"/>
                      <w:lang w:val="en-US" w:eastAsia="zh-CN"/>
                    </w:rPr>
                  </w:pPr>
                  <w:r>
                    <w:rPr>
                      <w:rFonts w:hint="eastAsia" w:cs="Times New Roman"/>
                      <w:bCs/>
                      <w:sz w:val="21"/>
                      <w:szCs w:val="21"/>
                      <w:lang w:val="en-US" w:eastAsia="zh-CN"/>
                    </w:rPr>
                    <w:t>115</w:t>
                  </w:r>
                </w:p>
              </w:tc>
              <w:tc>
                <w:tcPr>
                  <w:tcW w:w="488" w:type="pct"/>
                  <w:tcBorders>
                    <w:tl2br w:val="nil"/>
                    <w:tr2bl w:val="nil"/>
                  </w:tcBorders>
                  <w:vAlign w:val="center"/>
                </w:tcPr>
                <w:p w14:paraId="38A18EB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eastAsia="宋体" w:cs="Times New Roman"/>
                      <w:bCs/>
                      <w:sz w:val="21"/>
                      <w:szCs w:val="21"/>
                      <w:lang w:val="en-US" w:eastAsia="zh-CN"/>
                    </w:rPr>
                  </w:pPr>
                  <w:r>
                    <w:rPr>
                      <w:rFonts w:hint="eastAsia" w:cs="Times New Roman"/>
                      <w:bCs/>
                      <w:sz w:val="21"/>
                      <w:szCs w:val="21"/>
                      <w:lang w:val="en-US" w:eastAsia="zh-CN"/>
                    </w:rPr>
                    <w:t>新建</w:t>
                  </w:r>
                </w:p>
              </w:tc>
            </w:tr>
            <w:tr w14:paraId="20FFA83B">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57" w:hRule="atLeast"/>
              </w:trPr>
              <w:tc>
                <w:tcPr>
                  <w:tcW w:w="509" w:type="pct"/>
                  <w:vMerge w:val="continue"/>
                  <w:tcBorders>
                    <w:tl2br w:val="nil"/>
                    <w:tr2bl w:val="nil"/>
                  </w:tcBorders>
                  <w:vAlign w:val="center"/>
                </w:tcPr>
                <w:p w14:paraId="62294C64">
                  <w:pPr>
                    <w:pStyle w:val="12"/>
                    <w:keepNext w:val="0"/>
                    <w:keepLines w:val="0"/>
                    <w:pageBreakBefore w:val="0"/>
                    <w:kinsoku/>
                    <w:wordWrap/>
                    <w:overflowPunct/>
                    <w:topLinePunct w:val="0"/>
                    <w:autoSpaceDE/>
                    <w:autoSpaceDN/>
                    <w:bidi w:val="0"/>
                    <w:spacing w:line="240" w:lineRule="auto"/>
                    <w:ind w:firstLine="0" w:firstLineChars="0"/>
                    <w:textAlignment w:val="auto"/>
                    <w:rPr>
                      <w:rFonts w:cs="Times New Roman"/>
                      <w:bCs/>
                      <w:sz w:val="21"/>
                      <w:szCs w:val="21"/>
                    </w:rPr>
                  </w:pPr>
                </w:p>
              </w:tc>
              <w:tc>
                <w:tcPr>
                  <w:tcW w:w="524" w:type="pct"/>
                  <w:vMerge w:val="continue"/>
                  <w:tcBorders>
                    <w:tl2br w:val="nil"/>
                    <w:tr2bl w:val="nil"/>
                  </w:tcBorders>
                  <w:vAlign w:val="center"/>
                </w:tcPr>
                <w:p w14:paraId="57B60283">
                  <w:pPr>
                    <w:pStyle w:val="12"/>
                    <w:keepNext w:val="0"/>
                    <w:keepLines w:val="0"/>
                    <w:pageBreakBefore w:val="0"/>
                    <w:kinsoku/>
                    <w:wordWrap/>
                    <w:overflowPunct/>
                    <w:topLinePunct w:val="0"/>
                    <w:autoSpaceDE/>
                    <w:autoSpaceDN/>
                    <w:bidi w:val="0"/>
                    <w:spacing w:line="240" w:lineRule="auto"/>
                    <w:ind w:firstLine="0" w:firstLineChars="0"/>
                    <w:textAlignment w:val="auto"/>
                    <w:rPr>
                      <w:rFonts w:cs="Times New Roman"/>
                      <w:bCs/>
                      <w:sz w:val="21"/>
                      <w:szCs w:val="21"/>
                    </w:rPr>
                  </w:pPr>
                </w:p>
              </w:tc>
              <w:tc>
                <w:tcPr>
                  <w:tcW w:w="671" w:type="pct"/>
                  <w:tcBorders>
                    <w:tl2br w:val="nil"/>
                    <w:tr2bl w:val="nil"/>
                  </w:tcBorders>
                  <w:vAlign w:val="center"/>
                </w:tcPr>
                <w:p w14:paraId="6A72A964">
                  <w:pPr>
                    <w:pStyle w:val="12"/>
                    <w:keepNext w:val="0"/>
                    <w:keepLines w:val="0"/>
                    <w:pageBreakBefore w:val="0"/>
                    <w:kinsoku/>
                    <w:wordWrap/>
                    <w:overflowPunct/>
                    <w:topLinePunct w:val="0"/>
                    <w:autoSpaceDE/>
                    <w:autoSpaceDN/>
                    <w:bidi w:val="0"/>
                    <w:spacing w:line="240" w:lineRule="auto"/>
                    <w:ind w:firstLine="0" w:firstLineChars="0"/>
                    <w:textAlignment w:val="auto"/>
                    <w:rPr>
                      <w:rFonts w:hint="default" w:cs="Times New Roman"/>
                      <w:sz w:val="21"/>
                      <w:szCs w:val="21"/>
                      <w:lang w:val="en-US"/>
                    </w:rPr>
                  </w:pPr>
                  <w:r>
                    <w:rPr>
                      <w:rFonts w:hint="eastAsia" w:cs="Times New Roman"/>
                      <w:sz w:val="21"/>
                      <w:szCs w:val="21"/>
                      <w:lang w:val="en-US" w:eastAsia="zh-CN"/>
                    </w:rPr>
                    <w:t>G2 2号厂房异味</w:t>
                  </w:r>
                </w:p>
              </w:tc>
              <w:tc>
                <w:tcPr>
                  <w:tcW w:w="2351" w:type="pct"/>
                  <w:tcBorders>
                    <w:tl2br w:val="nil"/>
                    <w:tr2bl w:val="nil"/>
                  </w:tcBorders>
                  <w:vAlign w:val="center"/>
                </w:tcPr>
                <w:p w14:paraId="230F0560">
                  <w:pPr>
                    <w:pStyle w:val="12"/>
                    <w:keepNext w:val="0"/>
                    <w:keepLines w:val="0"/>
                    <w:pageBreakBefore w:val="0"/>
                    <w:kinsoku/>
                    <w:wordWrap/>
                    <w:overflowPunct/>
                    <w:topLinePunct w:val="0"/>
                    <w:autoSpaceDE/>
                    <w:autoSpaceDN/>
                    <w:bidi w:val="0"/>
                    <w:spacing w:line="240" w:lineRule="auto"/>
                    <w:ind w:firstLine="0" w:firstLineChars="0"/>
                    <w:jc w:val="left"/>
                    <w:textAlignment w:val="auto"/>
                    <w:rPr>
                      <w:rFonts w:cs="Times New Roman"/>
                      <w:sz w:val="21"/>
                      <w:szCs w:val="21"/>
                    </w:rPr>
                  </w:pPr>
                  <w:r>
                    <w:rPr>
                      <w:rFonts w:hint="eastAsia" w:cs="Times New Roman"/>
                      <w:sz w:val="21"/>
                      <w:szCs w:val="21"/>
                      <w:lang w:val="en-US" w:eastAsia="zh-CN"/>
                    </w:rPr>
                    <w:t>封闭式厂房+喷洒生物除臭剂</w:t>
                  </w:r>
                </w:p>
              </w:tc>
              <w:tc>
                <w:tcPr>
                  <w:tcW w:w="455" w:type="pct"/>
                  <w:tcBorders>
                    <w:tl2br w:val="nil"/>
                    <w:tr2bl w:val="nil"/>
                  </w:tcBorders>
                  <w:vAlign w:val="center"/>
                </w:tcPr>
                <w:p w14:paraId="5F287B99">
                  <w:pPr>
                    <w:pStyle w:val="12"/>
                    <w:keepNext w:val="0"/>
                    <w:keepLines w:val="0"/>
                    <w:pageBreakBefore w:val="0"/>
                    <w:kinsoku/>
                    <w:wordWrap/>
                    <w:overflowPunct/>
                    <w:topLinePunct w:val="0"/>
                    <w:autoSpaceDE/>
                    <w:autoSpaceDN/>
                    <w:bidi w:val="0"/>
                    <w:spacing w:line="240" w:lineRule="auto"/>
                    <w:ind w:firstLine="0" w:firstLineChars="0"/>
                    <w:textAlignment w:val="auto"/>
                    <w:rPr>
                      <w:rFonts w:cs="Times New Roman"/>
                      <w:bCs/>
                      <w:sz w:val="21"/>
                      <w:szCs w:val="21"/>
                    </w:rPr>
                  </w:pPr>
                  <w:r>
                    <w:rPr>
                      <w:rFonts w:hint="eastAsia" w:cs="Times New Roman"/>
                      <w:bCs/>
                      <w:sz w:val="21"/>
                      <w:szCs w:val="21"/>
                      <w:lang w:val="en-US" w:eastAsia="zh-CN"/>
                    </w:rPr>
                    <w:t>/</w:t>
                  </w:r>
                </w:p>
              </w:tc>
              <w:tc>
                <w:tcPr>
                  <w:tcW w:w="488" w:type="pct"/>
                  <w:tcBorders>
                    <w:tl2br w:val="nil"/>
                    <w:tr2bl w:val="nil"/>
                  </w:tcBorders>
                  <w:vAlign w:val="center"/>
                </w:tcPr>
                <w:p w14:paraId="7DDE74D4">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cs="Times New Roman"/>
                      <w:bCs/>
                      <w:sz w:val="21"/>
                      <w:szCs w:val="21"/>
                    </w:rPr>
                  </w:pPr>
                  <w:r>
                    <w:rPr>
                      <w:rFonts w:hint="eastAsia" w:cs="Times New Roman"/>
                      <w:bCs/>
                      <w:sz w:val="21"/>
                      <w:szCs w:val="21"/>
                      <w:lang w:val="en-US" w:eastAsia="zh-CN"/>
                    </w:rPr>
                    <w:t>计入主体工程</w:t>
                  </w:r>
                </w:p>
              </w:tc>
            </w:tr>
            <w:tr w14:paraId="62F3E49F">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57" w:hRule="atLeast"/>
              </w:trPr>
              <w:tc>
                <w:tcPr>
                  <w:tcW w:w="509" w:type="pct"/>
                  <w:vMerge w:val="continue"/>
                  <w:tcBorders>
                    <w:tl2br w:val="nil"/>
                    <w:tr2bl w:val="nil"/>
                  </w:tcBorders>
                  <w:vAlign w:val="center"/>
                </w:tcPr>
                <w:p w14:paraId="4C7D847A">
                  <w:pPr>
                    <w:pStyle w:val="12"/>
                    <w:keepNext w:val="0"/>
                    <w:keepLines w:val="0"/>
                    <w:pageBreakBefore w:val="0"/>
                    <w:kinsoku/>
                    <w:wordWrap/>
                    <w:overflowPunct/>
                    <w:topLinePunct w:val="0"/>
                    <w:autoSpaceDE/>
                    <w:autoSpaceDN/>
                    <w:bidi w:val="0"/>
                    <w:spacing w:line="240" w:lineRule="auto"/>
                    <w:ind w:firstLine="0" w:firstLineChars="0"/>
                    <w:textAlignment w:val="auto"/>
                    <w:rPr>
                      <w:rFonts w:cs="Times New Roman"/>
                      <w:bCs/>
                      <w:sz w:val="21"/>
                      <w:szCs w:val="21"/>
                    </w:rPr>
                  </w:pPr>
                </w:p>
              </w:tc>
              <w:tc>
                <w:tcPr>
                  <w:tcW w:w="524" w:type="pct"/>
                  <w:vMerge w:val="continue"/>
                  <w:tcBorders>
                    <w:tl2br w:val="nil"/>
                    <w:tr2bl w:val="nil"/>
                  </w:tcBorders>
                  <w:vAlign w:val="center"/>
                </w:tcPr>
                <w:p w14:paraId="60A9CEC0">
                  <w:pPr>
                    <w:pStyle w:val="12"/>
                    <w:keepNext w:val="0"/>
                    <w:keepLines w:val="0"/>
                    <w:pageBreakBefore w:val="0"/>
                    <w:kinsoku/>
                    <w:wordWrap/>
                    <w:overflowPunct/>
                    <w:topLinePunct w:val="0"/>
                    <w:autoSpaceDE/>
                    <w:autoSpaceDN/>
                    <w:bidi w:val="0"/>
                    <w:spacing w:line="240" w:lineRule="auto"/>
                    <w:ind w:firstLine="0" w:firstLineChars="0"/>
                    <w:textAlignment w:val="auto"/>
                    <w:rPr>
                      <w:rFonts w:cs="Times New Roman"/>
                      <w:bCs/>
                      <w:sz w:val="21"/>
                      <w:szCs w:val="21"/>
                    </w:rPr>
                  </w:pPr>
                </w:p>
              </w:tc>
              <w:tc>
                <w:tcPr>
                  <w:tcW w:w="671" w:type="pct"/>
                  <w:tcBorders>
                    <w:tl2br w:val="nil"/>
                    <w:tr2bl w:val="nil"/>
                  </w:tcBorders>
                  <w:vAlign w:val="center"/>
                </w:tcPr>
                <w:p w14:paraId="51837EBF">
                  <w:pPr>
                    <w:pStyle w:val="12"/>
                    <w:keepNext w:val="0"/>
                    <w:keepLines w:val="0"/>
                    <w:pageBreakBefore w:val="0"/>
                    <w:kinsoku/>
                    <w:wordWrap/>
                    <w:overflowPunct/>
                    <w:topLinePunct w:val="0"/>
                    <w:autoSpaceDE/>
                    <w:autoSpaceDN/>
                    <w:bidi w:val="0"/>
                    <w:spacing w:line="240" w:lineRule="auto"/>
                    <w:ind w:firstLine="0" w:firstLineChars="0"/>
                    <w:textAlignment w:val="auto"/>
                    <w:rPr>
                      <w:rFonts w:hint="default" w:cs="Times New Roman"/>
                      <w:sz w:val="21"/>
                      <w:szCs w:val="21"/>
                      <w:lang w:val="en-US"/>
                    </w:rPr>
                  </w:pPr>
                  <w:r>
                    <w:rPr>
                      <w:rFonts w:hint="eastAsia" w:cs="Times New Roman"/>
                      <w:sz w:val="21"/>
                      <w:szCs w:val="21"/>
                      <w:lang w:val="en-US" w:eastAsia="zh-CN"/>
                    </w:rPr>
                    <w:t>G3 1号厂房异味</w:t>
                  </w:r>
                </w:p>
              </w:tc>
              <w:tc>
                <w:tcPr>
                  <w:tcW w:w="2351" w:type="pct"/>
                  <w:tcBorders>
                    <w:tl2br w:val="nil"/>
                    <w:tr2bl w:val="nil"/>
                  </w:tcBorders>
                  <w:vAlign w:val="center"/>
                </w:tcPr>
                <w:p w14:paraId="16622CEC">
                  <w:pPr>
                    <w:pStyle w:val="12"/>
                    <w:keepNext w:val="0"/>
                    <w:keepLines w:val="0"/>
                    <w:pageBreakBefore w:val="0"/>
                    <w:kinsoku/>
                    <w:wordWrap/>
                    <w:overflowPunct/>
                    <w:topLinePunct w:val="0"/>
                    <w:autoSpaceDE/>
                    <w:autoSpaceDN/>
                    <w:bidi w:val="0"/>
                    <w:spacing w:line="240" w:lineRule="auto"/>
                    <w:ind w:firstLine="0" w:firstLineChars="0"/>
                    <w:jc w:val="left"/>
                    <w:textAlignment w:val="auto"/>
                    <w:rPr>
                      <w:rFonts w:cs="Times New Roman"/>
                      <w:sz w:val="21"/>
                      <w:szCs w:val="21"/>
                    </w:rPr>
                  </w:pPr>
                  <w:r>
                    <w:rPr>
                      <w:rFonts w:hint="eastAsia" w:cs="Times New Roman"/>
                      <w:sz w:val="21"/>
                      <w:szCs w:val="21"/>
                      <w:lang w:val="en-US" w:eastAsia="zh-CN"/>
                    </w:rPr>
                    <w:t>封闭式厂房+喷洒生物除臭剂</w:t>
                  </w:r>
                </w:p>
              </w:tc>
              <w:tc>
                <w:tcPr>
                  <w:tcW w:w="455" w:type="pct"/>
                  <w:tcBorders>
                    <w:tl2br w:val="nil"/>
                    <w:tr2bl w:val="nil"/>
                  </w:tcBorders>
                  <w:vAlign w:val="center"/>
                </w:tcPr>
                <w:p w14:paraId="6F07DB3A">
                  <w:pPr>
                    <w:pStyle w:val="12"/>
                    <w:keepNext w:val="0"/>
                    <w:keepLines w:val="0"/>
                    <w:pageBreakBefore w:val="0"/>
                    <w:kinsoku/>
                    <w:wordWrap/>
                    <w:overflowPunct/>
                    <w:topLinePunct w:val="0"/>
                    <w:autoSpaceDE/>
                    <w:autoSpaceDN/>
                    <w:bidi w:val="0"/>
                    <w:spacing w:line="240" w:lineRule="auto"/>
                    <w:ind w:firstLine="0" w:firstLineChars="0"/>
                    <w:textAlignment w:val="auto"/>
                    <w:rPr>
                      <w:rFonts w:hint="default" w:eastAsia="宋体" w:cs="Times New Roman"/>
                      <w:bCs/>
                      <w:sz w:val="21"/>
                      <w:szCs w:val="21"/>
                      <w:lang w:val="en-US" w:eastAsia="zh-CN"/>
                    </w:rPr>
                  </w:pPr>
                  <w:r>
                    <w:rPr>
                      <w:rFonts w:hint="eastAsia" w:cs="Times New Roman"/>
                      <w:bCs/>
                      <w:sz w:val="21"/>
                      <w:szCs w:val="21"/>
                      <w:lang w:val="en-US" w:eastAsia="zh-CN"/>
                    </w:rPr>
                    <w:t>/</w:t>
                  </w:r>
                </w:p>
              </w:tc>
              <w:tc>
                <w:tcPr>
                  <w:tcW w:w="488" w:type="pct"/>
                  <w:tcBorders>
                    <w:tl2br w:val="nil"/>
                    <w:tr2bl w:val="nil"/>
                  </w:tcBorders>
                  <w:vAlign w:val="center"/>
                </w:tcPr>
                <w:p w14:paraId="4813C839">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cs="Times New Roman"/>
                      <w:bCs/>
                      <w:sz w:val="21"/>
                      <w:szCs w:val="21"/>
                    </w:rPr>
                  </w:pPr>
                  <w:r>
                    <w:rPr>
                      <w:rFonts w:hint="eastAsia" w:cs="Times New Roman"/>
                      <w:bCs/>
                      <w:sz w:val="21"/>
                      <w:szCs w:val="21"/>
                      <w:lang w:val="en-US" w:eastAsia="zh-CN"/>
                    </w:rPr>
                    <w:t>计入主体工程</w:t>
                  </w:r>
                </w:p>
              </w:tc>
            </w:tr>
            <w:tr w14:paraId="4D571B85">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57" w:hRule="atLeast"/>
              </w:trPr>
              <w:tc>
                <w:tcPr>
                  <w:tcW w:w="509" w:type="pct"/>
                  <w:vMerge w:val="continue"/>
                  <w:tcBorders>
                    <w:tl2br w:val="nil"/>
                    <w:tr2bl w:val="nil"/>
                  </w:tcBorders>
                  <w:vAlign w:val="center"/>
                </w:tcPr>
                <w:p w14:paraId="1D140FA8">
                  <w:pPr>
                    <w:pStyle w:val="12"/>
                    <w:keepNext w:val="0"/>
                    <w:keepLines w:val="0"/>
                    <w:pageBreakBefore w:val="0"/>
                    <w:kinsoku/>
                    <w:wordWrap/>
                    <w:overflowPunct/>
                    <w:topLinePunct w:val="0"/>
                    <w:autoSpaceDE/>
                    <w:autoSpaceDN/>
                    <w:bidi w:val="0"/>
                    <w:spacing w:line="240" w:lineRule="auto"/>
                    <w:ind w:firstLine="0" w:firstLineChars="0"/>
                    <w:textAlignment w:val="auto"/>
                    <w:rPr>
                      <w:rFonts w:cs="Times New Roman"/>
                      <w:bCs/>
                      <w:sz w:val="21"/>
                      <w:szCs w:val="21"/>
                    </w:rPr>
                  </w:pPr>
                </w:p>
              </w:tc>
              <w:tc>
                <w:tcPr>
                  <w:tcW w:w="524" w:type="pct"/>
                  <w:vMerge w:val="continue"/>
                  <w:tcBorders>
                    <w:tl2br w:val="nil"/>
                    <w:tr2bl w:val="nil"/>
                  </w:tcBorders>
                  <w:vAlign w:val="center"/>
                </w:tcPr>
                <w:p w14:paraId="4361BDE6">
                  <w:pPr>
                    <w:pStyle w:val="12"/>
                    <w:keepNext w:val="0"/>
                    <w:keepLines w:val="0"/>
                    <w:pageBreakBefore w:val="0"/>
                    <w:kinsoku/>
                    <w:wordWrap/>
                    <w:overflowPunct/>
                    <w:topLinePunct w:val="0"/>
                    <w:autoSpaceDE/>
                    <w:autoSpaceDN/>
                    <w:bidi w:val="0"/>
                    <w:spacing w:line="240" w:lineRule="auto"/>
                    <w:ind w:firstLine="0" w:firstLineChars="0"/>
                    <w:textAlignment w:val="auto"/>
                    <w:rPr>
                      <w:rFonts w:cs="Times New Roman"/>
                      <w:bCs/>
                      <w:sz w:val="21"/>
                      <w:szCs w:val="21"/>
                    </w:rPr>
                  </w:pPr>
                </w:p>
              </w:tc>
              <w:tc>
                <w:tcPr>
                  <w:tcW w:w="671" w:type="pct"/>
                  <w:tcBorders>
                    <w:tl2br w:val="nil"/>
                    <w:tr2bl w:val="nil"/>
                  </w:tcBorders>
                  <w:shd w:val="clear" w:color="auto" w:fill="auto"/>
                  <w:vAlign w:val="center"/>
                </w:tcPr>
                <w:p w14:paraId="121B6474">
                  <w:pPr>
                    <w:pStyle w:val="12"/>
                    <w:spacing w:line="240" w:lineRule="auto"/>
                    <w:ind w:firstLine="0" w:firstLineChars="0"/>
                    <w:rPr>
                      <w:rFonts w:hint="eastAsia" w:ascii="Times New Roman" w:hAnsi="Times New Roman" w:eastAsia="宋体" w:cs="Times New Roman"/>
                      <w:b w:val="0"/>
                      <w:bCs/>
                      <w:kern w:val="0"/>
                      <w:sz w:val="21"/>
                      <w:szCs w:val="24"/>
                      <w:lang w:val="en-US" w:eastAsia="zh-CN" w:bidi="ar-SA"/>
                    </w:rPr>
                  </w:pPr>
                  <w:r>
                    <w:rPr>
                      <w:rFonts w:hint="eastAsia" w:cs="Times New Roman"/>
                      <w:lang w:val="en-US" w:eastAsia="zh-CN"/>
                    </w:rPr>
                    <w:t>G4预处理药剂投加粉尘</w:t>
                  </w:r>
                </w:p>
              </w:tc>
              <w:tc>
                <w:tcPr>
                  <w:tcW w:w="2351" w:type="pct"/>
                  <w:tcBorders>
                    <w:tl2br w:val="nil"/>
                    <w:tr2bl w:val="nil"/>
                  </w:tcBorders>
                  <w:shd w:val="clear" w:color="auto" w:fill="auto"/>
                  <w:vAlign w:val="center"/>
                </w:tcPr>
                <w:p w14:paraId="7A1B9925">
                  <w:pPr>
                    <w:pStyle w:val="12"/>
                    <w:spacing w:line="240" w:lineRule="auto"/>
                    <w:ind w:firstLine="0" w:firstLineChars="0"/>
                    <w:jc w:val="left"/>
                    <w:rPr>
                      <w:rFonts w:hint="eastAsia" w:ascii="Times New Roman" w:hAnsi="Times New Roman" w:eastAsia="宋体" w:cs="Times New Roman"/>
                      <w:b w:val="0"/>
                      <w:bCs/>
                      <w:kern w:val="0"/>
                      <w:sz w:val="21"/>
                      <w:szCs w:val="24"/>
                      <w:lang w:val="en-US" w:eastAsia="zh-CN" w:bidi="ar-SA"/>
                    </w:rPr>
                  </w:pPr>
                  <w:r>
                    <w:rPr>
                      <w:rFonts w:hint="eastAsia" w:cs="Times New Roman"/>
                      <w:lang w:val="en-US" w:eastAsia="zh-CN"/>
                    </w:rPr>
                    <w:t>投料口围挡+喷雾抑尘+厂房沉降</w:t>
                  </w:r>
                </w:p>
              </w:tc>
              <w:tc>
                <w:tcPr>
                  <w:tcW w:w="455" w:type="pct"/>
                  <w:tcBorders>
                    <w:tl2br w:val="nil"/>
                    <w:tr2bl w:val="nil"/>
                  </w:tcBorders>
                  <w:shd w:val="clear" w:color="auto" w:fill="auto"/>
                  <w:vAlign w:val="center"/>
                </w:tcPr>
                <w:p w14:paraId="2CD42F32">
                  <w:pPr>
                    <w:pStyle w:val="12"/>
                    <w:keepNext w:val="0"/>
                    <w:keepLines w:val="0"/>
                    <w:pageBreakBefore w:val="0"/>
                    <w:kinsoku/>
                    <w:wordWrap/>
                    <w:overflowPunct/>
                    <w:topLinePunct w:val="0"/>
                    <w:autoSpaceDE/>
                    <w:autoSpaceDN/>
                    <w:bidi w:val="0"/>
                    <w:spacing w:line="240" w:lineRule="auto"/>
                    <w:ind w:firstLine="0" w:firstLineChars="0"/>
                    <w:textAlignment w:val="auto"/>
                    <w:rPr>
                      <w:rFonts w:hint="eastAsia" w:ascii="Times New Roman" w:hAnsi="Times New Roman" w:eastAsia="宋体" w:cs="Times New Roman"/>
                      <w:b w:val="0"/>
                      <w:bCs/>
                      <w:kern w:val="0"/>
                      <w:sz w:val="21"/>
                      <w:szCs w:val="21"/>
                      <w:lang w:val="en-US" w:eastAsia="zh-CN" w:bidi="ar-SA"/>
                    </w:rPr>
                  </w:pPr>
                  <w:r>
                    <w:rPr>
                      <w:rFonts w:hint="eastAsia" w:cs="Times New Roman"/>
                      <w:bCs/>
                      <w:sz w:val="21"/>
                      <w:szCs w:val="21"/>
                      <w:lang w:val="en-US" w:eastAsia="zh-CN"/>
                    </w:rPr>
                    <w:t>1</w:t>
                  </w:r>
                </w:p>
              </w:tc>
              <w:tc>
                <w:tcPr>
                  <w:tcW w:w="488" w:type="pct"/>
                  <w:tcBorders>
                    <w:tl2br w:val="nil"/>
                    <w:tr2bl w:val="nil"/>
                  </w:tcBorders>
                  <w:shd w:val="clear" w:color="auto" w:fill="auto"/>
                  <w:vAlign w:val="center"/>
                </w:tcPr>
                <w:p w14:paraId="12FAF62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bCs/>
                      <w:kern w:val="0"/>
                      <w:sz w:val="21"/>
                      <w:szCs w:val="21"/>
                      <w:lang w:val="en-US" w:eastAsia="zh-CN" w:bidi="ar-SA"/>
                    </w:rPr>
                  </w:pPr>
                  <w:r>
                    <w:rPr>
                      <w:rFonts w:hint="eastAsia" w:cs="Times New Roman"/>
                      <w:bCs/>
                      <w:sz w:val="21"/>
                      <w:szCs w:val="21"/>
                      <w:lang w:val="en-US" w:eastAsia="zh-CN"/>
                    </w:rPr>
                    <w:t>新建</w:t>
                  </w:r>
                </w:p>
              </w:tc>
            </w:tr>
            <w:tr w14:paraId="5C306EE4">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57" w:hRule="atLeast"/>
              </w:trPr>
              <w:tc>
                <w:tcPr>
                  <w:tcW w:w="509" w:type="pct"/>
                  <w:vMerge w:val="continue"/>
                  <w:tcBorders>
                    <w:tl2br w:val="nil"/>
                    <w:tr2bl w:val="nil"/>
                  </w:tcBorders>
                  <w:vAlign w:val="center"/>
                </w:tcPr>
                <w:p w14:paraId="2405FF31">
                  <w:pPr>
                    <w:pStyle w:val="12"/>
                    <w:keepNext w:val="0"/>
                    <w:keepLines w:val="0"/>
                    <w:pageBreakBefore w:val="0"/>
                    <w:kinsoku/>
                    <w:wordWrap/>
                    <w:overflowPunct/>
                    <w:topLinePunct w:val="0"/>
                    <w:autoSpaceDE/>
                    <w:autoSpaceDN/>
                    <w:bidi w:val="0"/>
                    <w:spacing w:line="240" w:lineRule="auto"/>
                    <w:ind w:firstLine="0" w:firstLineChars="0"/>
                    <w:textAlignment w:val="auto"/>
                    <w:rPr>
                      <w:rFonts w:cs="Times New Roman"/>
                      <w:bCs/>
                      <w:sz w:val="21"/>
                      <w:szCs w:val="21"/>
                    </w:rPr>
                  </w:pPr>
                </w:p>
              </w:tc>
              <w:tc>
                <w:tcPr>
                  <w:tcW w:w="524" w:type="pct"/>
                  <w:vMerge w:val="continue"/>
                  <w:tcBorders>
                    <w:tl2br w:val="nil"/>
                    <w:tr2bl w:val="nil"/>
                  </w:tcBorders>
                  <w:vAlign w:val="center"/>
                </w:tcPr>
                <w:p w14:paraId="746A62E1">
                  <w:pPr>
                    <w:pStyle w:val="12"/>
                    <w:keepNext w:val="0"/>
                    <w:keepLines w:val="0"/>
                    <w:pageBreakBefore w:val="0"/>
                    <w:kinsoku/>
                    <w:wordWrap/>
                    <w:overflowPunct/>
                    <w:topLinePunct w:val="0"/>
                    <w:autoSpaceDE/>
                    <w:autoSpaceDN/>
                    <w:bidi w:val="0"/>
                    <w:spacing w:line="240" w:lineRule="auto"/>
                    <w:ind w:firstLine="0" w:firstLineChars="0"/>
                    <w:textAlignment w:val="auto"/>
                    <w:rPr>
                      <w:rFonts w:cs="Times New Roman"/>
                      <w:bCs/>
                      <w:sz w:val="21"/>
                      <w:szCs w:val="21"/>
                    </w:rPr>
                  </w:pPr>
                </w:p>
              </w:tc>
              <w:tc>
                <w:tcPr>
                  <w:tcW w:w="671" w:type="pct"/>
                  <w:tcBorders>
                    <w:tl2br w:val="nil"/>
                    <w:tr2bl w:val="nil"/>
                  </w:tcBorders>
                  <w:vAlign w:val="center"/>
                </w:tcPr>
                <w:p w14:paraId="3D3E2DDE">
                  <w:pPr>
                    <w:pStyle w:val="12"/>
                    <w:keepNext w:val="0"/>
                    <w:keepLines w:val="0"/>
                    <w:pageBreakBefore w:val="0"/>
                    <w:kinsoku/>
                    <w:wordWrap/>
                    <w:overflowPunct/>
                    <w:topLinePunct w:val="0"/>
                    <w:autoSpaceDE/>
                    <w:autoSpaceDN/>
                    <w:bidi w:val="0"/>
                    <w:spacing w:line="240" w:lineRule="auto"/>
                    <w:ind w:firstLine="0" w:firstLineChars="0"/>
                    <w:textAlignment w:val="auto"/>
                    <w:rPr>
                      <w:rFonts w:hint="default" w:cs="Times New Roman"/>
                      <w:sz w:val="21"/>
                      <w:szCs w:val="21"/>
                      <w:lang w:val="en-US"/>
                    </w:rPr>
                  </w:pPr>
                  <w:r>
                    <w:rPr>
                      <w:rFonts w:hint="eastAsia" w:cs="Times New Roman"/>
                      <w:sz w:val="21"/>
                      <w:szCs w:val="21"/>
                      <w:lang w:val="en-US" w:eastAsia="zh-CN"/>
                    </w:rPr>
                    <w:t>G5水泥筒仓粉尘</w:t>
                  </w:r>
                </w:p>
              </w:tc>
              <w:tc>
                <w:tcPr>
                  <w:tcW w:w="2351" w:type="pct"/>
                  <w:tcBorders>
                    <w:tl2br w:val="nil"/>
                    <w:tr2bl w:val="nil"/>
                  </w:tcBorders>
                  <w:vAlign w:val="center"/>
                </w:tcPr>
                <w:p w14:paraId="42C02A34">
                  <w:pPr>
                    <w:pStyle w:val="12"/>
                    <w:keepNext w:val="0"/>
                    <w:keepLines w:val="0"/>
                    <w:pageBreakBefore w:val="0"/>
                    <w:kinsoku/>
                    <w:wordWrap/>
                    <w:overflowPunct/>
                    <w:topLinePunct w:val="0"/>
                    <w:autoSpaceDE/>
                    <w:autoSpaceDN/>
                    <w:bidi w:val="0"/>
                    <w:spacing w:line="240" w:lineRule="auto"/>
                    <w:ind w:firstLine="0" w:firstLineChars="0"/>
                    <w:jc w:val="left"/>
                    <w:textAlignment w:val="auto"/>
                    <w:rPr>
                      <w:rFonts w:cs="Times New Roman"/>
                      <w:sz w:val="21"/>
                      <w:szCs w:val="21"/>
                    </w:rPr>
                  </w:pPr>
                  <w:r>
                    <w:rPr>
                      <w:rFonts w:hint="eastAsia" w:cs="Times New Roman"/>
                      <w:sz w:val="21"/>
                      <w:szCs w:val="21"/>
                      <w:lang w:val="en-US" w:eastAsia="zh-CN"/>
                    </w:rPr>
                    <w:t>筒仓自带布袋除尘设施处理+封闭式厂房</w:t>
                  </w:r>
                </w:p>
              </w:tc>
              <w:tc>
                <w:tcPr>
                  <w:tcW w:w="455" w:type="pct"/>
                  <w:tcBorders>
                    <w:tl2br w:val="nil"/>
                    <w:tr2bl w:val="nil"/>
                  </w:tcBorders>
                  <w:vAlign w:val="center"/>
                </w:tcPr>
                <w:p w14:paraId="0311BBB6">
                  <w:pPr>
                    <w:pStyle w:val="12"/>
                    <w:keepNext w:val="0"/>
                    <w:keepLines w:val="0"/>
                    <w:pageBreakBefore w:val="0"/>
                    <w:kinsoku/>
                    <w:wordWrap/>
                    <w:overflowPunct/>
                    <w:topLinePunct w:val="0"/>
                    <w:autoSpaceDE/>
                    <w:autoSpaceDN/>
                    <w:bidi w:val="0"/>
                    <w:spacing w:line="240" w:lineRule="auto"/>
                    <w:ind w:firstLine="0" w:firstLineChars="0"/>
                    <w:textAlignment w:val="auto"/>
                    <w:rPr>
                      <w:rFonts w:hint="default" w:eastAsia="宋体" w:cs="Times New Roman"/>
                      <w:bCs/>
                      <w:sz w:val="21"/>
                      <w:szCs w:val="21"/>
                      <w:lang w:val="en-US" w:eastAsia="zh-CN"/>
                    </w:rPr>
                  </w:pPr>
                  <w:r>
                    <w:rPr>
                      <w:rFonts w:hint="eastAsia" w:cs="Times New Roman"/>
                      <w:bCs/>
                      <w:sz w:val="21"/>
                      <w:szCs w:val="21"/>
                      <w:lang w:val="en-US" w:eastAsia="zh-CN"/>
                    </w:rPr>
                    <w:t>/</w:t>
                  </w:r>
                </w:p>
              </w:tc>
              <w:tc>
                <w:tcPr>
                  <w:tcW w:w="488" w:type="pct"/>
                  <w:tcBorders>
                    <w:tl2br w:val="nil"/>
                    <w:tr2bl w:val="nil"/>
                  </w:tcBorders>
                  <w:vAlign w:val="center"/>
                </w:tcPr>
                <w:p w14:paraId="1234449E">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cs="Times New Roman"/>
                      <w:bCs/>
                      <w:sz w:val="21"/>
                      <w:szCs w:val="21"/>
                    </w:rPr>
                  </w:pPr>
                  <w:r>
                    <w:rPr>
                      <w:rFonts w:hint="eastAsia" w:cs="Times New Roman"/>
                      <w:bCs/>
                      <w:sz w:val="21"/>
                      <w:szCs w:val="21"/>
                      <w:lang w:val="en-US" w:eastAsia="zh-CN"/>
                    </w:rPr>
                    <w:t>计入主体工程</w:t>
                  </w:r>
                </w:p>
              </w:tc>
            </w:tr>
            <w:tr w14:paraId="7A72211E">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57" w:hRule="atLeast"/>
              </w:trPr>
              <w:tc>
                <w:tcPr>
                  <w:tcW w:w="509" w:type="pct"/>
                  <w:vMerge w:val="continue"/>
                  <w:tcBorders>
                    <w:tl2br w:val="nil"/>
                    <w:tr2bl w:val="nil"/>
                  </w:tcBorders>
                  <w:vAlign w:val="center"/>
                </w:tcPr>
                <w:p w14:paraId="0EFD6D92">
                  <w:pPr>
                    <w:pStyle w:val="12"/>
                    <w:keepNext w:val="0"/>
                    <w:keepLines w:val="0"/>
                    <w:pageBreakBefore w:val="0"/>
                    <w:kinsoku/>
                    <w:wordWrap/>
                    <w:overflowPunct/>
                    <w:topLinePunct w:val="0"/>
                    <w:autoSpaceDE/>
                    <w:autoSpaceDN/>
                    <w:bidi w:val="0"/>
                    <w:spacing w:line="240" w:lineRule="auto"/>
                    <w:ind w:firstLine="0" w:firstLineChars="0"/>
                    <w:textAlignment w:val="auto"/>
                    <w:rPr>
                      <w:rFonts w:cs="Times New Roman"/>
                      <w:bCs/>
                      <w:sz w:val="21"/>
                      <w:szCs w:val="21"/>
                    </w:rPr>
                  </w:pPr>
                </w:p>
              </w:tc>
              <w:tc>
                <w:tcPr>
                  <w:tcW w:w="524" w:type="pct"/>
                  <w:vMerge w:val="continue"/>
                  <w:tcBorders>
                    <w:tl2br w:val="nil"/>
                    <w:tr2bl w:val="nil"/>
                  </w:tcBorders>
                  <w:vAlign w:val="center"/>
                </w:tcPr>
                <w:p w14:paraId="4F3E870B">
                  <w:pPr>
                    <w:pStyle w:val="12"/>
                    <w:keepNext w:val="0"/>
                    <w:keepLines w:val="0"/>
                    <w:pageBreakBefore w:val="0"/>
                    <w:kinsoku/>
                    <w:wordWrap/>
                    <w:overflowPunct/>
                    <w:topLinePunct w:val="0"/>
                    <w:autoSpaceDE/>
                    <w:autoSpaceDN/>
                    <w:bidi w:val="0"/>
                    <w:spacing w:line="240" w:lineRule="auto"/>
                    <w:ind w:firstLine="0" w:firstLineChars="0"/>
                    <w:textAlignment w:val="auto"/>
                    <w:rPr>
                      <w:rFonts w:cs="Times New Roman"/>
                      <w:bCs/>
                      <w:sz w:val="21"/>
                      <w:szCs w:val="21"/>
                    </w:rPr>
                  </w:pPr>
                </w:p>
              </w:tc>
              <w:tc>
                <w:tcPr>
                  <w:tcW w:w="671" w:type="pct"/>
                  <w:tcBorders>
                    <w:tl2br w:val="nil"/>
                    <w:tr2bl w:val="nil"/>
                  </w:tcBorders>
                  <w:vAlign w:val="center"/>
                </w:tcPr>
                <w:p w14:paraId="2005455F">
                  <w:pPr>
                    <w:pStyle w:val="12"/>
                    <w:keepNext w:val="0"/>
                    <w:keepLines w:val="0"/>
                    <w:pageBreakBefore w:val="0"/>
                    <w:kinsoku/>
                    <w:wordWrap/>
                    <w:overflowPunct/>
                    <w:topLinePunct w:val="0"/>
                    <w:autoSpaceDE/>
                    <w:autoSpaceDN/>
                    <w:bidi w:val="0"/>
                    <w:spacing w:line="240" w:lineRule="auto"/>
                    <w:ind w:firstLine="0" w:firstLineChars="0"/>
                    <w:textAlignment w:val="auto"/>
                    <w:rPr>
                      <w:rFonts w:hint="default" w:cs="Times New Roman"/>
                      <w:sz w:val="21"/>
                      <w:szCs w:val="21"/>
                      <w:lang w:val="en-US"/>
                    </w:rPr>
                  </w:pPr>
                  <w:r>
                    <w:rPr>
                      <w:rFonts w:hint="eastAsia" w:cs="Times New Roman"/>
                      <w:sz w:val="21"/>
                      <w:szCs w:val="21"/>
                      <w:lang w:val="en-US" w:eastAsia="zh-CN"/>
                    </w:rPr>
                    <w:t>G6水稳层骨料仓粉尘</w:t>
                  </w:r>
                </w:p>
              </w:tc>
              <w:tc>
                <w:tcPr>
                  <w:tcW w:w="2351" w:type="pct"/>
                  <w:tcBorders>
                    <w:tl2br w:val="nil"/>
                    <w:tr2bl w:val="nil"/>
                  </w:tcBorders>
                  <w:vAlign w:val="center"/>
                </w:tcPr>
                <w:p w14:paraId="05710B3C">
                  <w:pPr>
                    <w:pStyle w:val="12"/>
                    <w:keepNext w:val="0"/>
                    <w:keepLines w:val="0"/>
                    <w:pageBreakBefore w:val="0"/>
                    <w:kinsoku/>
                    <w:wordWrap/>
                    <w:overflowPunct/>
                    <w:topLinePunct w:val="0"/>
                    <w:autoSpaceDE/>
                    <w:autoSpaceDN/>
                    <w:bidi w:val="0"/>
                    <w:spacing w:line="240" w:lineRule="auto"/>
                    <w:ind w:firstLine="0" w:firstLineChars="0"/>
                    <w:jc w:val="left"/>
                    <w:textAlignment w:val="auto"/>
                    <w:rPr>
                      <w:rFonts w:cs="Times New Roman"/>
                      <w:sz w:val="21"/>
                      <w:szCs w:val="21"/>
                    </w:rPr>
                  </w:pPr>
                  <w:r>
                    <w:rPr>
                      <w:rFonts w:hint="eastAsia" w:cs="Times New Roman"/>
                      <w:sz w:val="21"/>
                      <w:szCs w:val="21"/>
                      <w:lang w:val="en-US" w:eastAsia="zh-CN"/>
                    </w:rPr>
                    <w:t>筒仓自带布袋除尘设施处理+封闭式厂房</w:t>
                  </w:r>
                </w:p>
              </w:tc>
              <w:tc>
                <w:tcPr>
                  <w:tcW w:w="455" w:type="pct"/>
                  <w:tcBorders>
                    <w:tl2br w:val="nil"/>
                    <w:tr2bl w:val="nil"/>
                  </w:tcBorders>
                  <w:vAlign w:val="center"/>
                </w:tcPr>
                <w:p w14:paraId="3699043A">
                  <w:pPr>
                    <w:pStyle w:val="12"/>
                    <w:keepNext w:val="0"/>
                    <w:keepLines w:val="0"/>
                    <w:pageBreakBefore w:val="0"/>
                    <w:kinsoku/>
                    <w:wordWrap/>
                    <w:overflowPunct/>
                    <w:topLinePunct w:val="0"/>
                    <w:autoSpaceDE/>
                    <w:autoSpaceDN/>
                    <w:bidi w:val="0"/>
                    <w:spacing w:line="240" w:lineRule="auto"/>
                    <w:ind w:firstLine="0" w:firstLineChars="0"/>
                    <w:textAlignment w:val="auto"/>
                    <w:rPr>
                      <w:rFonts w:hint="default" w:eastAsia="宋体" w:cs="Times New Roman"/>
                      <w:bCs/>
                      <w:sz w:val="21"/>
                      <w:szCs w:val="21"/>
                      <w:lang w:val="en-US" w:eastAsia="zh-CN"/>
                    </w:rPr>
                  </w:pPr>
                  <w:r>
                    <w:rPr>
                      <w:rFonts w:hint="eastAsia" w:cs="Times New Roman"/>
                      <w:bCs/>
                      <w:sz w:val="21"/>
                      <w:szCs w:val="21"/>
                      <w:lang w:val="en-US" w:eastAsia="zh-CN"/>
                    </w:rPr>
                    <w:t>/</w:t>
                  </w:r>
                </w:p>
              </w:tc>
              <w:tc>
                <w:tcPr>
                  <w:tcW w:w="488" w:type="pct"/>
                  <w:tcBorders>
                    <w:tl2br w:val="nil"/>
                    <w:tr2bl w:val="nil"/>
                  </w:tcBorders>
                  <w:vAlign w:val="center"/>
                </w:tcPr>
                <w:p w14:paraId="00FA53AA">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cs="Times New Roman"/>
                      <w:bCs/>
                      <w:sz w:val="21"/>
                      <w:szCs w:val="21"/>
                    </w:rPr>
                  </w:pPr>
                  <w:r>
                    <w:rPr>
                      <w:rFonts w:hint="eastAsia" w:cs="Times New Roman"/>
                      <w:bCs/>
                      <w:sz w:val="21"/>
                      <w:szCs w:val="21"/>
                      <w:lang w:val="en-US" w:eastAsia="zh-CN"/>
                    </w:rPr>
                    <w:t>计入主体工程</w:t>
                  </w:r>
                </w:p>
              </w:tc>
            </w:tr>
            <w:tr w14:paraId="372CCBEE">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57" w:hRule="atLeast"/>
              </w:trPr>
              <w:tc>
                <w:tcPr>
                  <w:tcW w:w="509" w:type="pct"/>
                  <w:vMerge w:val="continue"/>
                  <w:tcBorders>
                    <w:tl2br w:val="nil"/>
                    <w:tr2bl w:val="nil"/>
                  </w:tcBorders>
                  <w:vAlign w:val="center"/>
                </w:tcPr>
                <w:p w14:paraId="3EA7F6EF">
                  <w:pPr>
                    <w:pStyle w:val="12"/>
                    <w:keepNext w:val="0"/>
                    <w:keepLines w:val="0"/>
                    <w:pageBreakBefore w:val="0"/>
                    <w:kinsoku/>
                    <w:wordWrap/>
                    <w:overflowPunct/>
                    <w:topLinePunct w:val="0"/>
                    <w:autoSpaceDE/>
                    <w:autoSpaceDN/>
                    <w:bidi w:val="0"/>
                    <w:spacing w:line="240" w:lineRule="auto"/>
                    <w:ind w:firstLine="0" w:firstLineChars="0"/>
                    <w:textAlignment w:val="auto"/>
                    <w:rPr>
                      <w:rFonts w:cs="Times New Roman"/>
                      <w:bCs/>
                      <w:sz w:val="21"/>
                      <w:szCs w:val="21"/>
                    </w:rPr>
                  </w:pPr>
                </w:p>
              </w:tc>
              <w:tc>
                <w:tcPr>
                  <w:tcW w:w="524" w:type="pct"/>
                  <w:vMerge w:val="continue"/>
                  <w:tcBorders>
                    <w:tl2br w:val="nil"/>
                    <w:tr2bl w:val="nil"/>
                  </w:tcBorders>
                  <w:vAlign w:val="center"/>
                </w:tcPr>
                <w:p w14:paraId="605E3EF7">
                  <w:pPr>
                    <w:pStyle w:val="12"/>
                    <w:keepNext w:val="0"/>
                    <w:keepLines w:val="0"/>
                    <w:pageBreakBefore w:val="0"/>
                    <w:kinsoku/>
                    <w:wordWrap/>
                    <w:overflowPunct/>
                    <w:topLinePunct w:val="0"/>
                    <w:autoSpaceDE/>
                    <w:autoSpaceDN/>
                    <w:bidi w:val="0"/>
                    <w:spacing w:line="240" w:lineRule="auto"/>
                    <w:ind w:firstLine="0" w:firstLineChars="0"/>
                    <w:textAlignment w:val="auto"/>
                    <w:rPr>
                      <w:rFonts w:cs="Times New Roman"/>
                      <w:bCs/>
                      <w:sz w:val="21"/>
                      <w:szCs w:val="21"/>
                    </w:rPr>
                  </w:pPr>
                </w:p>
              </w:tc>
              <w:tc>
                <w:tcPr>
                  <w:tcW w:w="671" w:type="pct"/>
                  <w:tcBorders>
                    <w:tl2br w:val="nil"/>
                    <w:tr2bl w:val="nil"/>
                  </w:tcBorders>
                  <w:vAlign w:val="center"/>
                </w:tcPr>
                <w:p w14:paraId="62DF66B3">
                  <w:pPr>
                    <w:pStyle w:val="12"/>
                    <w:keepNext w:val="0"/>
                    <w:keepLines w:val="0"/>
                    <w:pageBreakBefore w:val="0"/>
                    <w:kinsoku/>
                    <w:wordWrap/>
                    <w:overflowPunct/>
                    <w:topLinePunct w:val="0"/>
                    <w:autoSpaceDE/>
                    <w:autoSpaceDN/>
                    <w:bidi w:val="0"/>
                    <w:spacing w:line="240" w:lineRule="auto"/>
                    <w:ind w:firstLine="0" w:firstLineChars="0"/>
                    <w:textAlignment w:val="auto"/>
                    <w:rPr>
                      <w:rFonts w:hint="default" w:cs="Times New Roman"/>
                      <w:sz w:val="21"/>
                      <w:szCs w:val="21"/>
                      <w:lang w:val="en-US" w:eastAsia="zh-CN"/>
                    </w:rPr>
                  </w:pPr>
                  <w:r>
                    <w:rPr>
                      <w:rFonts w:hint="eastAsia" w:cs="Times New Roman"/>
                      <w:sz w:val="21"/>
                      <w:szCs w:val="21"/>
                      <w:lang w:val="en-US" w:eastAsia="zh-CN"/>
                    </w:rPr>
                    <w:t>G7 砂石堆存区粉尘</w:t>
                  </w:r>
                </w:p>
              </w:tc>
              <w:tc>
                <w:tcPr>
                  <w:tcW w:w="2351" w:type="pct"/>
                  <w:tcBorders>
                    <w:tl2br w:val="nil"/>
                    <w:tr2bl w:val="nil"/>
                  </w:tcBorders>
                  <w:vAlign w:val="center"/>
                </w:tcPr>
                <w:p w14:paraId="797A83F7">
                  <w:pPr>
                    <w:pStyle w:val="12"/>
                    <w:keepNext w:val="0"/>
                    <w:keepLines w:val="0"/>
                    <w:pageBreakBefore w:val="0"/>
                    <w:kinsoku/>
                    <w:wordWrap/>
                    <w:overflowPunct/>
                    <w:topLinePunct w:val="0"/>
                    <w:autoSpaceDE/>
                    <w:autoSpaceDN/>
                    <w:bidi w:val="0"/>
                    <w:spacing w:line="240" w:lineRule="auto"/>
                    <w:ind w:firstLine="0" w:firstLineChars="0"/>
                    <w:jc w:val="left"/>
                    <w:textAlignment w:val="auto"/>
                    <w:rPr>
                      <w:rFonts w:hint="eastAsia" w:cs="Times New Roman"/>
                      <w:sz w:val="21"/>
                      <w:szCs w:val="21"/>
                      <w:lang w:val="en-US" w:eastAsia="zh-CN"/>
                    </w:rPr>
                  </w:pPr>
                  <w:r>
                    <w:rPr>
                      <w:rFonts w:hint="eastAsia" w:cs="Times New Roman"/>
                      <w:sz w:val="21"/>
                      <w:szCs w:val="21"/>
                      <w:lang w:val="en-US" w:eastAsia="zh-CN"/>
                    </w:rPr>
                    <w:t>喷雾降尘+封闭式厂房</w:t>
                  </w:r>
                </w:p>
              </w:tc>
              <w:tc>
                <w:tcPr>
                  <w:tcW w:w="455" w:type="pct"/>
                  <w:tcBorders>
                    <w:tl2br w:val="nil"/>
                    <w:tr2bl w:val="nil"/>
                  </w:tcBorders>
                  <w:vAlign w:val="center"/>
                </w:tcPr>
                <w:p w14:paraId="5292E5DE">
                  <w:pPr>
                    <w:pStyle w:val="12"/>
                    <w:keepNext w:val="0"/>
                    <w:keepLines w:val="0"/>
                    <w:pageBreakBefore w:val="0"/>
                    <w:kinsoku/>
                    <w:wordWrap/>
                    <w:overflowPunct/>
                    <w:topLinePunct w:val="0"/>
                    <w:autoSpaceDE/>
                    <w:autoSpaceDN/>
                    <w:bidi w:val="0"/>
                    <w:spacing w:line="240" w:lineRule="auto"/>
                    <w:ind w:firstLine="0" w:firstLineChars="0"/>
                    <w:textAlignment w:val="auto"/>
                    <w:rPr>
                      <w:rFonts w:hint="default" w:cs="Times New Roman"/>
                      <w:bCs/>
                      <w:sz w:val="21"/>
                      <w:szCs w:val="21"/>
                      <w:lang w:val="en-US" w:eastAsia="zh-CN"/>
                    </w:rPr>
                  </w:pPr>
                  <w:r>
                    <w:rPr>
                      <w:rFonts w:hint="eastAsia" w:cs="Times New Roman"/>
                      <w:bCs/>
                      <w:sz w:val="21"/>
                      <w:szCs w:val="21"/>
                      <w:lang w:val="en-US" w:eastAsia="zh-CN"/>
                    </w:rPr>
                    <w:t>2</w:t>
                  </w:r>
                </w:p>
              </w:tc>
              <w:tc>
                <w:tcPr>
                  <w:tcW w:w="488" w:type="pct"/>
                  <w:tcBorders>
                    <w:tl2br w:val="nil"/>
                    <w:tr2bl w:val="nil"/>
                  </w:tcBorders>
                  <w:vAlign w:val="center"/>
                </w:tcPr>
                <w:p w14:paraId="5627488A">
                  <w:pPr>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eastAsia="宋体" w:cs="Times New Roman"/>
                      <w:bCs/>
                      <w:sz w:val="21"/>
                      <w:szCs w:val="21"/>
                      <w:lang w:val="en-US" w:eastAsia="zh-CN"/>
                    </w:rPr>
                  </w:pPr>
                  <w:r>
                    <w:rPr>
                      <w:rFonts w:hint="eastAsia" w:cs="Times New Roman"/>
                      <w:bCs/>
                      <w:sz w:val="21"/>
                      <w:szCs w:val="21"/>
                      <w:lang w:val="en-US" w:eastAsia="zh-CN"/>
                    </w:rPr>
                    <w:t>新建</w:t>
                  </w:r>
                </w:p>
              </w:tc>
            </w:tr>
            <w:tr w14:paraId="5167BA90">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57" w:hRule="atLeast"/>
              </w:trPr>
              <w:tc>
                <w:tcPr>
                  <w:tcW w:w="509" w:type="pct"/>
                  <w:vMerge w:val="continue"/>
                  <w:tcBorders>
                    <w:tl2br w:val="nil"/>
                    <w:tr2bl w:val="nil"/>
                  </w:tcBorders>
                  <w:vAlign w:val="center"/>
                </w:tcPr>
                <w:p w14:paraId="54925C98">
                  <w:pPr>
                    <w:pStyle w:val="12"/>
                    <w:keepNext w:val="0"/>
                    <w:keepLines w:val="0"/>
                    <w:pageBreakBefore w:val="0"/>
                    <w:kinsoku/>
                    <w:wordWrap/>
                    <w:overflowPunct/>
                    <w:topLinePunct w:val="0"/>
                    <w:autoSpaceDE/>
                    <w:autoSpaceDN/>
                    <w:bidi w:val="0"/>
                    <w:spacing w:line="240" w:lineRule="auto"/>
                    <w:ind w:firstLine="0" w:firstLineChars="0"/>
                    <w:textAlignment w:val="auto"/>
                    <w:rPr>
                      <w:rFonts w:cs="Times New Roman"/>
                      <w:bCs/>
                      <w:sz w:val="21"/>
                      <w:szCs w:val="21"/>
                    </w:rPr>
                  </w:pPr>
                </w:p>
              </w:tc>
              <w:tc>
                <w:tcPr>
                  <w:tcW w:w="524" w:type="pct"/>
                  <w:vMerge w:val="continue"/>
                  <w:tcBorders>
                    <w:tl2br w:val="nil"/>
                    <w:tr2bl w:val="nil"/>
                  </w:tcBorders>
                  <w:vAlign w:val="center"/>
                </w:tcPr>
                <w:p w14:paraId="4198793C">
                  <w:pPr>
                    <w:pStyle w:val="12"/>
                    <w:keepNext w:val="0"/>
                    <w:keepLines w:val="0"/>
                    <w:pageBreakBefore w:val="0"/>
                    <w:kinsoku/>
                    <w:wordWrap/>
                    <w:overflowPunct/>
                    <w:topLinePunct w:val="0"/>
                    <w:autoSpaceDE/>
                    <w:autoSpaceDN/>
                    <w:bidi w:val="0"/>
                    <w:spacing w:line="240" w:lineRule="auto"/>
                    <w:ind w:firstLine="0" w:firstLineChars="0"/>
                    <w:textAlignment w:val="auto"/>
                    <w:rPr>
                      <w:rFonts w:cs="Times New Roman"/>
                      <w:bCs/>
                      <w:sz w:val="21"/>
                      <w:szCs w:val="21"/>
                    </w:rPr>
                  </w:pPr>
                </w:p>
              </w:tc>
              <w:tc>
                <w:tcPr>
                  <w:tcW w:w="671" w:type="pct"/>
                  <w:tcBorders>
                    <w:tl2br w:val="nil"/>
                    <w:tr2bl w:val="nil"/>
                  </w:tcBorders>
                  <w:vAlign w:val="center"/>
                </w:tcPr>
                <w:p w14:paraId="26D708F2">
                  <w:pPr>
                    <w:pStyle w:val="12"/>
                    <w:keepNext w:val="0"/>
                    <w:keepLines w:val="0"/>
                    <w:pageBreakBefore w:val="0"/>
                    <w:kinsoku/>
                    <w:wordWrap/>
                    <w:overflowPunct/>
                    <w:topLinePunct w:val="0"/>
                    <w:autoSpaceDE/>
                    <w:autoSpaceDN/>
                    <w:bidi w:val="0"/>
                    <w:spacing w:line="240" w:lineRule="auto"/>
                    <w:ind w:firstLine="0" w:firstLineChars="0"/>
                    <w:textAlignment w:val="auto"/>
                    <w:rPr>
                      <w:rFonts w:hint="default" w:cs="Times New Roman"/>
                      <w:sz w:val="21"/>
                      <w:szCs w:val="21"/>
                      <w:lang w:val="en-US" w:eastAsia="zh-CN"/>
                    </w:rPr>
                  </w:pPr>
                  <w:r>
                    <w:rPr>
                      <w:rFonts w:hint="eastAsia" w:cs="Times New Roman"/>
                      <w:sz w:val="21"/>
                      <w:szCs w:val="21"/>
                      <w:lang w:val="en-US" w:eastAsia="zh-CN"/>
                    </w:rPr>
                    <w:t>G8有机废气（含烃类物质）</w:t>
                  </w:r>
                </w:p>
              </w:tc>
              <w:tc>
                <w:tcPr>
                  <w:tcW w:w="2351" w:type="pct"/>
                  <w:tcBorders>
                    <w:tl2br w:val="nil"/>
                    <w:tr2bl w:val="nil"/>
                  </w:tcBorders>
                  <w:vAlign w:val="center"/>
                </w:tcPr>
                <w:p w14:paraId="47590183">
                  <w:pPr>
                    <w:pStyle w:val="12"/>
                    <w:keepNext w:val="0"/>
                    <w:keepLines w:val="0"/>
                    <w:pageBreakBefore w:val="0"/>
                    <w:kinsoku/>
                    <w:wordWrap/>
                    <w:overflowPunct/>
                    <w:topLinePunct w:val="0"/>
                    <w:autoSpaceDE/>
                    <w:autoSpaceDN/>
                    <w:bidi w:val="0"/>
                    <w:spacing w:line="240" w:lineRule="auto"/>
                    <w:ind w:firstLine="0" w:firstLineChars="0"/>
                    <w:jc w:val="left"/>
                    <w:textAlignment w:val="auto"/>
                    <w:rPr>
                      <w:rFonts w:hint="default" w:cs="Times New Roman"/>
                      <w:sz w:val="21"/>
                      <w:szCs w:val="21"/>
                      <w:lang w:val="en-US" w:eastAsia="zh-CN"/>
                    </w:rPr>
                  </w:pPr>
                  <w:r>
                    <w:rPr>
                      <w:rFonts w:hint="eastAsia" w:cs="Times New Roman"/>
                      <w:color w:val="000000" w:themeColor="text1"/>
                      <w:sz w:val="21"/>
                      <w:szCs w:val="21"/>
                      <w:highlight w:val="none"/>
                      <w:lang w:val="en-US" w:eastAsia="zh-CN"/>
                      <w14:textFill>
                        <w14:solidFill>
                          <w14:schemeClr w14:val="tx1"/>
                        </w14:solidFill>
                      </w14:textFill>
                    </w:rPr>
                    <w:t>随水基岩屑和热脱附干渣煅烧而直接焚烧处理后，经1根25m高排气筒（DA001）排放</w:t>
                  </w:r>
                </w:p>
              </w:tc>
              <w:tc>
                <w:tcPr>
                  <w:tcW w:w="455" w:type="pct"/>
                  <w:tcBorders>
                    <w:tl2br w:val="nil"/>
                    <w:tr2bl w:val="nil"/>
                  </w:tcBorders>
                  <w:vAlign w:val="center"/>
                </w:tcPr>
                <w:p w14:paraId="441420A1">
                  <w:pPr>
                    <w:pStyle w:val="12"/>
                    <w:keepNext w:val="0"/>
                    <w:keepLines w:val="0"/>
                    <w:pageBreakBefore w:val="0"/>
                    <w:kinsoku/>
                    <w:wordWrap/>
                    <w:overflowPunct/>
                    <w:topLinePunct w:val="0"/>
                    <w:autoSpaceDE/>
                    <w:autoSpaceDN/>
                    <w:bidi w:val="0"/>
                    <w:spacing w:line="240" w:lineRule="auto"/>
                    <w:ind w:firstLine="0" w:firstLineChars="0"/>
                    <w:textAlignment w:val="auto"/>
                    <w:rPr>
                      <w:rFonts w:hint="default" w:cs="Times New Roman"/>
                      <w:bCs/>
                      <w:sz w:val="21"/>
                      <w:szCs w:val="21"/>
                      <w:lang w:val="en-US" w:eastAsia="zh-CN"/>
                    </w:rPr>
                  </w:pPr>
                  <w:r>
                    <w:rPr>
                      <w:rFonts w:hint="eastAsia" w:cs="Times New Roman"/>
                      <w:bCs/>
                      <w:sz w:val="21"/>
                      <w:szCs w:val="21"/>
                      <w:lang w:val="en-US" w:eastAsia="zh-CN"/>
                    </w:rPr>
                    <w:t>/</w:t>
                  </w:r>
                </w:p>
              </w:tc>
              <w:tc>
                <w:tcPr>
                  <w:tcW w:w="488" w:type="pct"/>
                  <w:tcBorders>
                    <w:tl2br w:val="nil"/>
                    <w:tr2bl w:val="nil"/>
                  </w:tcBorders>
                  <w:vAlign w:val="center"/>
                </w:tcPr>
                <w:p w14:paraId="7966C1BE">
                  <w:pPr>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cs="Times New Roman"/>
                      <w:bCs/>
                      <w:sz w:val="21"/>
                      <w:szCs w:val="21"/>
                      <w:lang w:val="en-US" w:eastAsia="zh-CN"/>
                    </w:rPr>
                  </w:pPr>
                  <w:r>
                    <w:rPr>
                      <w:rFonts w:hint="eastAsia" w:cs="Times New Roman"/>
                      <w:bCs/>
                      <w:sz w:val="21"/>
                      <w:szCs w:val="21"/>
                      <w:lang w:val="en-US" w:eastAsia="zh-CN"/>
                    </w:rPr>
                    <w:t>新建</w:t>
                  </w:r>
                </w:p>
              </w:tc>
            </w:tr>
            <w:tr w14:paraId="2EEADE4E">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57" w:hRule="atLeast"/>
              </w:trPr>
              <w:tc>
                <w:tcPr>
                  <w:tcW w:w="509" w:type="pct"/>
                  <w:vMerge w:val="continue"/>
                  <w:tcBorders>
                    <w:tl2br w:val="nil"/>
                    <w:tr2bl w:val="nil"/>
                  </w:tcBorders>
                  <w:vAlign w:val="center"/>
                </w:tcPr>
                <w:p w14:paraId="132C23B6">
                  <w:pPr>
                    <w:pStyle w:val="12"/>
                    <w:keepNext w:val="0"/>
                    <w:keepLines w:val="0"/>
                    <w:pageBreakBefore w:val="0"/>
                    <w:kinsoku/>
                    <w:wordWrap/>
                    <w:overflowPunct/>
                    <w:topLinePunct w:val="0"/>
                    <w:autoSpaceDE/>
                    <w:autoSpaceDN/>
                    <w:bidi w:val="0"/>
                    <w:spacing w:line="240" w:lineRule="auto"/>
                    <w:ind w:firstLine="0" w:firstLineChars="0"/>
                    <w:textAlignment w:val="auto"/>
                    <w:rPr>
                      <w:rFonts w:cs="Times New Roman"/>
                      <w:bCs/>
                      <w:sz w:val="21"/>
                      <w:szCs w:val="21"/>
                    </w:rPr>
                  </w:pPr>
                </w:p>
              </w:tc>
              <w:tc>
                <w:tcPr>
                  <w:tcW w:w="524" w:type="pct"/>
                  <w:vMerge w:val="continue"/>
                  <w:tcBorders>
                    <w:tl2br w:val="nil"/>
                    <w:tr2bl w:val="nil"/>
                  </w:tcBorders>
                  <w:vAlign w:val="center"/>
                </w:tcPr>
                <w:p w14:paraId="67929A26">
                  <w:pPr>
                    <w:pStyle w:val="12"/>
                    <w:keepNext w:val="0"/>
                    <w:keepLines w:val="0"/>
                    <w:pageBreakBefore w:val="0"/>
                    <w:kinsoku/>
                    <w:wordWrap/>
                    <w:overflowPunct/>
                    <w:topLinePunct w:val="0"/>
                    <w:autoSpaceDE/>
                    <w:autoSpaceDN/>
                    <w:bidi w:val="0"/>
                    <w:spacing w:line="240" w:lineRule="auto"/>
                    <w:ind w:firstLine="0" w:firstLineChars="0"/>
                    <w:textAlignment w:val="auto"/>
                    <w:rPr>
                      <w:rFonts w:cs="Times New Roman"/>
                      <w:bCs/>
                      <w:sz w:val="21"/>
                      <w:szCs w:val="21"/>
                    </w:rPr>
                  </w:pPr>
                </w:p>
              </w:tc>
              <w:tc>
                <w:tcPr>
                  <w:tcW w:w="671" w:type="pct"/>
                  <w:tcBorders>
                    <w:tl2br w:val="nil"/>
                    <w:tr2bl w:val="nil"/>
                  </w:tcBorders>
                  <w:vAlign w:val="center"/>
                </w:tcPr>
                <w:p w14:paraId="2F05A3FE">
                  <w:pPr>
                    <w:pStyle w:val="12"/>
                    <w:keepNext w:val="0"/>
                    <w:keepLines w:val="0"/>
                    <w:pageBreakBefore w:val="0"/>
                    <w:kinsoku/>
                    <w:wordWrap/>
                    <w:overflowPunct/>
                    <w:topLinePunct w:val="0"/>
                    <w:autoSpaceDE/>
                    <w:autoSpaceDN/>
                    <w:bidi w:val="0"/>
                    <w:spacing w:line="240" w:lineRule="auto"/>
                    <w:ind w:firstLine="0" w:firstLineChars="0"/>
                    <w:textAlignment w:val="auto"/>
                    <w:rPr>
                      <w:rFonts w:hint="default" w:cs="Times New Roman"/>
                      <w:sz w:val="21"/>
                      <w:szCs w:val="21"/>
                      <w:lang w:val="en-US" w:eastAsia="zh-CN"/>
                    </w:rPr>
                  </w:pPr>
                  <w:r>
                    <w:rPr>
                      <w:rFonts w:hint="eastAsia" w:cs="Times New Roman"/>
                      <w:sz w:val="21"/>
                      <w:szCs w:val="21"/>
                      <w:lang w:val="en-US" w:eastAsia="zh-CN"/>
                    </w:rPr>
                    <w:t>食堂油烟</w:t>
                  </w:r>
                </w:p>
              </w:tc>
              <w:tc>
                <w:tcPr>
                  <w:tcW w:w="2351" w:type="pct"/>
                  <w:tcBorders>
                    <w:tl2br w:val="nil"/>
                    <w:tr2bl w:val="nil"/>
                  </w:tcBorders>
                  <w:vAlign w:val="center"/>
                </w:tcPr>
                <w:p w14:paraId="3467CD15">
                  <w:pPr>
                    <w:pStyle w:val="12"/>
                    <w:keepNext w:val="0"/>
                    <w:keepLines w:val="0"/>
                    <w:pageBreakBefore w:val="0"/>
                    <w:kinsoku/>
                    <w:wordWrap/>
                    <w:overflowPunct/>
                    <w:topLinePunct w:val="0"/>
                    <w:autoSpaceDE/>
                    <w:autoSpaceDN/>
                    <w:bidi w:val="0"/>
                    <w:spacing w:line="240" w:lineRule="auto"/>
                    <w:ind w:firstLine="0" w:firstLineChars="0"/>
                    <w:jc w:val="left"/>
                    <w:textAlignment w:val="auto"/>
                    <w:rPr>
                      <w:rFonts w:hint="eastAsia" w:cs="Times New Roman"/>
                      <w:sz w:val="21"/>
                      <w:szCs w:val="21"/>
                      <w:lang w:val="en-US" w:eastAsia="zh-CN"/>
                    </w:rPr>
                  </w:pPr>
                  <w:r>
                    <w:rPr>
                      <w:rFonts w:hint="eastAsia" w:cs="Times New Roman"/>
                      <w:sz w:val="21"/>
                      <w:szCs w:val="21"/>
                      <w:lang w:val="en-US" w:eastAsia="zh-CN"/>
                    </w:rPr>
                    <w:t>油烟净化器</w:t>
                  </w:r>
                </w:p>
              </w:tc>
              <w:tc>
                <w:tcPr>
                  <w:tcW w:w="455" w:type="pct"/>
                  <w:tcBorders>
                    <w:tl2br w:val="nil"/>
                    <w:tr2bl w:val="nil"/>
                  </w:tcBorders>
                  <w:vAlign w:val="center"/>
                </w:tcPr>
                <w:p w14:paraId="61E74F79">
                  <w:pPr>
                    <w:pStyle w:val="12"/>
                    <w:keepNext w:val="0"/>
                    <w:keepLines w:val="0"/>
                    <w:pageBreakBefore w:val="0"/>
                    <w:kinsoku/>
                    <w:wordWrap/>
                    <w:overflowPunct/>
                    <w:topLinePunct w:val="0"/>
                    <w:autoSpaceDE/>
                    <w:autoSpaceDN/>
                    <w:bidi w:val="0"/>
                    <w:spacing w:line="240" w:lineRule="auto"/>
                    <w:ind w:firstLine="0" w:firstLineChars="0"/>
                    <w:textAlignment w:val="auto"/>
                    <w:rPr>
                      <w:rFonts w:hint="default" w:cs="Times New Roman"/>
                      <w:bCs/>
                      <w:sz w:val="21"/>
                      <w:szCs w:val="21"/>
                      <w:lang w:val="en-US" w:eastAsia="zh-CN"/>
                    </w:rPr>
                  </w:pPr>
                  <w:r>
                    <w:rPr>
                      <w:rFonts w:hint="eastAsia" w:cs="Times New Roman"/>
                      <w:bCs/>
                      <w:sz w:val="21"/>
                      <w:szCs w:val="21"/>
                      <w:lang w:val="en-US" w:eastAsia="zh-CN"/>
                    </w:rPr>
                    <w:t>1</w:t>
                  </w:r>
                </w:p>
              </w:tc>
              <w:tc>
                <w:tcPr>
                  <w:tcW w:w="488" w:type="pct"/>
                  <w:tcBorders>
                    <w:tl2br w:val="nil"/>
                    <w:tr2bl w:val="nil"/>
                  </w:tcBorders>
                  <w:vAlign w:val="center"/>
                </w:tcPr>
                <w:p w14:paraId="6C76E95C">
                  <w:pPr>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eastAsia="宋体" w:cs="Times New Roman"/>
                      <w:bCs/>
                      <w:sz w:val="21"/>
                      <w:szCs w:val="21"/>
                      <w:lang w:val="en-US" w:eastAsia="zh-CN"/>
                    </w:rPr>
                  </w:pPr>
                  <w:r>
                    <w:rPr>
                      <w:rFonts w:hint="eastAsia" w:cs="Times New Roman"/>
                      <w:bCs/>
                      <w:sz w:val="21"/>
                      <w:szCs w:val="21"/>
                      <w:lang w:val="en-US" w:eastAsia="zh-CN"/>
                    </w:rPr>
                    <w:t>新建</w:t>
                  </w:r>
                </w:p>
              </w:tc>
            </w:tr>
            <w:tr w14:paraId="57814CF1">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57" w:hRule="atLeast"/>
              </w:trPr>
              <w:tc>
                <w:tcPr>
                  <w:tcW w:w="509" w:type="pct"/>
                  <w:vMerge w:val="continue"/>
                  <w:tcBorders>
                    <w:tl2br w:val="nil"/>
                    <w:tr2bl w:val="nil"/>
                  </w:tcBorders>
                  <w:vAlign w:val="center"/>
                </w:tcPr>
                <w:p w14:paraId="75A0D7E1">
                  <w:pPr>
                    <w:pStyle w:val="12"/>
                    <w:keepNext w:val="0"/>
                    <w:keepLines w:val="0"/>
                    <w:pageBreakBefore w:val="0"/>
                    <w:kinsoku/>
                    <w:wordWrap/>
                    <w:overflowPunct/>
                    <w:topLinePunct w:val="0"/>
                    <w:autoSpaceDE/>
                    <w:autoSpaceDN/>
                    <w:bidi w:val="0"/>
                    <w:spacing w:line="240" w:lineRule="auto"/>
                    <w:ind w:firstLine="0" w:firstLineChars="0"/>
                    <w:textAlignment w:val="auto"/>
                    <w:rPr>
                      <w:rFonts w:cs="Times New Roman"/>
                      <w:bCs/>
                      <w:sz w:val="21"/>
                      <w:szCs w:val="21"/>
                    </w:rPr>
                  </w:pPr>
                </w:p>
              </w:tc>
              <w:tc>
                <w:tcPr>
                  <w:tcW w:w="524" w:type="pct"/>
                  <w:vMerge w:val="restart"/>
                  <w:tcBorders>
                    <w:tl2br w:val="nil"/>
                    <w:tr2bl w:val="nil"/>
                  </w:tcBorders>
                  <w:vAlign w:val="center"/>
                </w:tcPr>
                <w:p w14:paraId="41099C3E">
                  <w:pPr>
                    <w:pStyle w:val="12"/>
                    <w:keepNext w:val="0"/>
                    <w:keepLines w:val="0"/>
                    <w:pageBreakBefore w:val="0"/>
                    <w:kinsoku/>
                    <w:wordWrap/>
                    <w:overflowPunct/>
                    <w:topLinePunct w:val="0"/>
                    <w:autoSpaceDE/>
                    <w:autoSpaceDN/>
                    <w:bidi w:val="0"/>
                    <w:spacing w:line="240" w:lineRule="auto"/>
                    <w:ind w:firstLine="0" w:firstLineChars="0"/>
                    <w:textAlignment w:val="auto"/>
                    <w:rPr>
                      <w:rFonts w:cs="Times New Roman"/>
                      <w:bCs/>
                      <w:sz w:val="21"/>
                      <w:szCs w:val="21"/>
                    </w:rPr>
                  </w:pPr>
                  <w:r>
                    <w:rPr>
                      <w:rFonts w:cs="Times New Roman"/>
                      <w:bCs/>
                      <w:sz w:val="21"/>
                      <w:szCs w:val="21"/>
                    </w:rPr>
                    <w:t>废水治理</w:t>
                  </w:r>
                </w:p>
              </w:tc>
              <w:tc>
                <w:tcPr>
                  <w:tcW w:w="671" w:type="pct"/>
                  <w:tcBorders>
                    <w:tl2br w:val="nil"/>
                    <w:tr2bl w:val="nil"/>
                  </w:tcBorders>
                  <w:vAlign w:val="center"/>
                </w:tcPr>
                <w:p w14:paraId="1CD989B9">
                  <w:pPr>
                    <w:pStyle w:val="12"/>
                    <w:keepNext w:val="0"/>
                    <w:keepLines w:val="0"/>
                    <w:pageBreakBefore w:val="0"/>
                    <w:kinsoku/>
                    <w:wordWrap/>
                    <w:overflowPunct/>
                    <w:topLinePunct w:val="0"/>
                    <w:autoSpaceDE/>
                    <w:autoSpaceDN/>
                    <w:bidi w:val="0"/>
                    <w:spacing w:line="240" w:lineRule="auto"/>
                    <w:ind w:firstLine="0" w:firstLineChars="0"/>
                    <w:textAlignment w:val="auto"/>
                    <w:rPr>
                      <w:rFonts w:cs="Times New Roman"/>
                      <w:sz w:val="21"/>
                      <w:szCs w:val="21"/>
                    </w:rPr>
                  </w:pPr>
                  <w:r>
                    <w:rPr>
                      <w:rFonts w:hint="eastAsia" w:cs="Times New Roman"/>
                      <w:sz w:val="21"/>
                      <w:szCs w:val="21"/>
                      <w:lang w:val="en-US" w:eastAsia="zh-CN"/>
                    </w:rPr>
                    <w:t>W1压滤废水</w:t>
                  </w:r>
                </w:p>
              </w:tc>
              <w:tc>
                <w:tcPr>
                  <w:tcW w:w="2351" w:type="pct"/>
                  <w:tcBorders>
                    <w:tl2br w:val="nil"/>
                    <w:tr2bl w:val="nil"/>
                  </w:tcBorders>
                  <w:vAlign w:val="center"/>
                </w:tcPr>
                <w:p w14:paraId="1A70E286">
                  <w:pPr>
                    <w:pStyle w:val="12"/>
                    <w:keepNext w:val="0"/>
                    <w:keepLines w:val="0"/>
                    <w:pageBreakBefore w:val="0"/>
                    <w:kinsoku/>
                    <w:wordWrap/>
                    <w:overflowPunct/>
                    <w:topLinePunct w:val="0"/>
                    <w:autoSpaceDE/>
                    <w:autoSpaceDN/>
                    <w:bidi w:val="0"/>
                    <w:spacing w:line="240" w:lineRule="auto"/>
                    <w:ind w:firstLine="0" w:firstLineChars="0"/>
                    <w:jc w:val="left"/>
                    <w:textAlignment w:val="auto"/>
                    <w:rPr>
                      <w:rFonts w:cs="Times New Roman"/>
                      <w:sz w:val="21"/>
                      <w:szCs w:val="21"/>
                    </w:rPr>
                  </w:pPr>
                  <w:r>
                    <w:rPr>
                      <w:rFonts w:hint="eastAsia" w:cs="Times New Roman"/>
                      <w:sz w:val="21"/>
                      <w:szCs w:val="21"/>
                      <w:lang w:val="en-US" w:eastAsia="zh-CN"/>
                    </w:rPr>
                    <w:t>滤液池内暂存，委托资质单位每日清运处置。</w:t>
                  </w:r>
                </w:p>
              </w:tc>
              <w:tc>
                <w:tcPr>
                  <w:tcW w:w="455" w:type="pct"/>
                  <w:tcBorders>
                    <w:tl2br w:val="nil"/>
                    <w:tr2bl w:val="nil"/>
                  </w:tcBorders>
                  <w:vAlign w:val="center"/>
                </w:tcPr>
                <w:p w14:paraId="4F2D35AE">
                  <w:pPr>
                    <w:pStyle w:val="12"/>
                    <w:keepNext w:val="0"/>
                    <w:keepLines w:val="0"/>
                    <w:pageBreakBefore w:val="0"/>
                    <w:kinsoku/>
                    <w:wordWrap/>
                    <w:overflowPunct/>
                    <w:topLinePunct w:val="0"/>
                    <w:autoSpaceDE/>
                    <w:autoSpaceDN/>
                    <w:bidi w:val="0"/>
                    <w:spacing w:line="240" w:lineRule="auto"/>
                    <w:ind w:firstLine="0" w:firstLineChars="0"/>
                    <w:textAlignment w:val="auto"/>
                    <w:rPr>
                      <w:rFonts w:cs="Times New Roman"/>
                      <w:bCs/>
                      <w:sz w:val="21"/>
                      <w:szCs w:val="21"/>
                    </w:rPr>
                  </w:pPr>
                  <w:r>
                    <w:rPr>
                      <w:rFonts w:cs="Times New Roman"/>
                      <w:bCs/>
                      <w:sz w:val="21"/>
                      <w:szCs w:val="21"/>
                    </w:rPr>
                    <w:t>/</w:t>
                  </w:r>
                </w:p>
              </w:tc>
              <w:tc>
                <w:tcPr>
                  <w:tcW w:w="488" w:type="pct"/>
                  <w:tcBorders>
                    <w:tl2br w:val="nil"/>
                    <w:tr2bl w:val="nil"/>
                  </w:tcBorders>
                  <w:vAlign w:val="center"/>
                </w:tcPr>
                <w:p w14:paraId="4C735BF0">
                  <w:pPr>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eastAsia="宋体" w:cs="Times New Roman"/>
                      <w:bCs/>
                      <w:sz w:val="21"/>
                      <w:szCs w:val="21"/>
                      <w:lang w:val="en-US" w:eastAsia="zh-CN"/>
                    </w:rPr>
                  </w:pPr>
                  <w:r>
                    <w:rPr>
                      <w:rFonts w:hint="eastAsia" w:cs="Times New Roman"/>
                      <w:bCs/>
                      <w:sz w:val="21"/>
                      <w:szCs w:val="21"/>
                      <w:lang w:val="en-US" w:eastAsia="zh-CN"/>
                    </w:rPr>
                    <w:t>新建</w:t>
                  </w:r>
                </w:p>
              </w:tc>
            </w:tr>
            <w:tr w14:paraId="459A381F">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57" w:hRule="atLeast"/>
              </w:trPr>
              <w:tc>
                <w:tcPr>
                  <w:tcW w:w="509" w:type="pct"/>
                  <w:vMerge w:val="continue"/>
                  <w:tcBorders>
                    <w:tl2br w:val="nil"/>
                    <w:tr2bl w:val="nil"/>
                  </w:tcBorders>
                  <w:vAlign w:val="center"/>
                </w:tcPr>
                <w:p w14:paraId="0CB3E06D">
                  <w:pPr>
                    <w:pStyle w:val="12"/>
                    <w:keepNext w:val="0"/>
                    <w:keepLines w:val="0"/>
                    <w:pageBreakBefore w:val="0"/>
                    <w:kinsoku/>
                    <w:wordWrap/>
                    <w:overflowPunct/>
                    <w:topLinePunct w:val="0"/>
                    <w:autoSpaceDE/>
                    <w:autoSpaceDN/>
                    <w:bidi w:val="0"/>
                    <w:spacing w:line="240" w:lineRule="auto"/>
                    <w:ind w:firstLine="0" w:firstLineChars="0"/>
                    <w:textAlignment w:val="auto"/>
                    <w:rPr>
                      <w:rFonts w:cs="Times New Roman"/>
                      <w:bCs/>
                      <w:sz w:val="21"/>
                      <w:szCs w:val="21"/>
                    </w:rPr>
                  </w:pPr>
                </w:p>
              </w:tc>
              <w:tc>
                <w:tcPr>
                  <w:tcW w:w="524" w:type="pct"/>
                  <w:vMerge w:val="continue"/>
                  <w:tcBorders>
                    <w:tl2br w:val="nil"/>
                    <w:tr2bl w:val="nil"/>
                  </w:tcBorders>
                  <w:vAlign w:val="center"/>
                </w:tcPr>
                <w:p w14:paraId="629A7C17">
                  <w:pPr>
                    <w:pStyle w:val="12"/>
                    <w:keepNext w:val="0"/>
                    <w:keepLines w:val="0"/>
                    <w:pageBreakBefore w:val="0"/>
                    <w:kinsoku/>
                    <w:wordWrap/>
                    <w:overflowPunct/>
                    <w:topLinePunct w:val="0"/>
                    <w:autoSpaceDE/>
                    <w:autoSpaceDN/>
                    <w:bidi w:val="0"/>
                    <w:spacing w:line="240" w:lineRule="auto"/>
                    <w:ind w:firstLine="0" w:firstLineChars="0"/>
                    <w:textAlignment w:val="auto"/>
                    <w:rPr>
                      <w:rFonts w:cs="Times New Roman"/>
                      <w:bCs/>
                      <w:sz w:val="21"/>
                      <w:szCs w:val="21"/>
                    </w:rPr>
                  </w:pPr>
                </w:p>
              </w:tc>
              <w:tc>
                <w:tcPr>
                  <w:tcW w:w="671" w:type="pct"/>
                  <w:tcBorders>
                    <w:tl2br w:val="nil"/>
                    <w:tr2bl w:val="nil"/>
                  </w:tcBorders>
                  <w:vAlign w:val="center"/>
                </w:tcPr>
                <w:p w14:paraId="717D6805">
                  <w:pPr>
                    <w:pStyle w:val="12"/>
                    <w:keepNext w:val="0"/>
                    <w:keepLines w:val="0"/>
                    <w:pageBreakBefore w:val="0"/>
                    <w:kinsoku/>
                    <w:wordWrap/>
                    <w:overflowPunct/>
                    <w:topLinePunct w:val="0"/>
                    <w:autoSpaceDE/>
                    <w:autoSpaceDN/>
                    <w:bidi w:val="0"/>
                    <w:spacing w:line="240" w:lineRule="auto"/>
                    <w:ind w:firstLine="0" w:firstLineChars="0"/>
                    <w:textAlignment w:val="auto"/>
                    <w:rPr>
                      <w:rFonts w:cs="Times New Roman"/>
                      <w:sz w:val="21"/>
                      <w:szCs w:val="21"/>
                    </w:rPr>
                  </w:pPr>
                  <w:r>
                    <w:rPr>
                      <w:rFonts w:hint="eastAsia" w:cs="Times New Roman"/>
                      <w:sz w:val="21"/>
                      <w:szCs w:val="21"/>
                      <w:lang w:val="en-US" w:eastAsia="zh-CN"/>
                    </w:rPr>
                    <w:t>W2水基岩屑堆存区渗滤液</w:t>
                  </w:r>
                </w:p>
              </w:tc>
              <w:tc>
                <w:tcPr>
                  <w:tcW w:w="2351" w:type="pct"/>
                  <w:tcBorders>
                    <w:tl2br w:val="nil"/>
                    <w:tr2bl w:val="nil"/>
                  </w:tcBorders>
                  <w:vAlign w:val="center"/>
                </w:tcPr>
                <w:p w14:paraId="6A573F6C">
                  <w:pPr>
                    <w:pStyle w:val="12"/>
                    <w:keepNext w:val="0"/>
                    <w:keepLines w:val="0"/>
                    <w:pageBreakBefore w:val="0"/>
                    <w:kinsoku/>
                    <w:wordWrap/>
                    <w:overflowPunct/>
                    <w:topLinePunct w:val="0"/>
                    <w:autoSpaceDE/>
                    <w:autoSpaceDN/>
                    <w:bidi w:val="0"/>
                    <w:spacing w:line="240" w:lineRule="auto"/>
                    <w:ind w:firstLine="0" w:firstLineChars="0"/>
                    <w:jc w:val="left"/>
                    <w:textAlignment w:val="auto"/>
                    <w:rPr>
                      <w:rFonts w:hint="eastAsia" w:cs="Times New Roman"/>
                      <w:sz w:val="21"/>
                      <w:szCs w:val="21"/>
                      <w:lang w:val="en-US" w:eastAsia="zh-CN"/>
                    </w:rPr>
                  </w:pPr>
                  <w:r>
                    <w:rPr>
                      <w:rFonts w:hint="eastAsia" w:cs="Times New Roman"/>
                      <w:sz w:val="21"/>
                      <w:szCs w:val="21"/>
                      <w:lang w:val="en-US" w:eastAsia="zh-CN"/>
                    </w:rPr>
                    <w:t>不间断产生且产生量较少，产生的少量渗滤液由同水基岩屑一起进入煅烧生产线。</w:t>
                  </w:r>
                </w:p>
                <w:p w14:paraId="50D9FA9E">
                  <w:pPr>
                    <w:pStyle w:val="12"/>
                    <w:keepNext w:val="0"/>
                    <w:keepLines w:val="0"/>
                    <w:pageBreakBefore w:val="0"/>
                    <w:kinsoku/>
                    <w:wordWrap/>
                    <w:overflowPunct/>
                    <w:topLinePunct w:val="0"/>
                    <w:autoSpaceDE/>
                    <w:autoSpaceDN/>
                    <w:bidi w:val="0"/>
                    <w:spacing w:line="240" w:lineRule="auto"/>
                    <w:ind w:firstLine="0" w:firstLineChars="0"/>
                    <w:jc w:val="left"/>
                    <w:textAlignment w:val="auto"/>
                    <w:rPr>
                      <w:rFonts w:hint="default"/>
                      <w:sz w:val="21"/>
                      <w:szCs w:val="21"/>
                      <w:lang w:val="en-US"/>
                    </w:rPr>
                  </w:pPr>
                  <w:r>
                    <w:rPr>
                      <w:rFonts w:hint="eastAsia" w:ascii="Times New Roman" w:hAnsi="Times New Roman" w:eastAsia="宋体" w:cs="Times New Roman"/>
                      <w:sz w:val="21"/>
                      <w:szCs w:val="21"/>
                      <w:lang w:val="en-US" w:eastAsia="zh-CN"/>
                    </w:rPr>
                    <w:t>堆场三面设置围堰+一面设置装卸料斜坡。</w:t>
                  </w:r>
                </w:p>
              </w:tc>
              <w:tc>
                <w:tcPr>
                  <w:tcW w:w="455" w:type="pct"/>
                  <w:tcBorders>
                    <w:tl2br w:val="nil"/>
                    <w:tr2bl w:val="nil"/>
                  </w:tcBorders>
                  <w:vAlign w:val="center"/>
                </w:tcPr>
                <w:p w14:paraId="05CED523">
                  <w:pPr>
                    <w:pStyle w:val="12"/>
                    <w:keepNext w:val="0"/>
                    <w:keepLines w:val="0"/>
                    <w:pageBreakBefore w:val="0"/>
                    <w:kinsoku/>
                    <w:wordWrap/>
                    <w:overflowPunct/>
                    <w:topLinePunct w:val="0"/>
                    <w:autoSpaceDE/>
                    <w:autoSpaceDN/>
                    <w:bidi w:val="0"/>
                    <w:spacing w:line="240" w:lineRule="auto"/>
                    <w:ind w:firstLine="0" w:firstLineChars="0"/>
                    <w:textAlignment w:val="auto"/>
                    <w:rPr>
                      <w:rFonts w:hint="default" w:eastAsia="宋体" w:cs="Times New Roman"/>
                      <w:bCs/>
                      <w:sz w:val="21"/>
                      <w:szCs w:val="21"/>
                      <w:lang w:val="en-US" w:eastAsia="zh-CN"/>
                    </w:rPr>
                  </w:pPr>
                  <w:r>
                    <w:rPr>
                      <w:rFonts w:cs="Times New Roman"/>
                      <w:bCs/>
                      <w:sz w:val="21"/>
                      <w:szCs w:val="21"/>
                    </w:rPr>
                    <w:t>/</w:t>
                  </w:r>
                </w:p>
              </w:tc>
              <w:tc>
                <w:tcPr>
                  <w:tcW w:w="488" w:type="pct"/>
                  <w:tcBorders>
                    <w:tl2br w:val="nil"/>
                    <w:tr2bl w:val="nil"/>
                  </w:tcBorders>
                  <w:vAlign w:val="center"/>
                </w:tcPr>
                <w:p w14:paraId="16ECF768">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cs="Times New Roman"/>
                      <w:bCs/>
                      <w:sz w:val="21"/>
                      <w:szCs w:val="21"/>
                    </w:rPr>
                  </w:pPr>
                  <w:r>
                    <w:rPr>
                      <w:rFonts w:hint="eastAsia" w:cs="Times New Roman"/>
                      <w:bCs/>
                      <w:sz w:val="21"/>
                      <w:szCs w:val="21"/>
                      <w:lang w:val="en-US" w:eastAsia="zh-CN"/>
                    </w:rPr>
                    <w:t>计入主体工程</w:t>
                  </w:r>
                </w:p>
              </w:tc>
            </w:tr>
            <w:tr w14:paraId="32B24A04">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57" w:hRule="atLeast"/>
              </w:trPr>
              <w:tc>
                <w:tcPr>
                  <w:tcW w:w="509" w:type="pct"/>
                  <w:vMerge w:val="continue"/>
                  <w:tcBorders>
                    <w:tl2br w:val="nil"/>
                    <w:tr2bl w:val="nil"/>
                  </w:tcBorders>
                  <w:vAlign w:val="center"/>
                </w:tcPr>
                <w:p w14:paraId="39B2773D">
                  <w:pPr>
                    <w:pStyle w:val="12"/>
                    <w:keepNext w:val="0"/>
                    <w:keepLines w:val="0"/>
                    <w:pageBreakBefore w:val="0"/>
                    <w:kinsoku/>
                    <w:wordWrap/>
                    <w:overflowPunct/>
                    <w:topLinePunct w:val="0"/>
                    <w:autoSpaceDE/>
                    <w:autoSpaceDN/>
                    <w:bidi w:val="0"/>
                    <w:spacing w:line="240" w:lineRule="auto"/>
                    <w:ind w:firstLine="0" w:firstLineChars="0"/>
                    <w:textAlignment w:val="auto"/>
                    <w:rPr>
                      <w:rFonts w:cs="Times New Roman"/>
                      <w:bCs/>
                      <w:sz w:val="21"/>
                      <w:szCs w:val="21"/>
                    </w:rPr>
                  </w:pPr>
                </w:p>
              </w:tc>
              <w:tc>
                <w:tcPr>
                  <w:tcW w:w="524" w:type="pct"/>
                  <w:vMerge w:val="continue"/>
                  <w:tcBorders>
                    <w:tl2br w:val="nil"/>
                    <w:tr2bl w:val="nil"/>
                  </w:tcBorders>
                  <w:vAlign w:val="center"/>
                </w:tcPr>
                <w:p w14:paraId="564F3F66">
                  <w:pPr>
                    <w:pStyle w:val="12"/>
                    <w:keepNext w:val="0"/>
                    <w:keepLines w:val="0"/>
                    <w:pageBreakBefore w:val="0"/>
                    <w:kinsoku/>
                    <w:wordWrap/>
                    <w:overflowPunct/>
                    <w:topLinePunct w:val="0"/>
                    <w:autoSpaceDE/>
                    <w:autoSpaceDN/>
                    <w:bidi w:val="0"/>
                    <w:spacing w:line="240" w:lineRule="auto"/>
                    <w:ind w:firstLine="0" w:firstLineChars="0"/>
                    <w:textAlignment w:val="auto"/>
                    <w:rPr>
                      <w:rFonts w:cs="Times New Roman"/>
                      <w:bCs/>
                      <w:sz w:val="21"/>
                      <w:szCs w:val="21"/>
                    </w:rPr>
                  </w:pPr>
                </w:p>
              </w:tc>
              <w:tc>
                <w:tcPr>
                  <w:tcW w:w="671" w:type="pct"/>
                  <w:tcBorders>
                    <w:tl2br w:val="nil"/>
                    <w:tr2bl w:val="nil"/>
                  </w:tcBorders>
                  <w:vAlign w:val="center"/>
                </w:tcPr>
                <w:p w14:paraId="13DBBB1D">
                  <w:pPr>
                    <w:pStyle w:val="12"/>
                    <w:keepNext w:val="0"/>
                    <w:keepLines w:val="0"/>
                    <w:pageBreakBefore w:val="0"/>
                    <w:kinsoku/>
                    <w:wordWrap/>
                    <w:overflowPunct/>
                    <w:topLinePunct w:val="0"/>
                    <w:autoSpaceDE/>
                    <w:autoSpaceDN/>
                    <w:bidi w:val="0"/>
                    <w:spacing w:line="240" w:lineRule="auto"/>
                    <w:ind w:firstLine="0" w:firstLineChars="0"/>
                    <w:textAlignment w:val="auto"/>
                    <w:rPr>
                      <w:rFonts w:cs="Times New Roman"/>
                      <w:sz w:val="21"/>
                      <w:szCs w:val="21"/>
                    </w:rPr>
                  </w:pPr>
                  <w:r>
                    <w:rPr>
                      <w:rFonts w:hint="eastAsia" w:cs="Times New Roman"/>
                      <w:sz w:val="21"/>
                      <w:szCs w:val="21"/>
                      <w:lang w:val="en-US" w:eastAsia="zh-CN"/>
                    </w:rPr>
                    <w:t>W3地面冲洗废水</w:t>
                  </w:r>
                </w:p>
              </w:tc>
              <w:tc>
                <w:tcPr>
                  <w:tcW w:w="2351" w:type="pct"/>
                  <w:vMerge w:val="restart"/>
                  <w:tcBorders>
                    <w:tl2br w:val="nil"/>
                    <w:tr2bl w:val="nil"/>
                  </w:tcBorders>
                  <w:vAlign w:val="center"/>
                </w:tcPr>
                <w:p w14:paraId="7F039B2C">
                  <w:pPr>
                    <w:pStyle w:val="12"/>
                    <w:keepNext w:val="0"/>
                    <w:keepLines w:val="0"/>
                    <w:pageBreakBefore w:val="0"/>
                    <w:kinsoku/>
                    <w:wordWrap/>
                    <w:overflowPunct/>
                    <w:topLinePunct w:val="0"/>
                    <w:autoSpaceDE/>
                    <w:autoSpaceDN/>
                    <w:bidi w:val="0"/>
                    <w:spacing w:line="240" w:lineRule="auto"/>
                    <w:ind w:firstLine="0" w:firstLineChars="0"/>
                    <w:jc w:val="left"/>
                    <w:textAlignment w:val="auto"/>
                    <w:rPr>
                      <w:rFonts w:hint="default"/>
                      <w:sz w:val="21"/>
                      <w:szCs w:val="21"/>
                      <w:lang w:val="en-US"/>
                    </w:rPr>
                  </w:pPr>
                  <w:r>
                    <w:rPr>
                      <w:rFonts w:hint="eastAsia" w:cs="Times New Roman"/>
                      <w:sz w:val="21"/>
                      <w:szCs w:val="21"/>
                      <w:lang w:val="en-US" w:eastAsia="zh-CN"/>
                    </w:rPr>
                    <w:t>进入水基岩屑储存池内，随水基岩屑（含水率80%）一同预处理，计入压滤废水。</w:t>
                  </w:r>
                </w:p>
              </w:tc>
              <w:tc>
                <w:tcPr>
                  <w:tcW w:w="455" w:type="pct"/>
                  <w:tcBorders>
                    <w:tl2br w:val="nil"/>
                    <w:tr2bl w:val="nil"/>
                  </w:tcBorders>
                  <w:vAlign w:val="center"/>
                </w:tcPr>
                <w:p w14:paraId="4AA26331">
                  <w:pPr>
                    <w:pStyle w:val="12"/>
                    <w:keepNext w:val="0"/>
                    <w:keepLines w:val="0"/>
                    <w:pageBreakBefore w:val="0"/>
                    <w:kinsoku/>
                    <w:wordWrap/>
                    <w:overflowPunct/>
                    <w:topLinePunct w:val="0"/>
                    <w:autoSpaceDE/>
                    <w:autoSpaceDN/>
                    <w:bidi w:val="0"/>
                    <w:spacing w:line="240" w:lineRule="auto"/>
                    <w:ind w:firstLine="0" w:firstLineChars="0"/>
                    <w:textAlignment w:val="auto"/>
                    <w:rPr>
                      <w:rFonts w:cs="Times New Roman"/>
                      <w:bCs/>
                      <w:sz w:val="21"/>
                      <w:szCs w:val="21"/>
                    </w:rPr>
                  </w:pPr>
                  <w:r>
                    <w:rPr>
                      <w:rFonts w:cs="Times New Roman"/>
                      <w:bCs/>
                      <w:sz w:val="21"/>
                      <w:szCs w:val="21"/>
                    </w:rPr>
                    <w:t>/</w:t>
                  </w:r>
                </w:p>
              </w:tc>
              <w:tc>
                <w:tcPr>
                  <w:tcW w:w="488" w:type="pct"/>
                  <w:tcBorders>
                    <w:tl2br w:val="nil"/>
                    <w:tr2bl w:val="nil"/>
                  </w:tcBorders>
                  <w:vAlign w:val="center"/>
                </w:tcPr>
                <w:p w14:paraId="2316FFA6">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cs="Times New Roman"/>
                      <w:bCs/>
                      <w:sz w:val="21"/>
                      <w:szCs w:val="21"/>
                    </w:rPr>
                  </w:pPr>
                  <w:r>
                    <w:rPr>
                      <w:rFonts w:hint="eastAsia" w:cs="Times New Roman"/>
                      <w:bCs/>
                      <w:sz w:val="21"/>
                      <w:szCs w:val="21"/>
                      <w:lang w:val="en-US" w:eastAsia="zh-CN"/>
                    </w:rPr>
                    <w:t>新建</w:t>
                  </w:r>
                </w:p>
              </w:tc>
            </w:tr>
            <w:tr w14:paraId="7DA825A4">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57" w:hRule="atLeast"/>
              </w:trPr>
              <w:tc>
                <w:tcPr>
                  <w:tcW w:w="509" w:type="pct"/>
                  <w:vMerge w:val="continue"/>
                  <w:tcBorders>
                    <w:tl2br w:val="nil"/>
                    <w:tr2bl w:val="nil"/>
                  </w:tcBorders>
                  <w:vAlign w:val="center"/>
                </w:tcPr>
                <w:p w14:paraId="1C5F02D6">
                  <w:pPr>
                    <w:pStyle w:val="12"/>
                    <w:keepNext w:val="0"/>
                    <w:keepLines w:val="0"/>
                    <w:pageBreakBefore w:val="0"/>
                    <w:kinsoku/>
                    <w:wordWrap/>
                    <w:overflowPunct/>
                    <w:topLinePunct w:val="0"/>
                    <w:autoSpaceDE/>
                    <w:autoSpaceDN/>
                    <w:bidi w:val="0"/>
                    <w:spacing w:line="240" w:lineRule="auto"/>
                    <w:ind w:firstLine="0" w:firstLineChars="0"/>
                    <w:textAlignment w:val="auto"/>
                    <w:rPr>
                      <w:rFonts w:cs="Times New Roman"/>
                      <w:bCs/>
                      <w:sz w:val="21"/>
                      <w:szCs w:val="21"/>
                    </w:rPr>
                  </w:pPr>
                </w:p>
              </w:tc>
              <w:tc>
                <w:tcPr>
                  <w:tcW w:w="524" w:type="pct"/>
                  <w:vMerge w:val="continue"/>
                  <w:tcBorders>
                    <w:tl2br w:val="nil"/>
                    <w:tr2bl w:val="nil"/>
                  </w:tcBorders>
                  <w:vAlign w:val="center"/>
                </w:tcPr>
                <w:p w14:paraId="3B2F4867">
                  <w:pPr>
                    <w:pStyle w:val="12"/>
                    <w:keepNext w:val="0"/>
                    <w:keepLines w:val="0"/>
                    <w:pageBreakBefore w:val="0"/>
                    <w:kinsoku/>
                    <w:wordWrap/>
                    <w:overflowPunct/>
                    <w:topLinePunct w:val="0"/>
                    <w:autoSpaceDE/>
                    <w:autoSpaceDN/>
                    <w:bidi w:val="0"/>
                    <w:spacing w:line="240" w:lineRule="auto"/>
                    <w:ind w:firstLine="0" w:firstLineChars="0"/>
                    <w:textAlignment w:val="auto"/>
                    <w:rPr>
                      <w:rFonts w:cs="Times New Roman"/>
                      <w:bCs/>
                      <w:sz w:val="21"/>
                      <w:szCs w:val="21"/>
                    </w:rPr>
                  </w:pPr>
                </w:p>
              </w:tc>
              <w:tc>
                <w:tcPr>
                  <w:tcW w:w="671" w:type="pct"/>
                  <w:tcBorders>
                    <w:tl2br w:val="nil"/>
                    <w:tr2bl w:val="nil"/>
                  </w:tcBorders>
                  <w:vAlign w:val="center"/>
                </w:tcPr>
                <w:p w14:paraId="042DBD4B">
                  <w:pPr>
                    <w:pStyle w:val="12"/>
                    <w:keepNext w:val="0"/>
                    <w:keepLines w:val="0"/>
                    <w:pageBreakBefore w:val="0"/>
                    <w:kinsoku/>
                    <w:wordWrap/>
                    <w:overflowPunct/>
                    <w:topLinePunct w:val="0"/>
                    <w:autoSpaceDE/>
                    <w:autoSpaceDN/>
                    <w:bidi w:val="0"/>
                    <w:spacing w:line="240" w:lineRule="auto"/>
                    <w:ind w:firstLine="0" w:firstLineChars="0"/>
                    <w:textAlignment w:val="auto"/>
                    <w:rPr>
                      <w:rFonts w:cs="Times New Roman"/>
                      <w:sz w:val="21"/>
                      <w:szCs w:val="21"/>
                    </w:rPr>
                  </w:pPr>
                  <w:r>
                    <w:rPr>
                      <w:rFonts w:hint="eastAsia" w:cs="Times New Roman"/>
                      <w:sz w:val="21"/>
                      <w:szCs w:val="21"/>
                      <w:lang w:val="en-US" w:eastAsia="zh-CN"/>
                    </w:rPr>
                    <w:t>W4车辆冲洗废水</w:t>
                  </w:r>
                </w:p>
              </w:tc>
              <w:tc>
                <w:tcPr>
                  <w:tcW w:w="2351" w:type="pct"/>
                  <w:vMerge w:val="continue"/>
                  <w:tcBorders>
                    <w:tl2br w:val="nil"/>
                    <w:tr2bl w:val="nil"/>
                  </w:tcBorders>
                  <w:vAlign w:val="center"/>
                </w:tcPr>
                <w:p w14:paraId="568E576C">
                  <w:pPr>
                    <w:pStyle w:val="12"/>
                    <w:keepNext w:val="0"/>
                    <w:keepLines w:val="0"/>
                    <w:pageBreakBefore w:val="0"/>
                    <w:kinsoku/>
                    <w:wordWrap/>
                    <w:overflowPunct/>
                    <w:topLinePunct w:val="0"/>
                    <w:autoSpaceDE/>
                    <w:autoSpaceDN/>
                    <w:bidi w:val="0"/>
                    <w:spacing w:line="240" w:lineRule="auto"/>
                    <w:ind w:firstLine="0" w:firstLineChars="0"/>
                    <w:jc w:val="left"/>
                    <w:textAlignment w:val="auto"/>
                    <w:rPr>
                      <w:rFonts w:cs="Times New Roman"/>
                      <w:sz w:val="21"/>
                      <w:szCs w:val="21"/>
                    </w:rPr>
                  </w:pPr>
                </w:p>
              </w:tc>
              <w:tc>
                <w:tcPr>
                  <w:tcW w:w="455" w:type="pct"/>
                  <w:tcBorders>
                    <w:tl2br w:val="nil"/>
                    <w:tr2bl w:val="nil"/>
                  </w:tcBorders>
                  <w:vAlign w:val="center"/>
                </w:tcPr>
                <w:p w14:paraId="26C6538A">
                  <w:pPr>
                    <w:pStyle w:val="12"/>
                    <w:keepNext w:val="0"/>
                    <w:keepLines w:val="0"/>
                    <w:pageBreakBefore w:val="0"/>
                    <w:kinsoku/>
                    <w:wordWrap/>
                    <w:overflowPunct/>
                    <w:topLinePunct w:val="0"/>
                    <w:autoSpaceDE/>
                    <w:autoSpaceDN/>
                    <w:bidi w:val="0"/>
                    <w:spacing w:line="240" w:lineRule="auto"/>
                    <w:ind w:firstLine="0" w:firstLineChars="0"/>
                    <w:textAlignment w:val="auto"/>
                    <w:rPr>
                      <w:rFonts w:cs="Times New Roman"/>
                      <w:bCs/>
                      <w:sz w:val="21"/>
                      <w:szCs w:val="21"/>
                    </w:rPr>
                  </w:pPr>
                  <w:r>
                    <w:rPr>
                      <w:rFonts w:cs="Times New Roman"/>
                      <w:bCs/>
                      <w:sz w:val="21"/>
                      <w:szCs w:val="21"/>
                    </w:rPr>
                    <w:t>/</w:t>
                  </w:r>
                </w:p>
              </w:tc>
              <w:tc>
                <w:tcPr>
                  <w:tcW w:w="488" w:type="pct"/>
                  <w:tcBorders>
                    <w:tl2br w:val="nil"/>
                    <w:tr2bl w:val="nil"/>
                  </w:tcBorders>
                  <w:vAlign w:val="center"/>
                </w:tcPr>
                <w:p w14:paraId="0773E3D7">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cs="Times New Roman"/>
                      <w:bCs/>
                      <w:sz w:val="21"/>
                      <w:szCs w:val="21"/>
                    </w:rPr>
                  </w:pPr>
                  <w:r>
                    <w:rPr>
                      <w:rFonts w:hint="eastAsia" w:cs="Times New Roman"/>
                      <w:bCs/>
                      <w:sz w:val="21"/>
                      <w:szCs w:val="21"/>
                      <w:lang w:val="en-US" w:eastAsia="zh-CN"/>
                    </w:rPr>
                    <w:t>计入主体工程</w:t>
                  </w:r>
                </w:p>
              </w:tc>
            </w:tr>
            <w:tr w14:paraId="44431982">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57" w:hRule="atLeast"/>
              </w:trPr>
              <w:tc>
                <w:tcPr>
                  <w:tcW w:w="509" w:type="pct"/>
                  <w:vMerge w:val="continue"/>
                  <w:tcBorders>
                    <w:tl2br w:val="nil"/>
                    <w:tr2bl w:val="nil"/>
                  </w:tcBorders>
                  <w:vAlign w:val="center"/>
                </w:tcPr>
                <w:p w14:paraId="0E8BE0C8">
                  <w:pPr>
                    <w:pStyle w:val="12"/>
                    <w:keepNext w:val="0"/>
                    <w:keepLines w:val="0"/>
                    <w:pageBreakBefore w:val="0"/>
                    <w:kinsoku/>
                    <w:wordWrap/>
                    <w:overflowPunct/>
                    <w:topLinePunct w:val="0"/>
                    <w:autoSpaceDE/>
                    <w:autoSpaceDN/>
                    <w:bidi w:val="0"/>
                    <w:spacing w:line="240" w:lineRule="auto"/>
                    <w:ind w:firstLine="0" w:firstLineChars="0"/>
                    <w:textAlignment w:val="auto"/>
                    <w:rPr>
                      <w:rFonts w:cs="Times New Roman"/>
                      <w:bCs/>
                      <w:sz w:val="21"/>
                      <w:szCs w:val="21"/>
                    </w:rPr>
                  </w:pPr>
                </w:p>
              </w:tc>
              <w:tc>
                <w:tcPr>
                  <w:tcW w:w="524" w:type="pct"/>
                  <w:vMerge w:val="continue"/>
                  <w:tcBorders>
                    <w:tl2br w:val="nil"/>
                    <w:tr2bl w:val="nil"/>
                  </w:tcBorders>
                  <w:vAlign w:val="center"/>
                </w:tcPr>
                <w:p w14:paraId="01E12452">
                  <w:pPr>
                    <w:pStyle w:val="12"/>
                    <w:keepNext w:val="0"/>
                    <w:keepLines w:val="0"/>
                    <w:pageBreakBefore w:val="0"/>
                    <w:kinsoku/>
                    <w:wordWrap/>
                    <w:overflowPunct/>
                    <w:topLinePunct w:val="0"/>
                    <w:autoSpaceDE/>
                    <w:autoSpaceDN/>
                    <w:bidi w:val="0"/>
                    <w:spacing w:line="240" w:lineRule="auto"/>
                    <w:ind w:firstLine="0" w:firstLineChars="0"/>
                    <w:textAlignment w:val="auto"/>
                    <w:rPr>
                      <w:rFonts w:cs="Times New Roman"/>
                      <w:bCs/>
                      <w:sz w:val="21"/>
                      <w:szCs w:val="21"/>
                    </w:rPr>
                  </w:pPr>
                </w:p>
              </w:tc>
              <w:tc>
                <w:tcPr>
                  <w:tcW w:w="671" w:type="pct"/>
                  <w:tcBorders>
                    <w:tl2br w:val="nil"/>
                    <w:tr2bl w:val="nil"/>
                  </w:tcBorders>
                  <w:vAlign w:val="center"/>
                </w:tcPr>
                <w:p w14:paraId="723569E1">
                  <w:pPr>
                    <w:pStyle w:val="12"/>
                    <w:keepNext w:val="0"/>
                    <w:keepLines w:val="0"/>
                    <w:pageBreakBefore w:val="0"/>
                    <w:kinsoku/>
                    <w:wordWrap/>
                    <w:overflowPunct/>
                    <w:topLinePunct w:val="0"/>
                    <w:autoSpaceDE/>
                    <w:autoSpaceDN/>
                    <w:bidi w:val="0"/>
                    <w:spacing w:line="240" w:lineRule="auto"/>
                    <w:ind w:firstLine="0" w:firstLineChars="0"/>
                    <w:textAlignment w:val="auto"/>
                    <w:rPr>
                      <w:rFonts w:hint="default" w:cs="Times New Roman"/>
                      <w:sz w:val="21"/>
                      <w:szCs w:val="21"/>
                      <w:lang w:val="en-US" w:eastAsia="zh-CN"/>
                    </w:rPr>
                  </w:pPr>
                  <w:r>
                    <w:rPr>
                      <w:rFonts w:hint="eastAsia" w:cs="Times New Roman"/>
                      <w:sz w:val="21"/>
                      <w:szCs w:val="21"/>
                      <w:lang w:val="en-US" w:eastAsia="zh-CN"/>
                    </w:rPr>
                    <w:t>W5喷淋废水</w:t>
                  </w:r>
                </w:p>
              </w:tc>
              <w:tc>
                <w:tcPr>
                  <w:tcW w:w="2351" w:type="pct"/>
                  <w:tcBorders>
                    <w:tl2br w:val="nil"/>
                    <w:tr2bl w:val="nil"/>
                  </w:tcBorders>
                  <w:vAlign w:val="center"/>
                </w:tcPr>
                <w:p w14:paraId="210D4400">
                  <w:pPr>
                    <w:pStyle w:val="12"/>
                    <w:keepNext w:val="0"/>
                    <w:keepLines w:val="0"/>
                    <w:pageBreakBefore w:val="0"/>
                    <w:kinsoku/>
                    <w:wordWrap/>
                    <w:overflowPunct/>
                    <w:topLinePunct w:val="0"/>
                    <w:autoSpaceDE/>
                    <w:autoSpaceDN/>
                    <w:bidi w:val="0"/>
                    <w:spacing w:line="240" w:lineRule="auto"/>
                    <w:ind w:firstLine="0" w:firstLineChars="0"/>
                    <w:jc w:val="left"/>
                    <w:textAlignment w:val="auto"/>
                    <w:rPr>
                      <w:rFonts w:hint="eastAsia" w:eastAsia="宋体" w:cs="Times New Roman"/>
                      <w:sz w:val="21"/>
                      <w:szCs w:val="21"/>
                      <w:lang w:val="en-US" w:eastAsia="zh-CN"/>
                    </w:rPr>
                  </w:pPr>
                  <w:r>
                    <w:rPr>
                      <w:rFonts w:hint="eastAsia" w:cs="Times New Roman"/>
                      <w:sz w:val="21"/>
                      <w:szCs w:val="21"/>
                      <w:lang w:val="en-US" w:eastAsia="zh-CN"/>
                    </w:rPr>
                    <w:t>滤液池内暂存，委托资质单位每日清运处置。</w:t>
                  </w:r>
                </w:p>
              </w:tc>
              <w:tc>
                <w:tcPr>
                  <w:tcW w:w="455" w:type="pct"/>
                  <w:tcBorders>
                    <w:tl2br w:val="nil"/>
                    <w:tr2bl w:val="nil"/>
                  </w:tcBorders>
                  <w:vAlign w:val="center"/>
                </w:tcPr>
                <w:p w14:paraId="62C152AC">
                  <w:pPr>
                    <w:pStyle w:val="12"/>
                    <w:keepNext w:val="0"/>
                    <w:keepLines w:val="0"/>
                    <w:pageBreakBefore w:val="0"/>
                    <w:kinsoku/>
                    <w:wordWrap/>
                    <w:overflowPunct/>
                    <w:topLinePunct w:val="0"/>
                    <w:autoSpaceDE/>
                    <w:autoSpaceDN/>
                    <w:bidi w:val="0"/>
                    <w:spacing w:line="240" w:lineRule="auto"/>
                    <w:ind w:firstLine="0" w:firstLineChars="0"/>
                    <w:textAlignment w:val="auto"/>
                    <w:rPr>
                      <w:rFonts w:cs="Times New Roman"/>
                      <w:bCs/>
                      <w:sz w:val="21"/>
                      <w:szCs w:val="21"/>
                    </w:rPr>
                  </w:pPr>
                  <w:r>
                    <w:rPr>
                      <w:rFonts w:cs="Times New Roman"/>
                      <w:bCs/>
                      <w:sz w:val="21"/>
                      <w:szCs w:val="21"/>
                    </w:rPr>
                    <w:t>/</w:t>
                  </w:r>
                </w:p>
              </w:tc>
              <w:tc>
                <w:tcPr>
                  <w:tcW w:w="488" w:type="pct"/>
                  <w:tcBorders>
                    <w:tl2br w:val="nil"/>
                    <w:tr2bl w:val="nil"/>
                  </w:tcBorders>
                  <w:vAlign w:val="center"/>
                </w:tcPr>
                <w:p w14:paraId="7DAFB1E2">
                  <w:pPr>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cs="Times New Roman"/>
                      <w:bCs/>
                      <w:sz w:val="21"/>
                      <w:szCs w:val="21"/>
                      <w:lang w:val="en-US" w:eastAsia="zh-CN"/>
                    </w:rPr>
                  </w:pPr>
                  <w:r>
                    <w:rPr>
                      <w:rFonts w:hint="eastAsia" w:cs="Times New Roman"/>
                      <w:bCs/>
                      <w:sz w:val="21"/>
                      <w:szCs w:val="21"/>
                      <w:lang w:val="en-US" w:eastAsia="zh-CN"/>
                    </w:rPr>
                    <w:t>新建</w:t>
                  </w:r>
                </w:p>
              </w:tc>
            </w:tr>
            <w:tr w14:paraId="3AF28C18">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57" w:hRule="atLeast"/>
              </w:trPr>
              <w:tc>
                <w:tcPr>
                  <w:tcW w:w="509" w:type="pct"/>
                  <w:vMerge w:val="continue"/>
                  <w:tcBorders>
                    <w:tl2br w:val="nil"/>
                    <w:tr2bl w:val="nil"/>
                  </w:tcBorders>
                  <w:vAlign w:val="center"/>
                </w:tcPr>
                <w:p w14:paraId="19601227">
                  <w:pPr>
                    <w:pStyle w:val="12"/>
                    <w:keepNext w:val="0"/>
                    <w:keepLines w:val="0"/>
                    <w:pageBreakBefore w:val="0"/>
                    <w:kinsoku/>
                    <w:wordWrap/>
                    <w:overflowPunct/>
                    <w:topLinePunct w:val="0"/>
                    <w:autoSpaceDE/>
                    <w:autoSpaceDN/>
                    <w:bidi w:val="0"/>
                    <w:spacing w:line="240" w:lineRule="auto"/>
                    <w:ind w:firstLine="0" w:firstLineChars="0"/>
                    <w:textAlignment w:val="auto"/>
                    <w:rPr>
                      <w:rFonts w:cs="Times New Roman"/>
                      <w:bCs/>
                      <w:sz w:val="21"/>
                      <w:szCs w:val="21"/>
                    </w:rPr>
                  </w:pPr>
                </w:p>
              </w:tc>
              <w:tc>
                <w:tcPr>
                  <w:tcW w:w="524" w:type="pct"/>
                  <w:vMerge w:val="continue"/>
                  <w:tcBorders>
                    <w:tl2br w:val="nil"/>
                    <w:tr2bl w:val="nil"/>
                  </w:tcBorders>
                  <w:vAlign w:val="center"/>
                </w:tcPr>
                <w:p w14:paraId="1106DAE4">
                  <w:pPr>
                    <w:pStyle w:val="12"/>
                    <w:keepNext w:val="0"/>
                    <w:keepLines w:val="0"/>
                    <w:pageBreakBefore w:val="0"/>
                    <w:kinsoku/>
                    <w:wordWrap/>
                    <w:overflowPunct/>
                    <w:topLinePunct w:val="0"/>
                    <w:autoSpaceDE/>
                    <w:autoSpaceDN/>
                    <w:bidi w:val="0"/>
                    <w:spacing w:line="240" w:lineRule="auto"/>
                    <w:ind w:firstLine="0" w:firstLineChars="0"/>
                    <w:textAlignment w:val="auto"/>
                    <w:rPr>
                      <w:rFonts w:cs="Times New Roman"/>
                      <w:bCs/>
                      <w:sz w:val="21"/>
                      <w:szCs w:val="21"/>
                    </w:rPr>
                  </w:pPr>
                </w:p>
              </w:tc>
              <w:tc>
                <w:tcPr>
                  <w:tcW w:w="671" w:type="pct"/>
                  <w:tcBorders>
                    <w:tl2br w:val="nil"/>
                    <w:tr2bl w:val="nil"/>
                  </w:tcBorders>
                  <w:vAlign w:val="center"/>
                </w:tcPr>
                <w:p w14:paraId="55F01E5C">
                  <w:pPr>
                    <w:pStyle w:val="12"/>
                    <w:keepNext w:val="0"/>
                    <w:keepLines w:val="0"/>
                    <w:pageBreakBefore w:val="0"/>
                    <w:kinsoku/>
                    <w:wordWrap/>
                    <w:overflowPunct/>
                    <w:topLinePunct w:val="0"/>
                    <w:autoSpaceDE/>
                    <w:autoSpaceDN/>
                    <w:bidi w:val="0"/>
                    <w:spacing w:line="240" w:lineRule="auto"/>
                    <w:ind w:firstLine="0" w:firstLineChars="0"/>
                    <w:textAlignment w:val="auto"/>
                    <w:rPr>
                      <w:rFonts w:hint="default" w:cs="Times New Roman"/>
                      <w:sz w:val="21"/>
                      <w:szCs w:val="21"/>
                      <w:lang w:val="en-US" w:eastAsia="zh-CN"/>
                    </w:rPr>
                  </w:pPr>
                  <w:r>
                    <w:rPr>
                      <w:rFonts w:hint="eastAsia" w:cs="Times New Roman"/>
                      <w:sz w:val="21"/>
                      <w:szCs w:val="21"/>
                      <w:lang w:val="en-US" w:eastAsia="zh-CN"/>
                    </w:rPr>
                    <w:t>W6 蒸养冷凝水</w:t>
                  </w:r>
                </w:p>
              </w:tc>
              <w:tc>
                <w:tcPr>
                  <w:tcW w:w="2351" w:type="pct"/>
                  <w:tcBorders>
                    <w:tl2br w:val="nil"/>
                    <w:tr2bl w:val="nil"/>
                  </w:tcBorders>
                  <w:vAlign w:val="center"/>
                </w:tcPr>
                <w:p w14:paraId="1664D490">
                  <w:pPr>
                    <w:pStyle w:val="12"/>
                    <w:keepNext w:val="0"/>
                    <w:keepLines w:val="0"/>
                    <w:pageBreakBefore w:val="0"/>
                    <w:kinsoku/>
                    <w:wordWrap/>
                    <w:overflowPunct/>
                    <w:topLinePunct w:val="0"/>
                    <w:autoSpaceDE/>
                    <w:autoSpaceDN/>
                    <w:bidi w:val="0"/>
                    <w:spacing w:line="240" w:lineRule="auto"/>
                    <w:ind w:firstLine="0" w:firstLineChars="0"/>
                    <w:jc w:val="left"/>
                    <w:textAlignment w:val="auto"/>
                    <w:rPr>
                      <w:rFonts w:hint="default" w:eastAsia="宋体" w:cs="Times New Roman"/>
                      <w:sz w:val="21"/>
                      <w:szCs w:val="21"/>
                      <w:lang w:val="en-US" w:eastAsia="zh-CN"/>
                    </w:rPr>
                  </w:pPr>
                  <w:r>
                    <w:rPr>
                      <w:rFonts w:hint="eastAsia" w:cs="Times New Roman"/>
                      <w:sz w:val="21"/>
                      <w:szCs w:val="21"/>
                      <w:lang w:val="en-US" w:eastAsia="zh-CN"/>
                    </w:rPr>
                    <w:t>全部回用于免烧砌块生产。</w:t>
                  </w:r>
                </w:p>
              </w:tc>
              <w:tc>
                <w:tcPr>
                  <w:tcW w:w="455" w:type="pct"/>
                  <w:tcBorders>
                    <w:tl2br w:val="nil"/>
                    <w:tr2bl w:val="nil"/>
                  </w:tcBorders>
                  <w:vAlign w:val="center"/>
                </w:tcPr>
                <w:p w14:paraId="4C391544">
                  <w:pPr>
                    <w:pStyle w:val="12"/>
                    <w:keepNext w:val="0"/>
                    <w:keepLines w:val="0"/>
                    <w:pageBreakBefore w:val="0"/>
                    <w:kinsoku/>
                    <w:wordWrap/>
                    <w:overflowPunct/>
                    <w:topLinePunct w:val="0"/>
                    <w:autoSpaceDE/>
                    <w:autoSpaceDN/>
                    <w:bidi w:val="0"/>
                    <w:spacing w:line="240" w:lineRule="auto"/>
                    <w:ind w:firstLine="0" w:firstLineChars="0"/>
                    <w:textAlignment w:val="auto"/>
                    <w:rPr>
                      <w:rFonts w:cs="Times New Roman"/>
                      <w:bCs/>
                      <w:sz w:val="21"/>
                      <w:szCs w:val="21"/>
                    </w:rPr>
                  </w:pPr>
                  <w:r>
                    <w:rPr>
                      <w:rFonts w:cs="Times New Roman"/>
                      <w:bCs/>
                      <w:sz w:val="21"/>
                      <w:szCs w:val="21"/>
                    </w:rPr>
                    <w:t>/</w:t>
                  </w:r>
                </w:p>
              </w:tc>
              <w:tc>
                <w:tcPr>
                  <w:tcW w:w="488" w:type="pct"/>
                  <w:tcBorders>
                    <w:tl2br w:val="nil"/>
                    <w:tr2bl w:val="nil"/>
                  </w:tcBorders>
                  <w:vAlign w:val="center"/>
                </w:tcPr>
                <w:p w14:paraId="5019BC68">
                  <w:pPr>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cs="Times New Roman"/>
                      <w:bCs/>
                      <w:sz w:val="21"/>
                      <w:szCs w:val="21"/>
                      <w:lang w:val="en-US" w:eastAsia="zh-CN"/>
                    </w:rPr>
                  </w:pPr>
                  <w:r>
                    <w:rPr>
                      <w:rFonts w:hint="eastAsia" w:cs="Times New Roman"/>
                      <w:bCs/>
                      <w:sz w:val="21"/>
                      <w:szCs w:val="21"/>
                      <w:lang w:val="en-US" w:eastAsia="zh-CN"/>
                    </w:rPr>
                    <w:t>新建</w:t>
                  </w:r>
                </w:p>
              </w:tc>
            </w:tr>
            <w:tr w14:paraId="5B35CD76">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57" w:hRule="atLeast"/>
              </w:trPr>
              <w:tc>
                <w:tcPr>
                  <w:tcW w:w="509" w:type="pct"/>
                  <w:vMerge w:val="continue"/>
                  <w:tcBorders>
                    <w:tl2br w:val="nil"/>
                    <w:tr2bl w:val="nil"/>
                  </w:tcBorders>
                  <w:vAlign w:val="center"/>
                </w:tcPr>
                <w:p w14:paraId="0CAE24DA">
                  <w:pPr>
                    <w:pStyle w:val="12"/>
                    <w:keepNext w:val="0"/>
                    <w:keepLines w:val="0"/>
                    <w:pageBreakBefore w:val="0"/>
                    <w:kinsoku/>
                    <w:wordWrap/>
                    <w:overflowPunct/>
                    <w:topLinePunct w:val="0"/>
                    <w:autoSpaceDE/>
                    <w:autoSpaceDN/>
                    <w:bidi w:val="0"/>
                    <w:spacing w:line="240" w:lineRule="auto"/>
                    <w:ind w:firstLine="0" w:firstLineChars="0"/>
                    <w:textAlignment w:val="auto"/>
                    <w:rPr>
                      <w:rFonts w:cs="Times New Roman"/>
                      <w:bCs/>
                      <w:sz w:val="21"/>
                      <w:szCs w:val="21"/>
                    </w:rPr>
                  </w:pPr>
                </w:p>
              </w:tc>
              <w:tc>
                <w:tcPr>
                  <w:tcW w:w="524" w:type="pct"/>
                  <w:vMerge w:val="continue"/>
                  <w:tcBorders>
                    <w:tl2br w:val="nil"/>
                    <w:tr2bl w:val="nil"/>
                  </w:tcBorders>
                  <w:vAlign w:val="center"/>
                </w:tcPr>
                <w:p w14:paraId="15B71D4E">
                  <w:pPr>
                    <w:pStyle w:val="12"/>
                    <w:keepNext w:val="0"/>
                    <w:keepLines w:val="0"/>
                    <w:pageBreakBefore w:val="0"/>
                    <w:kinsoku/>
                    <w:wordWrap/>
                    <w:overflowPunct/>
                    <w:topLinePunct w:val="0"/>
                    <w:autoSpaceDE/>
                    <w:autoSpaceDN/>
                    <w:bidi w:val="0"/>
                    <w:spacing w:line="240" w:lineRule="auto"/>
                    <w:ind w:firstLine="0" w:firstLineChars="0"/>
                    <w:textAlignment w:val="auto"/>
                    <w:rPr>
                      <w:rFonts w:cs="Times New Roman"/>
                      <w:bCs/>
                      <w:sz w:val="21"/>
                      <w:szCs w:val="21"/>
                    </w:rPr>
                  </w:pPr>
                </w:p>
              </w:tc>
              <w:tc>
                <w:tcPr>
                  <w:tcW w:w="671" w:type="pct"/>
                  <w:tcBorders>
                    <w:tl2br w:val="nil"/>
                    <w:tr2bl w:val="nil"/>
                  </w:tcBorders>
                  <w:vAlign w:val="center"/>
                </w:tcPr>
                <w:p w14:paraId="0CB5C0ED">
                  <w:pPr>
                    <w:pStyle w:val="12"/>
                    <w:keepNext w:val="0"/>
                    <w:keepLines w:val="0"/>
                    <w:pageBreakBefore w:val="0"/>
                    <w:kinsoku/>
                    <w:wordWrap/>
                    <w:overflowPunct/>
                    <w:topLinePunct w:val="0"/>
                    <w:autoSpaceDE/>
                    <w:autoSpaceDN/>
                    <w:bidi w:val="0"/>
                    <w:spacing w:line="240" w:lineRule="auto"/>
                    <w:ind w:firstLine="0" w:firstLineChars="0"/>
                    <w:textAlignment w:val="auto"/>
                    <w:rPr>
                      <w:rFonts w:cs="Times New Roman"/>
                      <w:sz w:val="21"/>
                      <w:szCs w:val="21"/>
                    </w:rPr>
                  </w:pPr>
                  <w:r>
                    <w:rPr>
                      <w:rFonts w:hint="eastAsia" w:cs="Times New Roman"/>
                      <w:sz w:val="21"/>
                      <w:szCs w:val="21"/>
                      <w:lang w:val="en-US" w:eastAsia="zh-CN"/>
                    </w:rPr>
                    <w:t>W7生活污水</w:t>
                  </w:r>
                </w:p>
              </w:tc>
              <w:tc>
                <w:tcPr>
                  <w:tcW w:w="2351" w:type="pct"/>
                  <w:tcBorders>
                    <w:tl2br w:val="nil"/>
                    <w:tr2bl w:val="nil"/>
                  </w:tcBorders>
                  <w:vAlign w:val="center"/>
                </w:tcPr>
                <w:p w14:paraId="094EB465">
                  <w:pPr>
                    <w:pStyle w:val="12"/>
                    <w:keepNext w:val="0"/>
                    <w:keepLines w:val="0"/>
                    <w:pageBreakBefore w:val="0"/>
                    <w:kinsoku/>
                    <w:wordWrap/>
                    <w:overflowPunct/>
                    <w:topLinePunct w:val="0"/>
                    <w:autoSpaceDE/>
                    <w:autoSpaceDN/>
                    <w:bidi w:val="0"/>
                    <w:spacing w:line="240" w:lineRule="auto"/>
                    <w:ind w:firstLine="0" w:firstLineChars="0"/>
                    <w:jc w:val="left"/>
                    <w:textAlignment w:val="auto"/>
                    <w:rPr>
                      <w:rFonts w:cs="Times New Roman"/>
                      <w:sz w:val="21"/>
                      <w:szCs w:val="21"/>
                    </w:rPr>
                  </w:pPr>
                  <w:r>
                    <w:rPr>
                      <w:rFonts w:hint="eastAsia" w:cs="Times New Roman"/>
                      <w:sz w:val="21"/>
                      <w:szCs w:val="21"/>
                      <w:lang w:val="en-US" w:eastAsia="zh-CN"/>
                    </w:rPr>
                    <w:t>食堂生活水隔油后与其他生活污水一并，</w:t>
                  </w:r>
                  <w:r>
                    <w:rPr>
                      <w:rFonts w:cs="Times New Roman"/>
                      <w:sz w:val="21"/>
                      <w:szCs w:val="21"/>
                    </w:rPr>
                    <w:t>依托租赁</w:t>
                  </w:r>
                  <w:r>
                    <w:rPr>
                      <w:rFonts w:hint="eastAsia" w:cs="Times New Roman"/>
                      <w:sz w:val="21"/>
                      <w:szCs w:val="21"/>
                      <w:lang w:val="en-US" w:eastAsia="zh-CN"/>
                    </w:rPr>
                    <w:t>厂区已建预处理池（1个，10m</w:t>
                  </w:r>
                  <w:r>
                    <w:rPr>
                      <w:rFonts w:hint="eastAsia" w:cs="Times New Roman"/>
                      <w:sz w:val="21"/>
                      <w:szCs w:val="21"/>
                      <w:vertAlign w:val="superscript"/>
                      <w:lang w:val="en-US" w:eastAsia="zh-CN"/>
                    </w:rPr>
                    <w:t>3</w:t>
                  </w:r>
                  <w:r>
                    <w:rPr>
                      <w:rFonts w:hint="eastAsia" w:cs="Times New Roman"/>
                      <w:sz w:val="21"/>
                      <w:szCs w:val="21"/>
                      <w:lang w:val="en-US" w:eastAsia="zh-CN"/>
                    </w:rPr>
                    <w:t>，</w:t>
                  </w:r>
                  <w:r>
                    <w:rPr>
                      <w:rFonts w:hint="eastAsia" w:cs="Times New Roman"/>
                      <w:sz w:val="21"/>
                      <w:szCs w:val="21"/>
                      <w:vertAlign w:val="baseline"/>
                      <w:lang w:val="en-US" w:eastAsia="zh-CN"/>
                    </w:rPr>
                    <w:t>位于宿舍楼旁</w:t>
                  </w:r>
                  <w:r>
                    <w:rPr>
                      <w:rFonts w:hint="eastAsia" w:cs="Times New Roman"/>
                      <w:sz w:val="21"/>
                      <w:szCs w:val="21"/>
                      <w:lang w:val="en-US" w:eastAsia="zh-CN"/>
                    </w:rPr>
                    <w:t>）处理后排入园区污水管网，送星光工业园区污水处理厂进一步处理。</w:t>
                  </w:r>
                </w:p>
              </w:tc>
              <w:tc>
                <w:tcPr>
                  <w:tcW w:w="455" w:type="pct"/>
                  <w:tcBorders>
                    <w:tl2br w:val="nil"/>
                    <w:tr2bl w:val="nil"/>
                  </w:tcBorders>
                  <w:vAlign w:val="center"/>
                </w:tcPr>
                <w:p w14:paraId="05420733">
                  <w:pPr>
                    <w:pStyle w:val="12"/>
                    <w:keepNext w:val="0"/>
                    <w:keepLines w:val="0"/>
                    <w:pageBreakBefore w:val="0"/>
                    <w:kinsoku/>
                    <w:wordWrap/>
                    <w:overflowPunct/>
                    <w:topLinePunct w:val="0"/>
                    <w:autoSpaceDE/>
                    <w:autoSpaceDN/>
                    <w:bidi w:val="0"/>
                    <w:spacing w:line="240" w:lineRule="auto"/>
                    <w:ind w:firstLine="0" w:firstLineChars="0"/>
                    <w:textAlignment w:val="auto"/>
                    <w:rPr>
                      <w:rFonts w:hint="default" w:eastAsia="宋体" w:cs="Times New Roman"/>
                      <w:bCs/>
                      <w:sz w:val="21"/>
                      <w:szCs w:val="21"/>
                      <w:lang w:val="en-US" w:eastAsia="zh-CN"/>
                    </w:rPr>
                  </w:pPr>
                  <w:r>
                    <w:rPr>
                      <w:rFonts w:hint="eastAsia" w:cs="Times New Roman"/>
                      <w:bCs/>
                      <w:sz w:val="21"/>
                      <w:szCs w:val="21"/>
                      <w:lang w:val="en-US" w:eastAsia="zh-CN"/>
                    </w:rPr>
                    <w:t>0.5</w:t>
                  </w:r>
                </w:p>
              </w:tc>
              <w:tc>
                <w:tcPr>
                  <w:tcW w:w="488" w:type="pct"/>
                  <w:tcBorders>
                    <w:tl2br w:val="nil"/>
                    <w:tr2bl w:val="nil"/>
                  </w:tcBorders>
                  <w:vAlign w:val="center"/>
                </w:tcPr>
                <w:p w14:paraId="0BB58E7F">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cs="Times New Roman"/>
                      <w:bCs/>
                      <w:sz w:val="21"/>
                      <w:szCs w:val="21"/>
                    </w:rPr>
                  </w:pPr>
                  <w:r>
                    <w:rPr>
                      <w:rFonts w:hint="eastAsia" w:cs="Times New Roman"/>
                      <w:bCs/>
                      <w:sz w:val="21"/>
                      <w:szCs w:val="21"/>
                      <w:lang w:val="en-US" w:eastAsia="zh-CN"/>
                    </w:rPr>
                    <w:t>部分</w:t>
                  </w:r>
                  <w:r>
                    <w:rPr>
                      <w:rFonts w:cs="Times New Roman"/>
                      <w:bCs/>
                      <w:sz w:val="21"/>
                      <w:szCs w:val="21"/>
                    </w:rPr>
                    <w:t>依托</w:t>
                  </w:r>
                </w:p>
              </w:tc>
            </w:tr>
            <w:tr w14:paraId="48D91850">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57" w:hRule="atLeast"/>
              </w:trPr>
              <w:tc>
                <w:tcPr>
                  <w:tcW w:w="509" w:type="pct"/>
                  <w:vMerge w:val="continue"/>
                  <w:tcBorders>
                    <w:tl2br w:val="nil"/>
                    <w:tr2bl w:val="nil"/>
                  </w:tcBorders>
                  <w:vAlign w:val="center"/>
                </w:tcPr>
                <w:p w14:paraId="0E27885D">
                  <w:pPr>
                    <w:pStyle w:val="12"/>
                    <w:keepNext w:val="0"/>
                    <w:keepLines w:val="0"/>
                    <w:pageBreakBefore w:val="0"/>
                    <w:kinsoku/>
                    <w:wordWrap/>
                    <w:overflowPunct/>
                    <w:topLinePunct w:val="0"/>
                    <w:autoSpaceDE/>
                    <w:autoSpaceDN/>
                    <w:bidi w:val="0"/>
                    <w:spacing w:line="240" w:lineRule="auto"/>
                    <w:ind w:firstLine="0" w:firstLineChars="0"/>
                    <w:textAlignment w:val="auto"/>
                    <w:rPr>
                      <w:rFonts w:cs="Times New Roman"/>
                      <w:bCs/>
                      <w:sz w:val="21"/>
                      <w:szCs w:val="21"/>
                    </w:rPr>
                  </w:pPr>
                </w:p>
              </w:tc>
              <w:tc>
                <w:tcPr>
                  <w:tcW w:w="524" w:type="pct"/>
                  <w:tcBorders>
                    <w:tl2br w:val="nil"/>
                    <w:tr2bl w:val="nil"/>
                  </w:tcBorders>
                  <w:vAlign w:val="center"/>
                </w:tcPr>
                <w:p w14:paraId="6317CB45">
                  <w:pPr>
                    <w:pStyle w:val="12"/>
                    <w:keepNext w:val="0"/>
                    <w:keepLines w:val="0"/>
                    <w:pageBreakBefore w:val="0"/>
                    <w:kinsoku/>
                    <w:wordWrap/>
                    <w:overflowPunct/>
                    <w:topLinePunct w:val="0"/>
                    <w:autoSpaceDE/>
                    <w:autoSpaceDN/>
                    <w:bidi w:val="0"/>
                    <w:spacing w:line="240" w:lineRule="auto"/>
                    <w:ind w:firstLine="0" w:firstLineChars="0"/>
                    <w:textAlignment w:val="auto"/>
                    <w:rPr>
                      <w:rFonts w:cs="Times New Roman"/>
                      <w:bCs/>
                      <w:sz w:val="21"/>
                      <w:szCs w:val="21"/>
                    </w:rPr>
                  </w:pPr>
                  <w:r>
                    <w:rPr>
                      <w:rFonts w:cs="Times New Roman"/>
                      <w:bCs/>
                      <w:sz w:val="21"/>
                      <w:szCs w:val="21"/>
                    </w:rPr>
                    <w:t>噪声治理</w:t>
                  </w:r>
                </w:p>
              </w:tc>
              <w:tc>
                <w:tcPr>
                  <w:tcW w:w="671" w:type="pct"/>
                  <w:tcBorders>
                    <w:tl2br w:val="nil"/>
                    <w:tr2bl w:val="nil"/>
                  </w:tcBorders>
                  <w:vAlign w:val="center"/>
                </w:tcPr>
                <w:p w14:paraId="1B4AF1B3">
                  <w:pPr>
                    <w:pStyle w:val="12"/>
                    <w:keepNext w:val="0"/>
                    <w:keepLines w:val="0"/>
                    <w:pageBreakBefore w:val="0"/>
                    <w:kinsoku/>
                    <w:wordWrap/>
                    <w:overflowPunct/>
                    <w:topLinePunct w:val="0"/>
                    <w:autoSpaceDE/>
                    <w:autoSpaceDN/>
                    <w:bidi w:val="0"/>
                    <w:spacing w:line="240" w:lineRule="auto"/>
                    <w:ind w:firstLine="0" w:firstLineChars="0"/>
                    <w:textAlignment w:val="auto"/>
                    <w:rPr>
                      <w:rFonts w:cs="Times New Roman"/>
                      <w:sz w:val="21"/>
                      <w:szCs w:val="21"/>
                    </w:rPr>
                  </w:pPr>
                  <w:r>
                    <w:rPr>
                      <w:rFonts w:cs="Times New Roman"/>
                      <w:sz w:val="21"/>
                      <w:szCs w:val="21"/>
                    </w:rPr>
                    <w:t>设备运行噪声</w:t>
                  </w:r>
                </w:p>
              </w:tc>
              <w:tc>
                <w:tcPr>
                  <w:tcW w:w="2351" w:type="pct"/>
                  <w:tcBorders>
                    <w:tl2br w:val="nil"/>
                    <w:tr2bl w:val="nil"/>
                  </w:tcBorders>
                  <w:vAlign w:val="center"/>
                </w:tcPr>
                <w:p w14:paraId="5713C3A7">
                  <w:pPr>
                    <w:pStyle w:val="12"/>
                    <w:keepNext w:val="0"/>
                    <w:keepLines w:val="0"/>
                    <w:pageBreakBefore w:val="0"/>
                    <w:kinsoku/>
                    <w:wordWrap/>
                    <w:overflowPunct/>
                    <w:topLinePunct w:val="0"/>
                    <w:autoSpaceDE/>
                    <w:autoSpaceDN/>
                    <w:bidi w:val="0"/>
                    <w:spacing w:line="240" w:lineRule="auto"/>
                    <w:ind w:firstLine="0" w:firstLineChars="0"/>
                    <w:jc w:val="left"/>
                    <w:textAlignment w:val="auto"/>
                    <w:rPr>
                      <w:rFonts w:hint="default" w:eastAsia="宋体" w:cs="Times New Roman"/>
                      <w:bCs/>
                      <w:sz w:val="21"/>
                      <w:szCs w:val="21"/>
                      <w:lang w:val="en-US" w:eastAsia="zh-CN"/>
                    </w:rPr>
                  </w:pPr>
                  <w:r>
                    <w:rPr>
                      <w:rFonts w:cs="Times New Roman"/>
                      <w:bCs/>
                      <w:sz w:val="21"/>
                      <w:szCs w:val="21"/>
                    </w:rPr>
                    <w:t>选用低噪声设备、合理平面布局，</w:t>
                  </w:r>
                  <w:r>
                    <w:rPr>
                      <w:rFonts w:cs="Times New Roman"/>
                      <w:sz w:val="21"/>
                      <w:szCs w:val="21"/>
                    </w:rPr>
                    <w:t>设备基础减震，建筑隔声，距离衰减</w:t>
                  </w:r>
                  <w:r>
                    <w:rPr>
                      <w:rFonts w:hint="eastAsia" w:cs="Times New Roman"/>
                      <w:sz w:val="21"/>
                      <w:szCs w:val="21"/>
                      <w:lang w:eastAsia="zh-CN"/>
                    </w:rPr>
                    <w:t>；</w:t>
                  </w:r>
                  <w:r>
                    <w:rPr>
                      <w:rFonts w:hint="eastAsia" w:cs="Times New Roman"/>
                      <w:sz w:val="21"/>
                      <w:szCs w:val="21"/>
                      <w:lang w:val="en-US" w:eastAsia="zh-CN"/>
                    </w:rPr>
                    <w:t>设置单独风机房。</w:t>
                  </w:r>
                </w:p>
              </w:tc>
              <w:tc>
                <w:tcPr>
                  <w:tcW w:w="455" w:type="pct"/>
                  <w:tcBorders>
                    <w:tl2br w:val="nil"/>
                    <w:tr2bl w:val="nil"/>
                  </w:tcBorders>
                  <w:vAlign w:val="center"/>
                </w:tcPr>
                <w:p w14:paraId="69DB4A66">
                  <w:pPr>
                    <w:pStyle w:val="12"/>
                    <w:keepNext w:val="0"/>
                    <w:keepLines w:val="0"/>
                    <w:pageBreakBefore w:val="0"/>
                    <w:kinsoku/>
                    <w:wordWrap/>
                    <w:overflowPunct/>
                    <w:topLinePunct w:val="0"/>
                    <w:autoSpaceDE/>
                    <w:autoSpaceDN/>
                    <w:bidi w:val="0"/>
                    <w:spacing w:line="240" w:lineRule="auto"/>
                    <w:ind w:firstLine="0" w:firstLineChars="0"/>
                    <w:textAlignment w:val="auto"/>
                    <w:rPr>
                      <w:rFonts w:hint="eastAsia" w:eastAsia="宋体" w:cs="Times New Roman"/>
                      <w:bCs/>
                      <w:sz w:val="21"/>
                      <w:szCs w:val="21"/>
                      <w:lang w:eastAsia="zh-CN"/>
                    </w:rPr>
                  </w:pPr>
                  <w:r>
                    <w:rPr>
                      <w:rFonts w:hint="eastAsia" w:cs="Times New Roman"/>
                      <w:bCs/>
                      <w:sz w:val="21"/>
                      <w:szCs w:val="21"/>
                      <w:lang w:val="en-US" w:eastAsia="zh-CN"/>
                    </w:rPr>
                    <w:t>2</w:t>
                  </w:r>
                </w:p>
              </w:tc>
              <w:tc>
                <w:tcPr>
                  <w:tcW w:w="488" w:type="pct"/>
                  <w:tcBorders>
                    <w:tl2br w:val="nil"/>
                    <w:tr2bl w:val="nil"/>
                  </w:tcBorders>
                  <w:vAlign w:val="center"/>
                </w:tcPr>
                <w:p w14:paraId="0F45C73F">
                  <w:pPr>
                    <w:keepNext w:val="0"/>
                    <w:keepLines w:val="0"/>
                    <w:pageBreakBefore w:val="0"/>
                    <w:kinsoku/>
                    <w:wordWrap/>
                    <w:overflowPunct/>
                    <w:topLinePunct w:val="0"/>
                    <w:autoSpaceDE/>
                    <w:autoSpaceDN/>
                    <w:bidi w:val="0"/>
                    <w:spacing w:line="240" w:lineRule="auto"/>
                    <w:ind w:firstLine="0" w:firstLineChars="0"/>
                    <w:jc w:val="center"/>
                    <w:textAlignment w:val="auto"/>
                    <w:rPr>
                      <w:rFonts w:cs="Times New Roman"/>
                      <w:bCs/>
                      <w:sz w:val="21"/>
                      <w:szCs w:val="21"/>
                    </w:rPr>
                  </w:pPr>
                  <w:r>
                    <w:rPr>
                      <w:rFonts w:hint="eastAsia" w:cs="Times New Roman"/>
                      <w:bCs/>
                      <w:sz w:val="21"/>
                      <w:szCs w:val="21"/>
                      <w:lang w:val="en-US" w:eastAsia="zh-CN"/>
                    </w:rPr>
                    <w:t>新建</w:t>
                  </w:r>
                </w:p>
              </w:tc>
            </w:tr>
            <w:tr w14:paraId="196AD129">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57" w:hRule="atLeast"/>
              </w:trPr>
              <w:tc>
                <w:tcPr>
                  <w:tcW w:w="509" w:type="pct"/>
                  <w:vMerge w:val="continue"/>
                  <w:tcBorders>
                    <w:tl2br w:val="nil"/>
                    <w:tr2bl w:val="nil"/>
                  </w:tcBorders>
                  <w:vAlign w:val="center"/>
                </w:tcPr>
                <w:p w14:paraId="20E04D45">
                  <w:pPr>
                    <w:pStyle w:val="12"/>
                    <w:keepNext w:val="0"/>
                    <w:keepLines w:val="0"/>
                    <w:pageBreakBefore w:val="0"/>
                    <w:kinsoku/>
                    <w:wordWrap/>
                    <w:overflowPunct/>
                    <w:topLinePunct w:val="0"/>
                    <w:autoSpaceDE/>
                    <w:autoSpaceDN/>
                    <w:bidi w:val="0"/>
                    <w:spacing w:line="240" w:lineRule="auto"/>
                    <w:ind w:firstLine="0" w:firstLineChars="0"/>
                    <w:textAlignment w:val="auto"/>
                    <w:rPr>
                      <w:rFonts w:cs="Times New Roman"/>
                      <w:bCs/>
                      <w:sz w:val="21"/>
                      <w:szCs w:val="21"/>
                    </w:rPr>
                  </w:pPr>
                </w:p>
              </w:tc>
              <w:tc>
                <w:tcPr>
                  <w:tcW w:w="524" w:type="pct"/>
                  <w:vMerge w:val="restart"/>
                  <w:tcBorders>
                    <w:tl2br w:val="nil"/>
                    <w:tr2bl w:val="nil"/>
                  </w:tcBorders>
                  <w:vAlign w:val="center"/>
                </w:tcPr>
                <w:p w14:paraId="13C85007">
                  <w:pPr>
                    <w:pStyle w:val="12"/>
                    <w:keepNext w:val="0"/>
                    <w:keepLines w:val="0"/>
                    <w:pageBreakBefore w:val="0"/>
                    <w:kinsoku/>
                    <w:wordWrap/>
                    <w:overflowPunct/>
                    <w:topLinePunct w:val="0"/>
                    <w:autoSpaceDE/>
                    <w:autoSpaceDN/>
                    <w:bidi w:val="0"/>
                    <w:spacing w:line="240" w:lineRule="auto"/>
                    <w:ind w:firstLine="0" w:firstLineChars="0"/>
                    <w:textAlignment w:val="auto"/>
                    <w:rPr>
                      <w:rFonts w:cs="Times New Roman"/>
                      <w:bCs/>
                      <w:sz w:val="21"/>
                      <w:szCs w:val="21"/>
                    </w:rPr>
                  </w:pPr>
                  <w:r>
                    <w:rPr>
                      <w:rFonts w:cs="Times New Roman"/>
                      <w:bCs/>
                      <w:sz w:val="21"/>
                      <w:szCs w:val="21"/>
                    </w:rPr>
                    <w:t>固废治理</w:t>
                  </w:r>
                </w:p>
              </w:tc>
              <w:tc>
                <w:tcPr>
                  <w:tcW w:w="671" w:type="pct"/>
                  <w:tcBorders>
                    <w:tl2br w:val="nil"/>
                    <w:tr2bl w:val="nil"/>
                  </w:tcBorders>
                  <w:vAlign w:val="center"/>
                </w:tcPr>
                <w:p w14:paraId="352F15A5">
                  <w:pPr>
                    <w:pStyle w:val="12"/>
                    <w:keepNext w:val="0"/>
                    <w:keepLines w:val="0"/>
                    <w:pageBreakBefore w:val="0"/>
                    <w:kinsoku/>
                    <w:wordWrap/>
                    <w:overflowPunct/>
                    <w:topLinePunct w:val="0"/>
                    <w:autoSpaceDE/>
                    <w:autoSpaceDN/>
                    <w:bidi w:val="0"/>
                    <w:spacing w:line="240" w:lineRule="auto"/>
                    <w:ind w:firstLine="0" w:firstLineChars="0"/>
                    <w:textAlignment w:val="auto"/>
                    <w:rPr>
                      <w:rFonts w:cs="Times New Roman"/>
                      <w:sz w:val="21"/>
                      <w:szCs w:val="21"/>
                    </w:rPr>
                  </w:pPr>
                  <w:r>
                    <w:rPr>
                      <w:rFonts w:cs="Times New Roman"/>
                      <w:sz w:val="21"/>
                      <w:szCs w:val="21"/>
                    </w:rPr>
                    <w:t>一般固废</w:t>
                  </w:r>
                </w:p>
              </w:tc>
              <w:tc>
                <w:tcPr>
                  <w:tcW w:w="2351" w:type="pct"/>
                  <w:tcBorders>
                    <w:tl2br w:val="nil"/>
                    <w:tr2bl w:val="nil"/>
                  </w:tcBorders>
                  <w:vAlign w:val="center"/>
                </w:tcPr>
                <w:p w14:paraId="50EA7160">
                  <w:pPr>
                    <w:pStyle w:val="12"/>
                    <w:keepNext w:val="0"/>
                    <w:keepLines w:val="0"/>
                    <w:pageBreakBefore w:val="0"/>
                    <w:kinsoku/>
                    <w:wordWrap/>
                    <w:overflowPunct/>
                    <w:topLinePunct w:val="0"/>
                    <w:autoSpaceDE/>
                    <w:autoSpaceDN/>
                    <w:bidi w:val="0"/>
                    <w:spacing w:line="240" w:lineRule="auto"/>
                    <w:ind w:firstLine="0" w:firstLineChars="0"/>
                    <w:jc w:val="left"/>
                    <w:textAlignment w:val="auto"/>
                    <w:rPr>
                      <w:rFonts w:hint="default" w:eastAsia="宋体" w:cs="Times New Roman"/>
                      <w:bCs/>
                      <w:sz w:val="21"/>
                      <w:szCs w:val="21"/>
                      <w:lang w:val="en-US" w:eastAsia="zh-CN"/>
                    </w:rPr>
                  </w:pPr>
                  <w:r>
                    <w:rPr>
                      <w:rFonts w:cs="Times New Roman"/>
                      <w:sz w:val="21"/>
                      <w:szCs w:val="21"/>
                    </w:rPr>
                    <w:t>设置1间一般固废暂存间，面积10m</w:t>
                  </w:r>
                  <w:r>
                    <w:rPr>
                      <w:rFonts w:cs="Times New Roman"/>
                      <w:sz w:val="21"/>
                      <w:szCs w:val="21"/>
                      <w:vertAlign w:val="superscript"/>
                    </w:rPr>
                    <w:t>2</w:t>
                  </w:r>
                  <w:r>
                    <w:rPr>
                      <w:rFonts w:cs="Times New Roman"/>
                      <w:sz w:val="21"/>
                      <w:szCs w:val="21"/>
                    </w:rPr>
                    <w:t>。</w:t>
                  </w:r>
                  <w:r>
                    <w:rPr>
                      <w:rFonts w:hint="eastAsia" w:cs="Times New Roman"/>
                      <w:sz w:val="21"/>
                      <w:szCs w:val="21"/>
                      <w:lang w:val="en-US" w:eastAsia="zh-CN"/>
                    </w:rPr>
                    <w:t>废包装外售废品回收站或交由厂家回收利用；废模具、废布袋厂家回收综合利用；不合格品、旋风除尘器及布袋除尘器1#集尘作为原料回用于免烧砌块生产。</w:t>
                  </w:r>
                  <w:r>
                    <w:rPr>
                      <w:rFonts w:cs="Times New Roman"/>
                      <w:sz w:val="21"/>
                      <w:szCs w:val="21"/>
                    </w:rPr>
                    <w:t>生活垃圾</w:t>
                  </w:r>
                  <w:r>
                    <w:rPr>
                      <w:rFonts w:hint="eastAsia" w:cs="Times New Roman"/>
                      <w:sz w:val="21"/>
                      <w:szCs w:val="21"/>
                      <w:lang w:val="en-US" w:eastAsia="zh-CN"/>
                    </w:rPr>
                    <w:t>袋装手机后</w:t>
                  </w:r>
                  <w:r>
                    <w:rPr>
                      <w:rFonts w:cs="Times New Roman"/>
                      <w:sz w:val="21"/>
                      <w:szCs w:val="21"/>
                    </w:rPr>
                    <w:t>交由环卫部门统一清运处理。</w:t>
                  </w:r>
                  <w:r>
                    <w:rPr>
                      <w:rFonts w:hint="eastAsia" w:cs="Times New Roman"/>
                      <w:sz w:val="21"/>
                      <w:szCs w:val="21"/>
                      <w:lang w:val="en-US" w:eastAsia="zh-CN"/>
                    </w:rPr>
                    <w:t>初期雨水池污泥定期清掏，委托有资质固废处置单位统一清运、处理。</w:t>
                  </w:r>
                </w:p>
              </w:tc>
              <w:tc>
                <w:tcPr>
                  <w:tcW w:w="455" w:type="pct"/>
                  <w:tcBorders>
                    <w:tl2br w:val="nil"/>
                    <w:tr2bl w:val="nil"/>
                  </w:tcBorders>
                  <w:vAlign w:val="center"/>
                </w:tcPr>
                <w:p w14:paraId="205EF365">
                  <w:pPr>
                    <w:pStyle w:val="12"/>
                    <w:keepNext w:val="0"/>
                    <w:keepLines w:val="0"/>
                    <w:pageBreakBefore w:val="0"/>
                    <w:kinsoku/>
                    <w:wordWrap/>
                    <w:overflowPunct/>
                    <w:topLinePunct w:val="0"/>
                    <w:autoSpaceDE/>
                    <w:autoSpaceDN/>
                    <w:bidi w:val="0"/>
                    <w:spacing w:line="240" w:lineRule="auto"/>
                    <w:ind w:firstLine="0" w:firstLineChars="0"/>
                    <w:textAlignment w:val="auto"/>
                    <w:rPr>
                      <w:rFonts w:cs="Times New Roman"/>
                      <w:bCs/>
                      <w:sz w:val="21"/>
                      <w:szCs w:val="21"/>
                    </w:rPr>
                  </w:pPr>
                  <w:r>
                    <w:rPr>
                      <w:rFonts w:cs="Times New Roman"/>
                      <w:bCs/>
                      <w:sz w:val="21"/>
                      <w:szCs w:val="21"/>
                    </w:rPr>
                    <w:t>1</w:t>
                  </w:r>
                </w:p>
              </w:tc>
              <w:tc>
                <w:tcPr>
                  <w:tcW w:w="488" w:type="pct"/>
                  <w:tcBorders>
                    <w:tl2br w:val="nil"/>
                    <w:tr2bl w:val="nil"/>
                  </w:tcBorders>
                  <w:vAlign w:val="center"/>
                </w:tcPr>
                <w:p w14:paraId="2E2894BF">
                  <w:pPr>
                    <w:keepNext w:val="0"/>
                    <w:keepLines w:val="0"/>
                    <w:pageBreakBefore w:val="0"/>
                    <w:kinsoku/>
                    <w:wordWrap/>
                    <w:overflowPunct/>
                    <w:topLinePunct w:val="0"/>
                    <w:autoSpaceDE/>
                    <w:autoSpaceDN/>
                    <w:bidi w:val="0"/>
                    <w:spacing w:line="240" w:lineRule="auto"/>
                    <w:ind w:firstLine="0" w:firstLineChars="0"/>
                    <w:jc w:val="center"/>
                    <w:textAlignment w:val="auto"/>
                    <w:rPr>
                      <w:rFonts w:cs="Times New Roman"/>
                      <w:bCs/>
                      <w:sz w:val="21"/>
                      <w:szCs w:val="21"/>
                    </w:rPr>
                  </w:pPr>
                  <w:r>
                    <w:rPr>
                      <w:rFonts w:hint="eastAsia" w:cs="Times New Roman"/>
                      <w:bCs/>
                      <w:sz w:val="21"/>
                      <w:szCs w:val="21"/>
                      <w:lang w:val="en-US" w:eastAsia="zh-CN"/>
                    </w:rPr>
                    <w:t>新建</w:t>
                  </w:r>
                </w:p>
              </w:tc>
            </w:tr>
            <w:tr w14:paraId="1A19589B">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57" w:hRule="atLeast"/>
              </w:trPr>
              <w:tc>
                <w:tcPr>
                  <w:tcW w:w="509" w:type="pct"/>
                  <w:vMerge w:val="continue"/>
                  <w:tcBorders>
                    <w:tl2br w:val="nil"/>
                    <w:tr2bl w:val="nil"/>
                  </w:tcBorders>
                  <w:vAlign w:val="center"/>
                </w:tcPr>
                <w:p w14:paraId="5A2F28E8">
                  <w:pPr>
                    <w:pStyle w:val="12"/>
                    <w:keepNext w:val="0"/>
                    <w:keepLines w:val="0"/>
                    <w:pageBreakBefore w:val="0"/>
                    <w:kinsoku/>
                    <w:wordWrap/>
                    <w:overflowPunct/>
                    <w:topLinePunct w:val="0"/>
                    <w:autoSpaceDE/>
                    <w:autoSpaceDN/>
                    <w:bidi w:val="0"/>
                    <w:spacing w:line="240" w:lineRule="auto"/>
                    <w:ind w:firstLine="0" w:firstLineChars="0"/>
                    <w:textAlignment w:val="auto"/>
                    <w:rPr>
                      <w:rFonts w:cs="Times New Roman"/>
                      <w:bCs/>
                      <w:sz w:val="21"/>
                      <w:szCs w:val="21"/>
                    </w:rPr>
                  </w:pPr>
                </w:p>
              </w:tc>
              <w:tc>
                <w:tcPr>
                  <w:tcW w:w="524" w:type="pct"/>
                  <w:vMerge w:val="continue"/>
                  <w:tcBorders>
                    <w:tl2br w:val="nil"/>
                    <w:tr2bl w:val="nil"/>
                  </w:tcBorders>
                  <w:vAlign w:val="center"/>
                </w:tcPr>
                <w:p w14:paraId="42A9CD48">
                  <w:pPr>
                    <w:pStyle w:val="12"/>
                    <w:keepNext w:val="0"/>
                    <w:keepLines w:val="0"/>
                    <w:pageBreakBefore w:val="0"/>
                    <w:kinsoku/>
                    <w:wordWrap/>
                    <w:overflowPunct/>
                    <w:topLinePunct w:val="0"/>
                    <w:autoSpaceDE/>
                    <w:autoSpaceDN/>
                    <w:bidi w:val="0"/>
                    <w:spacing w:line="240" w:lineRule="auto"/>
                    <w:ind w:firstLine="0" w:firstLineChars="0"/>
                    <w:textAlignment w:val="auto"/>
                    <w:rPr>
                      <w:rFonts w:cs="Times New Roman"/>
                      <w:bCs/>
                      <w:sz w:val="21"/>
                      <w:szCs w:val="21"/>
                    </w:rPr>
                  </w:pPr>
                </w:p>
              </w:tc>
              <w:tc>
                <w:tcPr>
                  <w:tcW w:w="671" w:type="pct"/>
                  <w:tcBorders>
                    <w:tl2br w:val="nil"/>
                    <w:tr2bl w:val="nil"/>
                  </w:tcBorders>
                  <w:vAlign w:val="center"/>
                </w:tcPr>
                <w:p w14:paraId="7C614A94">
                  <w:pPr>
                    <w:pStyle w:val="12"/>
                    <w:keepNext w:val="0"/>
                    <w:keepLines w:val="0"/>
                    <w:pageBreakBefore w:val="0"/>
                    <w:kinsoku/>
                    <w:wordWrap/>
                    <w:overflowPunct/>
                    <w:topLinePunct w:val="0"/>
                    <w:autoSpaceDE/>
                    <w:autoSpaceDN/>
                    <w:bidi w:val="0"/>
                    <w:spacing w:line="240" w:lineRule="auto"/>
                    <w:ind w:firstLine="0" w:firstLineChars="0"/>
                    <w:textAlignment w:val="auto"/>
                    <w:rPr>
                      <w:rFonts w:cs="Times New Roman"/>
                      <w:sz w:val="21"/>
                      <w:szCs w:val="21"/>
                    </w:rPr>
                  </w:pPr>
                  <w:r>
                    <w:rPr>
                      <w:rFonts w:cs="Times New Roman"/>
                      <w:sz w:val="21"/>
                      <w:szCs w:val="21"/>
                    </w:rPr>
                    <w:t>危险废物</w:t>
                  </w:r>
                </w:p>
              </w:tc>
              <w:tc>
                <w:tcPr>
                  <w:tcW w:w="2351" w:type="pct"/>
                  <w:tcBorders>
                    <w:tl2br w:val="nil"/>
                    <w:tr2bl w:val="nil"/>
                  </w:tcBorders>
                  <w:vAlign w:val="center"/>
                </w:tcPr>
                <w:p w14:paraId="5CBF1C27">
                  <w:pPr>
                    <w:pStyle w:val="12"/>
                    <w:keepNext w:val="0"/>
                    <w:keepLines w:val="0"/>
                    <w:pageBreakBefore w:val="0"/>
                    <w:kinsoku/>
                    <w:wordWrap/>
                    <w:overflowPunct/>
                    <w:topLinePunct w:val="0"/>
                    <w:autoSpaceDE/>
                    <w:autoSpaceDN/>
                    <w:bidi w:val="0"/>
                    <w:spacing w:line="240" w:lineRule="auto"/>
                    <w:ind w:firstLine="0" w:firstLineChars="0"/>
                    <w:jc w:val="left"/>
                    <w:textAlignment w:val="auto"/>
                    <w:rPr>
                      <w:rFonts w:cs="Times New Roman"/>
                      <w:bCs/>
                      <w:sz w:val="21"/>
                      <w:szCs w:val="21"/>
                    </w:rPr>
                  </w:pPr>
                  <w:r>
                    <w:rPr>
                      <w:rFonts w:cs="Times New Roman"/>
                      <w:sz w:val="21"/>
                      <w:szCs w:val="21"/>
                    </w:rPr>
                    <w:t>设置1间危废暂存间，面积10m</w:t>
                  </w:r>
                  <w:r>
                    <w:rPr>
                      <w:rFonts w:cs="Times New Roman"/>
                      <w:sz w:val="21"/>
                      <w:szCs w:val="21"/>
                      <w:vertAlign w:val="superscript"/>
                    </w:rPr>
                    <w:t>2</w:t>
                  </w:r>
                  <w:r>
                    <w:rPr>
                      <w:rFonts w:cs="Times New Roman"/>
                      <w:sz w:val="21"/>
                      <w:szCs w:val="21"/>
                    </w:rPr>
                    <w:t>，危险废物分类收集，统一存放到危废暂存间，定期交由有资质的单位清运处理。</w:t>
                  </w:r>
                </w:p>
              </w:tc>
              <w:tc>
                <w:tcPr>
                  <w:tcW w:w="455" w:type="pct"/>
                  <w:tcBorders>
                    <w:tl2br w:val="nil"/>
                    <w:tr2bl w:val="nil"/>
                  </w:tcBorders>
                  <w:vAlign w:val="center"/>
                </w:tcPr>
                <w:p w14:paraId="246001DA">
                  <w:pPr>
                    <w:pStyle w:val="12"/>
                    <w:keepNext w:val="0"/>
                    <w:keepLines w:val="0"/>
                    <w:pageBreakBefore w:val="0"/>
                    <w:kinsoku/>
                    <w:wordWrap/>
                    <w:overflowPunct/>
                    <w:topLinePunct w:val="0"/>
                    <w:autoSpaceDE/>
                    <w:autoSpaceDN/>
                    <w:bidi w:val="0"/>
                    <w:spacing w:line="240" w:lineRule="auto"/>
                    <w:ind w:firstLine="0" w:firstLineChars="0"/>
                    <w:textAlignment w:val="auto"/>
                    <w:rPr>
                      <w:rFonts w:cs="Times New Roman"/>
                      <w:bCs/>
                      <w:sz w:val="21"/>
                      <w:szCs w:val="21"/>
                    </w:rPr>
                  </w:pPr>
                  <w:r>
                    <w:rPr>
                      <w:rFonts w:cs="Times New Roman"/>
                      <w:bCs/>
                      <w:sz w:val="21"/>
                      <w:szCs w:val="21"/>
                    </w:rPr>
                    <w:t>2</w:t>
                  </w:r>
                </w:p>
              </w:tc>
              <w:tc>
                <w:tcPr>
                  <w:tcW w:w="488" w:type="pct"/>
                  <w:tcBorders>
                    <w:tl2br w:val="nil"/>
                    <w:tr2bl w:val="nil"/>
                  </w:tcBorders>
                  <w:vAlign w:val="center"/>
                </w:tcPr>
                <w:p w14:paraId="4DBB2831">
                  <w:pPr>
                    <w:keepNext w:val="0"/>
                    <w:keepLines w:val="0"/>
                    <w:pageBreakBefore w:val="0"/>
                    <w:kinsoku/>
                    <w:wordWrap/>
                    <w:overflowPunct/>
                    <w:topLinePunct w:val="0"/>
                    <w:autoSpaceDE/>
                    <w:autoSpaceDN/>
                    <w:bidi w:val="0"/>
                    <w:spacing w:line="240" w:lineRule="auto"/>
                    <w:ind w:firstLine="0" w:firstLineChars="0"/>
                    <w:jc w:val="center"/>
                    <w:textAlignment w:val="auto"/>
                    <w:rPr>
                      <w:rFonts w:cs="Times New Roman"/>
                      <w:bCs/>
                      <w:sz w:val="21"/>
                      <w:szCs w:val="21"/>
                    </w:rPr>
                  </w:pPr>
                  <w:r>
                    <w:rPr>
                      <w:rFonts w:hint="eastAsia" w:cs="Times New Roman"/>
                      <w:bCs/>
                      <w:sz w:val="21"/>
                      <w:szCs w:val="21"/>
                      <w:lang w:val="en-US" w:eastAsia="zh-CN"/>
                    </w:rPr>
                    <w:t>新建</w:t>
                  </w:r>
                </w:p>
              </w:tc>
            </w:tr>
            <w:tr w14:paraId="73B01F63">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57" w:hRule="atLeast"/>
              </w:trPr>
              <w:tc>
                <w:tcPr>
                  <w:tcW w:w="509" w:type="pct"/>
                  <w:vMerge w:val="continue"/>
                  <w:tcBorders>
                    <w:tl2br w:val="nil"/>
                    <w:tr2bl w:val="nil"/>
                  </w:tcBorders>
                  <w:vAlign w:val="center"/>
                </w:tcPr>
                <w:p w14:paraId="73E608E6">
                  <w:pPr>
                    <w:pStyle w:val="12"/>
                    <w:keepNext w:val="0"/>
                    <w:keepLines w:val="0"/>
                    <w:pageBreakBefore w:val="0"/>
                    <w:kinsoku/>
                    <w:wordWrap/>
                    <w:overflowPunct/>
                    <w:topLinePunct w:val="0"/>
                    <w:autoSpaceDE/>
                    <w:autoSpaceDN/>
                    <w:bidi w:val="0"/>
                    <w:spacing w:line="240" w:lineRule="auto"/>
                    <w:ind w:firstLine="0" w:firstLineChars="0"/>
                    <w:textAlignment w:val="auto"/>
                    <w:rPr>
                      <w:rFonts w:cs="Times New Roman"/>
                      <w:bCs/>
                      <w:sz w:val="21"/>
                      <w:szCs w:val="21"/>
                    </w:rPr>
                  </w:pPr>
                </w:p>
              </w:tc>
              <w:tc>
                <w:tcPr>
                  <w:tcW w:w="524" w:type="pct"/>
                  <w:vMerge w:val="restart"/>
                  <w:tcBorders>
                    <w:tl2br w:val="nil"/>
                    <w:tr2bl w:val="nil"/>
                  </w:tcBorders>
                  <w:vAlign w:val="center"/>
                </w:tcPr>
                <w:p w14:paraId="547EAC00">
                  <w:pPr>
                    <w:pStyle w:val="12"/>
                    <w:keepNext w:val="0"/>
                    <w:keepLines w:val="0"/>
                    <w:pageBreakBefore w:val="0"/>
                    <w:kinsoku/>
                    <w:wordWrap/>
                    <w:overflowPunct/>
                    <w:topLinePunct w:val="0"/>
                    <w:autoSpaceDE/>
                    <w:autoSpaceDN/>
                    <w:bidi w:val="0"/>
                    <w:spacing w:line="240" w:lineRule="auto"/>
                    <w:ind w:firstLine="0" w:firstLineChars="0"/>
                    <w:textAlignment w:val="auto"/>
                    <w:rPr>
                      <w:rFonts w:cs="Times New Roman"/>
                      <w:bCs/>
                      <w:sz w:val="21"/>
                      <w:szCs w:val="21"/>
                    </w:rPr>
                  </w:pPr>
                  <w:r>
                    <w:rPr>
                      <w:rFonts w:cs="Times New Roman"/>
                      <w:bCs/>
                      <w:sz w:val="21"/>
                      <w:szCs w:val="21"/>
                    </w:rPr>
                    <w:t>地下水</w:t>
                  </w:r>
                  <w:r>
                    <w:rPr>
                      <w:rFonts w:hint="eastAsia" w:cs="Times New Roman"/>
                      <w:bCs/>
                      <w:sz w:val="21"/>
                      <w:szCs w:val="21"/>
                      <w:lang w:eastAsia="zh-CN"/>
                    </w:rPr>
                    <w:t>、</w:t>
                  </w:r>
                  <w:r>
                    <w:rPr>
                      <w:rFonts w:hint="eastAsia" w:cs="Times New Roman"/>
                      <w:bCs/>
                      <w:sz w:val="21"/>
                      <w:szCs w:val="21"/>
                      <w:lang w:val="en-US" w:eastAsia="zh-CN"/>
                    </w:rPr>
                    <w:t>土壤</w:t>
                  </w:r>
                  <w:r>
                    <w:rPr>
                      <w:rFonts w:cs="Times New Roman"/>
                      <w:bCs/>
                      <w:sz w:val="21"/>
                      <w:szCs w:val="21"/>
                    </w:rPr>
                    <w:t>防治措施</w:t>
                  </w:r>
                </w:p>
              </w:tc>
              <w:tc>
                <w:tcPr>
                  <w:tcW w:w="671" w:type="pct"/>
                  <w:tcBorders>
                    <w:tl2br w:val="nil"/>
                    <w:tr2bl w:val="nil"/>
                  </w:tcBorders>
                  <w:vAlign w:val="center"/>
                </w:tcPr>
                <w:p w14:paraId="30E357E9">
                  <w:pPr>
                    <w:pStyle w:val="12"/>
                    <w:keepNext w:val="0"/>
                    <w:keepLines w:val="0"/>
                    <w:pageBreakBefore w:val="0"/>
                    <w:kinsoku/>
                    <w:wordWrap/>
                    <w:overflowPunct/>
                    <w:topLinePunct w:val="0"/>
                    <w:autoSpaceDE/>
                    <w:autoSpaceDN/>
                    <w:bidi w:val="0"/>
                    <w:spacing w:line="240" w:lineRule="auto"/>
                    <w:ind w:firstLine="0" w:firstLineChars="0"/>
                    <w:textAlignment w:val="auto"/>
                    <w:rPr>
                      <w:rFonts w:cs="Times New Roman"/>
                      <w:bCs/>
                      <w:sz w:val="21"/>
                      <w:szCs w:val="21"/>
                    </w:rPr>
                  </w:pPr>
                  <w:r>
                    <w:rPr>
                      <w:rFonts w:cs="Times New Roman"/>
                      <w:sz w:val="21"/>
                      <w:szCs w:val="21"/>
                      <w:lang w:bidi="ar"/>
                    </w:rPr>
                    <w:t>重点防渗区</w:t>
                  </w:r>
                </w:p>
              </w:tc>
              <w:tc>
                <w:tcPr>
                  <w:tcW w:w="2351" w:type="pct"/>
                  <w:tcBorders>
                    <w:tl2br w:val="nil"/>
                    <w:tr2bl w:val="nil"/>
                  </w:tcBorders>
                  <w:vAlign w:val="center"/>
                </w:tcPr>
                <w:p w14:paraId="410A79D2">
                  <w:pPr>
                    <w:pStyle w:val="12"/>
                    <w:keepNext w:val="0"/>
                    <w:keepLines w:val="0"/>
                    <w:pageBreakBefore w:val="0"/>
                    <w:kinsoku/>
                    <w:wordWrap/>
                    <w:overflowPunct/>
                    <w:topLinePunct w:val="0"/>
                    <w:autoSpaceDE/>
                    <w:autoSpaceDN/>
                    <w:bidi w:val="0"/>
                    <w:spacing w:line="240" w:lineRule="auto"/>
                    <w:ind w:firstLine="0" w:firstLineChars="0"/>
                    <w:jc w:val="left"/>
                    <w:textAlignment w:val="auto"/>
                    <w:rPr>
                      <w:rFonts w:hint="eastAsia" w:cs="Times New Roman"/>
                      <w:sz w:val="21"/>
                      <w:szCs w:val="21"/>
                      <w:lang w:val="en-US" w:eastAsia="zh-CN" w:bidi="ar"/>
                    </w:rPr>
                  </w:pPr>
                  <w:r>
                    <w:rPr>
                      <w:rFonts w:hint="eastAsia" w:cs="Times New Roman"/>
                      <w:sz w:val="21"/>
                      <w:szCs w:val="21"/>
                      <w:lang w:val="en-US" w:eastAsia="zh-CN" w:bidi="ar"/>
                    </w:rPr>
                    <w:t>水基岩屑储存池、滤液池、干水基岩屑堆存区、热脱附干渣堆存区：采用抗渗混凝土硬化+2mmHDPE防渗膜；</w:t>
                  </w:r>
                </w:p>
                <w:p w14:paraId="2BD8AE9A">
                  <w:pPr>
                    <w:pStyle w:val="12"/>
                    <w:keepNext w:val="0"/>
                    <w:keepLines w:val="0"/>
                    <w:pageBreakBefore w:val="0"/>
                    <w:kinsoku/>
                    <w:wordWrap/>
                    <w:overflowPunct/>
                    <w:topLinePunct w:val="0"/>
                    <w:autoSpaceDE/>
                    <w:autoSpaceDN/>
                    <w:bidi w:val="0"/>
                    <w:spacing w:line="240" w:lineRule="auto"/>
                    <w:ind w:firstLine="0" w:firstLineChars="0"/>
                    <w:jc w:val="left"/>
                    <w:textAlignment w:val="auto"/>
                    <w:rPr>
                      <w:rFonts w:hint="default" w:eastAsia="宋体"/>
                      <w:sz w:val="21"/>
                      <w:szCs w:val="21"/>
                      <w:lang w:val="en-US" w:eastAsia="zh-CN"/>
                    </w:rPr>
                  </w:pPr>
                  <w:r>
                    <w:rPr>
                      <w:rFonts w:hint="eastAsia" w:cs="Times New Roman"/>
                      <w:sz w:val="21"/>
                      <w:szCs w:val="21"/>
                      <w:lang w:val="en-US" w:eastAsia="zh-CN" w:bidi="ar"/>
                    </w:rPr>
                    <w:t>危废暂存间、水基岩屑预处理区域：采用防渗混凝土硬化+2mm厚人工防渗材料</w:t>
                  </w:r>
                  <w:r>
                    <w:rPr>
                      <w:rFonts w:ascii="Times New Roman" w:hAnsi="Times New Roman" w:eastAsia="宋体" w:cs="Times New Roman"/>
                      <w:sz w:val="21"/>
                      <w:szCs w:val="21"/>
                    </w:rPr>
                    <w:t>，</w:t>
                  </w:r>
                  <w:r>
                    <w:rPr>
                      <w:rFonts w:hint="eastAsia" w:ascii="Times New Roman" w:hAnsi="Times New Roman" w:eastAsia="宋体" w:cs="Times New Roman"/>
                      <w:sz w:val="21"/>
                      <w:szCs w:val="21"/>
                      <w:lang w:val="en-US" w:eastAsia="zh-CN"/>
                    </w:rPr>
                    <w:t>确保满足等效黏土防渗层</w:t>
                  </w:r>
                  <w:r>
                    <w:rPr>
                      <w:rFonts w:hint="default" w:ascii="Times New Roman" w:hAnsi="Times New Roman" w:eastAsia="宋体" w:cs="Times New Roman"/>
                      <w:sz w:val="21"/>
                      <w:szCs w:val="21"/>
                      <w:lang w:val="en-US" w:eastAsia="zh-CN"/>
                    </w:rPr>
                    <w:t>Mb≥6m</w:t>
                  </w:r>
                  <w:r>
                    <w:rPr>
                      <w:rFonts w:hint="eastAsia" w:ascii="Times New Roman" w:hAnsi="Times New Roman" w:eastAsia="宋体" w:cs="Times New Roman"/>
                      <w:sz w:val="21"/>
                      <w:szCs w:val="21"/>
                      <w:lang w:val="en-US" w:eastAsia="zh-CN"/>
                    </w:rPr>
                    <w:t>，</w:t>
                  </w:r>
                  <w:r>
                    <w:rPr>
                      <w:rFonts w:hint="default" w:ascii="Times New Roman" w:hAnsi="Times New Roman" w:eastAsia="宋体" w:cs="Times New Roman"/>
                      <w:sz w:val="21"/>
                      <w:szCs w:val="21"/>
                      <w:lang w:val="en-US" w:eastAsia="zh-CN"/>
                    </w:rPr>
                    <w:t>k≤10 -7cm/s</w:t>
                  </w:r>
                  <w:r>
                    <w:rPr>
                      <w:rFonts w:hint="eastAsia" w:ascii="Times New Roman" w:hAnsi="Times New Roman" w:eastAsia="宋体" w:cs="Times New Roman"/>
                      <w:sz w:val="21"/>
                      <w:szCs w:val="21"/>
                      <w:lang w:val="en-US" w:eastAsia="zh-CN"/>
                    </w:rPr>
                    <w:t>的防渗技术要求</w:t>
                  </w:r>
                  <w:r>
                    <w:rPr>
                      <w:rFonts w:ascii="Times New Roman" w:hAnsi="Times New Roman" w:eastAsia="宋体" w:cs="Times New Roman"/>
                      <w:sz w:val="21"/>
                      <w:szCs w:val="21"/>
                    </w:rPr>
                    <w:t>。</w:t>
                  </w:r>
                </w:p>
              </w:tc>
              <w:tc>
                <w:tcPr>
                  <w:tcW w:w="455" w:type="pct"/>
                  <w:vMerge w:val="restart"/>
                  <w:tcBorders>
                    <w:tl2br w:val="nil"/>
                    <w:tr2bl w:val="nil"/>
                  </w:tcBorders>
                  <w:vAlign w:val="center"/>
                </w:tcPr>
                <w:p w14:paraId="0C6E94C0">
                  <w:pPr>
                    <w:pStyle w:val="12"/>
                    <w:keepNext w:val="0"/>
                    <w:keepLines w:val="0"/>
                    <w:pageBreakBefore w:val="0"/>
                    <w:kinsoku/>
                    <w:wordWrap/>
                    <w:overflowPunct/>
                    <w:topLinePunct w:val="0"/>
                    <w:autoSpaceDE/>
                    <w:autoSpaceDN/>
                    <w:bidi w:val="0"/>
                    <w:spacing w:line="240" w:lineRule="auto"/>
                    <w:ind w:firstLine="0" w:firstLineChars="0"/>
                    <w:textAlignment w:val="auto"/>
                    <w:rPr>
                      <w:rFonts w:hint="eastAsia" w:eastAsia="宋体" w:cs="Times New Roman"/>
                      <w:bCs/>
                      <w:sz w:val="21"/>
                      <w:szCs w:val="21"/>
                      <w:lang w:eastAsia="zh-CN"/>
                    </w:rPr>
                  </w:pPr>
                  <w:r>
                    <w:rPr>
                      <w:rFonts w:hint="eastAsia" w:cs="Times New Roman"/>
                      <w:bCs/>
                      <w:sz w:val="21"/>
                      <w:szCs w:val="21"/>
                      <w:lang w:val="en-US" w:eastAsia="zh-CN"/>
                    </w:rPr>
                    <w:t>5</w:t>
                  </w:r>
                </w:p>
              </w:tc>
              <w:tc>
                <w:tcPr>
                  <w:tcW w:w="488" w:type="pct"/>
                  <w:vMerge w:val="restart"/>
                  <w:tcBorders>
                    <w:tl2br w:val="nil"/>
                    <w:tr2bl w:val="nil"/>
                  </w:tcBorders>
                  <w:vAlign w:val="center"/>
                </w:tcPr>
                <w:p w14:paraId="7C970919">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eastAsia="宋体" w:cs="Times New Roman"/>
                      <w:bCs/>
                      <w:sz w:val="21"/>
                      <w:szCs w:val="21"/>
                      <w:lang w:val="en-US" w:eastAsia="zh-CN"/>
                    </w:rPr>
                  </w:pPr>
                  <w:r>
                    <w:rPr>
                      <w:rFonts w:hint="eastAsia" w:cs="Times New Roman"/>
                      <w:bCs/>
                      <w:sz w:val="21"/>
                      <w:szCs w:val="21"/>
                      <w:lang w:val="en-US" w:eastAsia="zh-CN"/>
                    </w:rPr>
                    <w:t>部分计入主体工程</w:t>
                  </w:r>
                </w:p>
              </w:tc>
            </w:tr>
            <w:tr w14:paraId="6CC3F27E">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57" w:hRule="atLeast"/>
              </w:trPr>
              <w:tc>
                <w:tcPr>
                  <w:tcW w:w="509" w:type="pct"/>
                  <w:vMerge w:val="continue"/>
                  <w:tcBorders>
                    <w:tl2br w:val="nil"/>
                    <w:tr2bl w:val="nil"/>
                  </w:tcBorders>
                  <w:vAlign w:val="center"/>
                </w:tcPr>
                <w:p w14:paraId="44309270">
                  <w:pPr>
                    <w:pStyle w:val="12"/>
                    <w:keepNext w:val="0"/>
                    <w:keepLines w:val="0"/>
                    <w:pageBreakBefore w:val="0"/>
                    <w:kinsoku/>
                    <w:wordWrap/>
                    <w:overflowPunct/>
                    <w:topLinePunct w:val="0"/>
                    <w:autoSpaceDE/>
                    <w:autoSpaceDN/>
                    <w:bidi w:val="0"/>
                    <w:spacing w:line="240" w:lineRule="auto"/>
                    <w:ind w:firstLine="0" w:firstLineChars="0"/>
                    <w:jc w:val="left"/>
                    <w:textAlignment w:val="auto"/>
                    <w:rPr>
                      <w:sz w:val="21"/>
                      <w:szCs w:val="21"/>
                    </w:rPr>
                  </w:pPr>
                </w:p>
              </w:tc>
              <w:tc>
                <w:tcPr>
                  <w:tcW w:w="524" w:type="pct"/>
                  <w:vMerge w:val="continue"/>
                  <w:tcBorders>
                    <w:tl2br w:val="nil"/>
                    <w:tr2bl w:val="nil"/>
                  </w:tcBorders>
                  <w:vAlign w:val="center"/>
                </w:tcPr>
                <w:p w14:paraId="28615460">
                  <w:pPr>
                    <w:pStyle w:val="12"/>
                    <w:keepNext w:val="0"/>
                    <w:keepLines w:val="0"/>
                    <w:pageBreakBefore w:val="0"/>
                    <w:kinsoku/>
                    <w:wordWrap/>
                    <w:overflowPunct/>
                    <w:topLinePunct w:val="0"/>
                    <w:autoSpaceDE/>
                    <w:autoSpaceDN/>
                    <w:bidi w:val="0"/>
                    <w:spacing w:line="240" w:lineRule="auto"/>
                    <w:ind w:firstLine="0" w:firstLineChars="0"/>
                    <w:jc w:val="left"/>
                    <w:textAlignment w:val="auto"/>
                    <w:rPr>
                      <w:sz w:val="21"/>
                      <w:szCs w:val="21"/>
                    </w:rPr>
                  </w:pPr>
                </w:p>
              </w:tc>
              <w:tc>
                <w:tcPr>
                  <w:tcW w:w="671" w:type="pct"/>
                  <w:tcBorders>
                    <w:tl2br w:val="nil"/>
                    <w:tr2bl w:val="nil"/>
                  </w:tcBorders>
                  <w:vAlign w:val="center"/>
                </w:tcPr>
                <w:p w14:paraId="23B6A062">
                  <w:pPr>
                    <w:pStyle w:val="12"/>
                    <w:keepNext w:val="0"/>
                    <w:keepLines w:val="0"/>
                    <w:pageBreakBefore w:val="0"/>
                    <w:kinsoku/>
                    <w:wordWrap/>
                    <w:overflowPunct/>
                    <w:topLinePunct w:val="0"/>
                    <w:autoSpaceDE/>
                    <w:autoSpaceDN/>
                    <w:bidi w:val="0"/>
                    <w:spacing w:line="240" w:lineRule="auto"/>
                    <w:ind w:firstLine="0" w:firstLineChars="0"/>
                    <w:jc w:val="left"/>
                    <w:textAlignment w:val="auto"/>
                    <w:rPr>
                      <w:rFonts w:cs="Times New Roman"/>
                      <w:bCs/>
                      <w:sz w:val="21"/>
                      <w:szCs w:val="21"/>
                    </w:rPr>
                  </w:pPr>
                  <w:r>
                    <w:rPr>
                      <w:rFonts w:hint="eastAsia" w:ascii="Times New Roman" w:hAnsi="Times New Roman" w:eastAsia="宋体" w:cs="Times New Roman"/>
                      <w:sz w:val="21"/>
                      <w:szCs w:val="21"/>
                      <w:lang w:val="en-US" w:eastAsia="zh-CN"/>
                    </w:rPr>
                    <w:t>一般防渗区</w:t>
                  </w:r>
                </w:p>
              </w:tc>
              <w:tc>
                <w:tcPr>
                  <w:tcW w:w="2351" w:type="pct"/>
                  <w:tcBorders>
                    <w:tl2br w:val="nil"/>
                    <w:tr2bl w:val="nil"/>
                  </w:tcBorders>
                  <w:vAlign w:val="center"/>
                </w:tcPr>
                <w:p w14:paraId="6248C56B">
                  <w:pPr>
                    <w:pStyle w:val="12"/>
                    <w:keepNext w:val="0"/>
                    <w:keepLines w:val="0"/>
                    <w:pageBreakBefore w:val="0"/>
                    <w:kinsoku/>
                    <w:wordWrap/>
                    <w:overflowPunct/>
                    <w:topLinePunct w:val="0"/>
                    <w:autoSpaceDE/>
                    <w:autoSpaceDN/>
                    <w:bidi w:val="0"/>
                    <w:spacing w:line="240" w:lineRule="auto"/>
                    <w:ind w:firstLine="0" w:firstLineChars="0"/>
                    <w:jc w:val="left"/>
                    <w:textAlignment w:val="auto"/>
                    <w:rPr>
                      <w:rFonts w:cs="Times New Roman"/>
                      <w:bCs/>
                      <w:sz w:val="21"/>
                      <w:szCs w:val="21"/>
                    </w:rPr>
                  </w:pPr>
                  <w:r>
                    <w:rPr>
                      <w:rFonts w:hint="eastAsia" w:cs="Times New Roman"/>
                      <w:sz w:val="21"/>
                      <w:szCs w:val="21"/>
                      <w:lang w:val="en-US" w:eastAsia="zh-CN"/>
                    </w:rPr>
                    <w:t>洗车区及生产车间其他区域：采用防渗混凝土硬化</w:t>
                  </w:r>
                  <w:r>
                    <w:rPr>
                      <w:rFonts w:hint="eastAsia" w:ascii="Times New Roman" w:hAnsi="Times New Roman" w:eastAsia="宋体" w:cs="Times New Roman"/>
                      <w:sz w:val="21"/>
                      <w:szCs w:val="21"/>
                      <w:lang w:val="en-US" w:eastAsia="zh-CN"/>
                    </w:rPr>
                    <w:t>，确保达到等效黏土防渗层</w:t>
                  </w:r>
                  <w:r>
                    <w:rPr>
                      <w:rFonts w:hint="default" w:ascii="Times New Roman" w:hAnsi="Times New Roman" w:eastAsia="宋体" w:cs="Times New Roman"/>
                      <w:sz w:val="21"/>
                      <w:szCs w:val="21"/>
                      <w:lang w:val="en-US" w:eastAsia="zh-CN"/>
                    </w:rPr>
                    <w:t>Mb≥1.5m</w:t>
                  </w:r>
                  <w:r>
                    <w:rPr>
                      <w:rFonts w:hint="eastAsia" w:ascii="Times New Roman" w:hAnsi="Times New Roman" w:eastAsia="宋体" w:cs="Times New Roman"/>
                      <w:sz w:val="21"/>
                      <w:szCs w:val="21"/>
                      <w:lang w:val="en-US" w:eastAsia="zh-CN"/>
                    </w:rPr>
                    <w:t>，</w:t>
                  </w:r>
                  <w:r>
                    <w:rPr>
                      <w:rFonts w:hint="default" w:ascii="Times New Roman" w:hAnsi="Times New Roman" w:eastAsia="宋体" w:cs="Times New Roman"/>
                      <w:sz w:val="21"/>
                      <w:szCs w:val="21"/>
                      <w:lang w:val="en-US" w:eastAsia="zh-CN"/>
                    </w:rPr>
                    <w:t>K≤10</w:t>
                  </w:r>
                  <w:r>
                    <w:rPr>
                      <w:rFonts w:hint="default" w:ascii="Times New Roman" w:hAnsi="Times New Roman" w:eastAsia="宋体" w:cs="Times New Roman"/>
                      <w:sz w:val="21"/>
                      <w:szCs w:val="21"/>
                      <w:vertAlign w:val="superscript"/>
                      <w:lang w:val="en-US" w:eastAsia="zh-CN"/>
                    </w:rPr>
                    <w:t>-7</w:t>
                  </w:r>
                  <w:r>
                    <w:rPr>
                      <w:rFonts w:hint="default" w:ascii="Times New Roman" w:hAnsi="Times New Roman" w:eastAsia="宋体" w:cs="Times New Roman"/>
                      <w:sz w:val="21"/>
                      <w:szCs w:val="21"/>
                      <w:lang w:val="en-US" w:eastAsia="zh-CN"/>
                    </w:rPr>
                    <w:t>cm/s</w:t>
                  </w:r>
                  <w:r>
                    <w:rPr>
                      <w:rFonts w:hint="eastAsia" w:ascii="Times New Roman" w:hAnsi="Times New Roman" w:eastAsia="宋体" w:cs="Times New Roman"/>
                      <w:sz w:val="21"/>
                      <w:szCs w:val="21"/>
                      <w:lang w:val="en-US" w:eastAsia="zh-CN"/>
                    </w:rPr>
                    <w:t>防渗技术要求</w:t>
                  </w:r>
                  <w:r>
                    <w:rPr>
                      <w:rFonts w:cs="Times New Roman"/>
                      <w:sz w:val="21"/>
                      <w:szCs w:val="21"/>
                      <w:lang w:bidi="ar"/>
                    </w:rPr>
                    <w:t>。</w:t>
                  </w:r>
                </w:p>
              </w:tc>
              <w:tc>
                <w:tcPr>
                  <w:tcW w:w="455" w:type="pct"/>
                  <w:vMerge w:val="continue"/>
                  <w:tcBorders>
                    <w:tl2br w:val="nil"/>
                    <w:tr2bl w:val="nil"/>
                  </w:tcBorders>
                  <w:vAlign w:val="center"/>
                </w:tcPr>
                <w:p w14:paraId="3F8F87C4">
                  <w:pPr>
                    <w:pStyle w:val="12"/>
                    <w:keepNext w:val="0"/>
                    <w:keepLines w:val="0"/>
                    <w:pageBreakBefore w:val="0"/>
                    <w:kinsoku/>
                    <w:wordWrap/>
                    <w:overflowPunct/>
                    <w:topLinePunct w:val="0"/>
                    <w:autoSpaceDE/>
                    <w:autoSpaceDN/>
                    <w:bidi w:val="0"/>
                    <w:spacing w:line="240" w:lineRule="auto"/>
                    <w:ind w:firstLine="0" w:firstLineChars="0"/>
                    <w:jc w:val="left"/>
                    <w:textAlignment w:val="auto"/>
                    <w:rPr>
                      <w:rFonts w:cs="Times New Roman"/>
                      <w:bCs/>
                      <w:sz w:val="21"/>
                      <w:szCs w:val="21"/>
                    </w:rPr>
                  </w:pPr>
                </w:p>
              </w:tc>
              <w:tc>
                <w:tcPr>
                  <w:tcW w:w="488" w:type="pct"/>
                  <w:vMerge w:val="continue"/>
                  <w:tcBorders>
                    <w:tl2br w:val="nil"/>
                    <w:tr2bl w:val="nil"/>
                  </w:tcBorders>
                  <w:vAlign w:val="center"/>
                </w:tcPr>
                <w:p w14:paraId="165B7490">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cs="Times New Roman"/>
                      <w:bCs/>
                      <w:sz w:val="21"/>
                      <w:szCs w:val="21"/>
                    </w:rPr>
                  </w:pPr>
                </w:p>
              </w:tc>
            </w:tr>
            <w:tr w14:paraId="6E6D2FAB">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57" w:hRule="atLeast"/>
              </w:trPr>
              <w:tc>
                <w:tcPr>
                  <w:tcW w:w="509" w:type="pct"/>
                  <w:vMerge w:val="continue"/>
                  <w:tcBorders>
                    <w:tl2br w:val="nil"/>
                    <w:tr2bl w:val="nil"/>
                  </w:tcBorders>
                  <w:vAlign w:val="center"/>
                </w:tcPr>
                <w:p w14:paraId="027E2411">
                  <w:pPr>
                    <w:pStyle w:val="12"/>
                    <w:keepNext w:val="0"/>
                    <w:keepLines w:val="0"/>
                    <w:pageBreakBefore w:val="0"/>
                    <w:kinsoku/>
                    <w:wordWrap/>
                    <w:overflowPunct/>
                    <w:topLinePunct w:val="0"/>
                    <w:autoSpaceDE/>
                    <w:autoSpaceDN/>
                    <w:bidi w:val="0"/>
                    <w:spacing w:line="240" w:lineRule="auto"/>
                    <w:ind w:firstLine="0" w:firstLineChars="0"/>
                    <w:jc w:val="left"/>
                    <w:textAlignment w:val="auto"/>
                    <w:rPr>
                      <w:rFonts w:cs="Times New Roman"/>
                      <w:bCs/>
                      <w:sz w:val="21"/>
                      <w:szCs w:val="21"/>
                    </w:rPr>
                  </w:pPr>
                </w:p>
              </w:tc>
              <w:tc>
                <w:tcPr>
                  <w:tcW w:w="524" w:type="pct"/>
                  <w:vMerge w:val="continue"/>
                  <w:tcBorders>
                    <w:tl2br w:val="nil"/>
                    <w:tr2bl w:val="nil"/>
                  </w:tcBorders>
                  <w:vAlign w:val="center"/>
                </w:tcPr>
                <w:p w14:paraId="7759F68B">
                  <w:pPr>
                    <w:pStyle w:val="12"/>
                    <w:keepNext w:val="0"/>
                    <w:keepLines w:val="0"/>
                    <w:pageBreakBefore w:val="0"/>
                    <w:kinsoku/>
                    <w:wordWrap/>
                    <w:overflowPunct/>
                    <w:topLinePunct w:val="0"/>
                    <w:autoSpaceDE/>
                    <w:autoSpaceDN/>
                    <w:bidi w:val="0"/>
                    <w:spacing w:line="240" w:lineRule="auto"/>
                    <w:ind w:firstLine="0" w:firstLineChars="0"/>
                    <w:jc w:val="left"/>
                    <w:textAlignment w:val="auto"/>
                    <w:rPr>
                      <w:rFonts w:cs="Times New Roman"/>
                      <w:bCs/>
                      <w:sz w:val="21"/>
                      <w:szCs w:val="21"/>
                    </w:rPr>
                  </w:pPr>
                </w:p>
              </w:tc>
              <w:tc>
                <w:tcPr>
                  <w:tcW w:w="671" w:type="pct"/>
                  <w:tcBorders>
                    <w:tl2br w:val="nil"/>
                    <w:tr2bl w:val="nil"/>
                  </w:tcBorders>
                  <w:vAlign w:val="center"/>
                </w:tcPr>
                <w:p w14:paraId="48A422C4">
                  <w:pPr>
                    <w:pStyle w:val="12"/>
                    <w:keepNext w:val="0"/>
                    <w:keepLines w:val="0"/>
                    <w:pageBreakBefore w:val="0"/>
                    <w:kinsoku/>
                    <w:wordWrap/>
                    <w:overflowPunct/>
                    <w:topLinePunct w:val="0"/>
                    <w:autoSpaceDE/>
                    <w:autoSpaceDN/>
                    <w:bidi w:val="0"/>
                    <w:spacing w:line="240" w:lineRule="auto"/>
                    <w:ind w:firstLine="0" w:firstLineChars="0"/>
                    <w:jc w:val="left"/>
                    <w:textAlignment w:val="auto"/>
                    <w:rPr>
                      <w:rFonts w:cs="Times New Roman"/>
                      <w:bCs/>
                      <w:sz w:val="21"/>
                      <w:szCs w:val="21"/>
                    </w:rPr>
                  </w:pPr>
                  <w:r>
                    <w:rPr>
                      <w:rFonts w:hint="eastAsia" w:cs="Times New Roman"/>
                      <w:sz w:val="21"/>
                      <w:szCs w:val="21"/>
                      <w:lang w:val="en-US" w:eastAsia="zh-CN"/>
                    </w:rPr>
                    <w:t>简单防渗区</w:t>
                  </w:r>
                </w:p>
              </w:tc>
              <w:tc>
                <w:tcPr>
                  <w:tcW w:w="2351" w:type="pct"/>
                  <w:tcBorders>
                    <w:tl2br w:val="nil"/>
                    <w:tr2bl w:val="nil"/>
                  </w:tcBorders>
                  <w:vAlign w:val="center"/>
                </w:tcPr>
                <w:p w14:paraId="76A53189">
                  <w:pPr>
                    <w:pStyle w:val="12"/>
                    <w:keepNext w:val="0"/>
                    <w:keepLines w:val="0"/>
                    <w:pageBreakBefore w:val="0"/>
                    <w:kinsoku/>
                    <w:wordWrap/>
                    <w:overflowPunct/>
                    <w:topLinePunct w:val="0"/>
                    <w:autoSpaceDE/>
                    <w:autoSpaceDN/>
                    <w:bidi w:val="0"/>
                    <w:spacing w:line="240" w:lineRule="auto"/>
                    <w:ind w:firstLine="0" w:firstLineChars="0"/>
                    <w:jc w:val="left"/>
                    <w:textAlignment w:val="auto"/>
                    <w:rPr>
                      <w:rFonts w:cs="Times New Roman"/>
                      <w:bCs/>
                      <w:sz w:val="21"/>
                      <w:szCs w:val="21"/>
                    </w:rPr>
                  </w:pPr>
                  <w:r>
                    <w:rPr>
                      <w:rFonts w:hint="eastAsia" w:cs="Times New Roman"/>
                      <w:sz w:val="21"/>
                      <w:szCs w:val="21"/>
                      <w:lang w:val="en-US" w:eastAsia="zh-CN"/>
                    </w:rPr>
                    <w:t>磅房、办公楼、宿舍楼等地面一般硬化。</w:t>
                  </w:r>
                </w:p>
              </w:tc>
              <w:tc>
                <w:tcPr>
                  <w:tcW w:w="455" w:type="pct"/>
                  <w:vMerge w:val="continue"/>
                  <w:tcBorders>
                    <w:tl2br w:val="nil"/>
                    <w:tr2bl w:val="nil"/>
                  </w:tcBorders>
                  <w:vAlign w:val="center"/>
                </w:tcPr>
                <w:p w14:paraId="2F8D7E75">
                  <w:pPr>
                    <w:pStyle w:val="12"/>
                    <w:keepNext w:val="0"/>
                    <w:keepLines w:val="0"/>
                    <w:pageBreakBefore w:val="0"/>
                    <w:kinsoku/>
                    <w:wordWrap/>
                    <w:overflowPunct/>
                    <w:topLinePunct w:val="0"/>
                    <w:autoSpaceDE/>
                    <w:autoSpaceDN/>
                    <w:bidi w:val="0"/>
                    <w:spacing w:line="240" w:lineRule="auto"/>
                    <w:ind w:firstLine="0" w:firstLineChars="0"/>
                    <w:jc w:val="left"/>
                    <w:textAlignment w:val="auto"/>
                    <w:rPr>
                      <w:rFonts w:cs="Times New Roman"/>
                      <w:bCs/>
                      <w:sz w:val="21"/>
                      <w:szCs w:val="21"/>
                    </w:rPr>
                  </w:pPr>
                </w:p>
              </w:tc>
              <w:tc>
                <w:tcPr>
                  <w:tcW w:w="488" w:type="pct"/>
                  <w:vMerge w:val="continue"/>
                  <w:tcBorders>
                    <w:tl2br w:val="nil"/>
                    <w:tr2bl w:val="nil"/>
                  </w:tcBorders>
                  <w:vAlign w:val="center"/>
                </w:tcPr>
                <w:p w14:paraId="27DEEDCE">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cs="Times New Roman"/>
                      <w:bCs/>
                      <w:sz w:val="21"/>
                      <w:szCs w:val="21"/>
                    </w:rPr>
                  </w:pPr>
                </w:p>
              </w:tc>
            </w:tr>
            <w:tr w14:paraId="7C72309E">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57" w:hRule="atLeast"/>
              </w:trPr>
              <w:tc>
                <w:tcPr>
                  <w:tcW w:w="509" w:type="pct"/>
                  <w:vMerge w:val="continue"/>
                  <w:tcBorders>
                    <w:tl2br w:val="nil"/>
                    <w:tr2bl w:val="nil"/>
                  </w:tcBorders>
                  <w:vAlign w:val="center"/>
                </w:tcPr>
                <w:p w14:paraId="27638F3C">
                  <w:pPr>
                    <w:pStyle w:val="12"/>
                    <w:keepNext w:val="0"/>
                    <w:keepLines w:val="0"/>
                    <w:pageBreakBefore w:val="0"/>
                    <w:kinsoku/>
                    <w:wordWrap/>
                    <w:overflowPunct/>
                    <w:topLinePunct w:val="0"/>
                    <w:autoSpaceDE/>
                    <w:autoSpaceDN/>
                    <w:bidi w:val="0"/>
                    <w:spacing w:line="240" w:lineRule="auto"/>
                    <w:ind w:firstLine="0" w:firstLineChars="0"/>
                    <w:textAlignment w:val="auto"/>
                    <w:rPr>
                      <w:rFonts w:cs="Times New Roman"/>
                      <w:bCs/>
                      <w:sz w:val="21"/>
                      <w:szCs w:val="21"/>
                    </w:rPr>
                  </w:pPr>
                </w:p>
              </w:tc>
              <w:tc>
                <w:tcPr>
                  <w:tcW w:w="524" w:type="pct"/>
                  <w:tcBorders>
                    <w:tl2br w:val="nil"/>
                    <w:tr2bl w:val="nil"/>
                  </w:tcBorders>
                  <w:vAlign w:val="center"/>
                </w:tcPr>
                <w:p w14:paraId="26626EE8">
                  <w:pPr>
                    <w:pStyle w:val="12"/>
                    <w:keepNext w:val="0"/>
                    <w:keepLines w:val="0"/>
                    <w:pageBreakBefore w:val="0"/>
                    <w:kinsoku/>
                    <w:wordWrap/>
                    <w:overflowPunct/>
                    <w:topLinePunct w:val="0"/>
                    <w:autoSpaceDE/>
                    <w:autoSpaceDN/>
                    <w:bidi w:val="0"/>
                    <w:spacing w:line="240" w:lineRule="auto"/>
                    <w:ind w:firstLine="0" w:firstLineChars="0"/>
                    <w:textAlignment w:val="auto"/>
                    <w:rPr>
                      <w:rFonts w:cs="Times New Roman"/>
                      <w:bCs/>
                      <w:sz w:val="21"/>
                      <w:szCs w:val="21"/>
                    </w:rPr>
                  </w:pPr>
                  <w:r>
                    <w:rPr>
                      <w:rFonts w:cs="Times New Roman"/>
                      <w:bCs/>
                      <w:sz w:val="21"/>
                      <w:szCs w:val="21"/>
                    </w:rPr>
                    <w:t>环境风险</w:t>
                  </w:r>
                </w:p>
              </w:tc>
              <w:tc>
                <w:tcPr>
                  <w:tcW w:w="3022" w:type="pct"/>
                  <w:gridSpan w:val="2"/>
                  <w:tcBorders>
                    <w:tl2br w:val="nil"/>
                    <w:tr2bl w:val="nil"/>
                  </w:tcBorders>
                  <w:vAlign w:val="center"/>
                </w:tcPr>
                <w:p w14:paraId="13E65584">
                  <w:pPr>
                    <w:pStyle w:val="12"/>
                    <w:keepNext w:val="0"/>
                    <w:keepLines w:val="0"/>
                    <w:pageBreakBefore w:val="0"/>
                    <w:kinsoku/>
                    <w:wordWrap/>
                    <w:overflowPunct/>
                    <w:topLinePunct w:val="0"/>
                    <w:autoSpaceDE/>
                    <w:autoSpaceDN/>
                    <w:bidi w:val="0"/>
                    <w:spacing w:line="240" w:lineRule="auto"/>
                    <w:ind w:firstLine="0" w:firstLineChars="0"/>
                    <w:textAlignment w:val="auto"/>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 xml:space="preserve">加强管理，设置消防器材、应急物资及风险防范措施，同 </w:t>
                  </w:r>
                </w:p>
                <w:p w14:paraId="6C6F1156">
                  <w:pPr>
                    <w:pStyle w:val="12"/>
                    <w:keepNext w:val="0"/>
                    <w:keepLines w:val="0"/>
                    <w:pageBreakBefore w:val="0"/>
                    <w:kinsoku/>
                    <w:wordWrap/>
                    <w:overflowPunct/>
                    <w:topLinePunct w:val="0"/>
                    <w:autoSpaceDE/>
                    <w:autoSpaceDN/>
                    <w:bidi w:val="0"/>
                    <w:spacing w:line="240" w:lineRule="auto"/>
                    <w:ind w:firstLine="0" w:firstLineChars="0"/>
                    <w:textAlignment w:val="auto"/>
                    <w:rPr>
                      <w:rFonts w:cs="Times New Roman"/>
                      <w:bCs/>
                      <w:sz w:val="21"/>
                      <w:szCs w:val="21"/>
                    </w:rPr>
                  </w:pPr>
                  <w:r>
                    <w:rPr>
                      <w:rFonts w:hint="eastAsia" w:ascii="Times New Roman" w:hAnsi="Times New Roman" w:eastAsia="宋体" w:cs="Times New Roman"/>
                      <w:sz w:val="21"/>
                      <w:szCs w:val="21"/>
                      <w:lang w:val="en-US" w:eastAsia="zh-CN"/>
                    </w:rPr>
                    <w:t>时在厂房设置门槛或墁坡</w:t>
                  </w:r>
                  <w:r>
                    <w:rPr>
                      <w:rFonts w:hint="eastAsia" w:cs="Times New Roman"/>
                      <w:sz w:val="21"/>
                      <w:szCs w:val="21"/>
                      <w:lang w:val="en-US" w:eastAsia="zh-CN"/>
                    </w:rPr>
                    <w:t>，</w:t>
                  </w:r>
                  <w:r>
                    <w:rPr>
                      <w:rFonts w:hint="eastAsia" w:ascii="Times New Roman" w:hAnsi="Times New Roman" w:eastAsia="宋体" w:cs="Times New Roman"/>
                      <w:sz w:val="21"/>
                      <w:szCs w:val="21"/>
                      <w:lang w:val="en-US" w:eastAsia="zh-CN"/>
                    </w:rPr>
                    <w:t>制定风险应急预案。</w:t>
                  </w:r>
                </w:p>
              </w:tc>
              <w:tc>
                <w:tcPr>
                  <w:tcW w:w="455" w:type="pct"/>
                  <w:tcBorders>
                    <w:tl2br w:val="nil"/>
                    <w:tr2bl w:val="nil"/>
                  </w:tcBorders>
                  <w:vAlign w:val="center"/>
                </w:tcPr>
                <w:p w14:paraId="073ADABD">
                  <w:pPr>
                    <w:pStyle w:val="12"/>
                    <w:keepNext w:val="0"/>
                    <w:keepLines w:val="0"/>
                    <w:pageBreakBefore w:val="0"/>
                    <w:kinsoku/>
                    <w:wordWrap/>
                    <w:overflowPunct/>
                    <w:topLinePunct w:val="0"/>
                    <w:autoSpaceDE/>
                    <w:autoSpaceDN/>
                    <w:bidi w:val="0"/>
                    <w:spacing w:line="240" w:lineRule="auto"/>
                    <w:ind w:firstLine="0" w:firstLineChars="0"/>
                    <w:textAlignment w:val="auto"/>
                    <w:rPr>
                      <w:rFonts w:hint="default" w:eastAsia="宋体" w:cs="Times New Roman"/>
                      <w:bCs/>
                      <w:sz w:val="21"/>
                      <w:szCs w:val="21"/>
                      <w:lang w:val="en-US" w:eastAsia="zh-CN"/>
                    </w:rPr>
                  </w:pPr>
                  <w:r>
                    <w:rPr>
                      <w:rFonts w:hint="eastAsia" w:cs="Times New Roman"/>
                      <w:bCs/>
                      <w:sz w:val="21"/>
                      <w:szCs w:val="21"/>
                      <w:lang w:val="en-US" w:eastAsia="zh-CN"/>
                    </w:rPr>
                    <w:t>4</w:t>
                  </w:r>
                </w:p>
              </w:tc>
              <w:tc>
                <w:tcPr>
                  <w:tcW w:w="488" w:type="pct"/>
                  <w:tcBorders>
                    <w:tl2br w:val="nil"/>
                    <w:tr2bl w:val="nil"/>
                  </w:tcBorders>
                  <w:vAlign w:val="center"/>
                </w:tcPr>
                <w:p w14:paraId="4D847FD5">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cs="Times New Roman"/>
                      <w:bCs/>
                      <w:sz w:val="21"/>
                      <w:szCs w:val="21"/>
                    </w:rPr>
                  </w:pPr>
                  <w:r>
                    <w:rPr>
                      <w:rFonts w:hint="eastAsia" w:cs="Times New Roman"/>
                      <w:bCs/>
                      <w:sz w:val="21"/>
                      <w:szCs w:val="21"/>
                      <w:lang w:val="en-US" w:eastAsia="zh-CN"/>
                    </w:rPr>
                    <w:t>新建</w:t>
                  </w:r>
                </w:p>
              </w:tc>
            </w:tr>
            <w:tr w14:paraId="46545372">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57" w:hRule="atLeast"/>
              </w:trPr>
              <w:tc>
                <w:tcPr>
                  <w:tcW w:w="4056" w:type="pct"/>
                  <w:gridSpan w:val="4"/>
                  <w:tcBorders>
                    <w:tl2br w:val="nil"/>
                    <w:tr2bl w:val="nil"/>
                  </w:tcBorders>
                  <w:vAlign w:val="center"/>
                </w:tcPr>
                <w:p w14:paraId="718D0F44">
                  <w:pPr>
                    <w:pStyle w:val="12"/>
                    <w:keepNext w:val="0"/>
                    <w:keepLines w:val="0"/>
                    <w:pageBreakBefore w:val="0"/>
                    <w:kinsoku/>
                    <w:wordWrap/>
                    <w:overflowPunct/>
                    <w:topLinePunct w:val="0"/>
                    <w:autoSpaceDE/>
                    <w:autoSpaceDN/>
                    <w:bidi w:val="0"/>
                    <w:spacing w:line="240" w:lineRule="auto"/>
                    <w:ind w:firstLine="0" w:firstLineChars="0"/>
                    <w:textAlignment w:val="auto"/>
                    <w:rPr>
                      <w:rFonts w:cs="Times New Roman"/>
                      <w:bCs/>
                      <w:sz w:val="21"/>
                      <w:szCs w:val="21"/>
                    </w:rPr>
                  </w:pPr>
                  <w:r>
                    <w:rPr>
                      <w:rFonts w:cs="Times New Roman"/>
                      <w:bCs/>
                      <w:sz w:val="21"/>
                      <w:szCs w:val="21"/>
                    </w:rPr>
                    <w:t>合计</w:t>
                  </w:r>
                </w:p>
              </w:tc>
              <w:tc>
                <w:tcPr>
                  <w:tcW w:w="455" w:type="pct"/>
                  <w:tcBorders>
                    <w:tl2br w:val="nil"/>
                    <w:tr2bl w:val="nil"/>
                  </w:tcBorders>
                  <w:vAlign w:val="center"/>
                </w:tcPr>
                <w:p w14:paraId="0024E0E4">
                  <w:pPr>
                    <w:pStyle w:val="12"/>
                    <w:keepNext w:val="0"/>
                    <w:keepLines w:val="0"/>
                    <w:pageBreakBefore w:val="0"/>
                    <w:kinsoku/>
                    <w:wordWrap/>
                    <w:overflowPunct/>
                    <w:topLinePunct w:val="0"/>
                    <w:autoSpaceDE/>
                    <w:autoSpaceDN/>
                    <w:bidi w:val="0"/>
                    <w:spacing w:line="240" w:lineRule="auto"/>
                    <w:ind w:firstLine="0" w:firstLineChars="0"/>
                    <w:textAlignment w:val="auto"/>
                    <w:rPr>
                      <w:rFonts w:hint="default" w:eastAsia="宋体" w:cs="Times New Roman"/>
                      <w:bCs/>
                      <w:sz w:val="21"/>
                      <w:szCs w:val="21"/>
                      <w:lang w:val="en-US" w:eastAsia="zh-CN"/>
                    </w:rPr>
                  </w:pPr>
                  <w:r>
                    <w:rPr>
                      <w:rFonts w:hint="eastAsia" w:cs="Times New Roman"/>
                      <w:bCs/>
                      <w:sz w:val="21"/>
                      <w:szCs w:val="21"/>
                      <w:lang w:val="en-US" w:eastAsia="zh-CN"/>
                    </w:rPr>
                    <w:t>141</w:t>
                  </w:r>
                </w:p>
              </w:tc>
              <w:tc>
                <w:tcPr>
                  <w:tcW w:w="488" w:type="pct"/>
                  <w:tcBorders>
                    <w:tl2br w:val="nil"/>
                    <w:tr2bl w:val="nil"/>
                  </w:tcBorders>
                  <w:vAlign w:val="center"/>
                </w:tcPr>
                <w:p w14:paraId="18C65010">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eastAsia="宋体" w:cs="Times New Roman"/>
                      <w:bCs/>
                      <w:sz w:val="21"/>
                      <w:szCs w:val="21"/>
                      <w:lang w:val="en-US" w:eastAsia="zh-CN"/>
                    </w:rPr>
                  </w:pPr>
                  <w:r>
                    <w:rPr>
                      <w:rFonts w:hint="eastAsia" w:cs="Times New Roman"/>
                      <w:bCs/>
                      <w:sz w:val="21"/>
                      <w:szCs w:val="21"/>
                      <w:lang w:val="en-US" w:eastAsia="zh-CN"/>
                    </w:rPr>
                    <w:t>/</w:t>
                  </w:r>
                </w:p>
              </w:tc>
            </w:tr>
          </w:tbl>
          <w:p w14:paraId="209449D8">
            <w:pPr>
              <w:pStyle w:val="11"/>
              <w:rPr>
                <w:rFonts w:cs="Times New Roman"/>
                <w:sz w:val="24"/>
              </w:rPr>
            </w:pPr>
          </w:p>
          <w:p w14:paraId="40C5A8D1">
            <w:pPr>
              <w:rPr>
                <w:rFonts w:cs="Times New Roman"/>
                <w:sz w:val="24"/>
              </w:rPr>
            </w:pPr>
          </w:p>
          <w:p w14:paraId="4D70DE38">
            <w:pPr>
              <w:rPr>
                <w:rFonts w:cs="Times New Roman"/>
                <w:sz w:val="24"/>
              </w:rPr>
            </w:pPr>
          </w:p>
          <w:p w14:paraId="2452B81B">
            <w:pPr>
              <w:rPr>
                <w:rFonts w:cs="Times New Roman"/>
                <w:sz w:val="24"/>
              </w:rPr>
            </w:pPr>
          </w:p>
          <w:p w14:paraId="7BA20E54">
            <w:pPr>
              <w:rPr>
                <w:rFonts w:cs="Times New Roman"/>
                <w:sz w:val="24"/>
              </w:rPr>
            </w:pPr>
          </w:p>
          <w:p w14:paraId="24A34006">
            <w:pPr>
              <w:rPr>
                <w:rFonts w:cs="Times New Roman"/>
                <w:sz w:val="24"/>
              </w:rPr>
            </w:pPr>
          </w:p>
          <w:p w14:paraId="0E095D4A">
            <w:pPr>
              <w:rPr>
                <w:rFonts w:cs="Times New Roman"/>
                <w:sz w:val="24"/>
              </w:rPr>
            </w:pPr>
          </w:p>
          <w:p w14:paraId="36465946">
            <w:pPr>
              <w:rPr>
                <w:rFonts w:cs="Times New Roman"/>
                <w:sz w:val="24"/>
              </w:rPr>
            </w:pPr>
          </w:p>
          <w:p w14:paraId="4323A1C6">
            <w:pPr>
              <w:rPr>
                <w:rFonts w:cs="Times New Roman"/>
                <w:sz w:val="24"/>
              </w:rPr>
            </w:pPr>
          </w:p>
          <w:p w14:paraId="7957D4E7">
            <w:pPr>
              <w:rPr>
                <w:rFonts w:cs="Times New Roman"/>
                <w:sz w:val="24"/>
              </w:rPr>
            </w:pPr>
          </w:p>
          <w:p w14:paraId="6E9C13B0">
            <w:pPr>
              <w:rPr>
                <w:rFonts w:cs="Times New Roman"/>
                <w:sz w:val="24"/>
              </w:rPr>
            </w:pPr>
          </w:p>
          <w:p w14:paraId="4E89EFDE">
            <w:pPr>
              <w:ind w:firstLine="0" w:firstLineChars="0"/>
              <w:rPr>
                <w:rFonts w:cs="Times New Roman"/>
                <w:sz w:val="24"/>
              </w:rPr>
            </w:pPr>
          </w:p>
          <w:p w14:paraId="60768BBB">
            <w:pPr>
              <w:ind w:firstLine="0" w:firstLineChars="0"/>
              <w:rPr>
                <w:rFonts w:cs="Times New Roman"/>
                <w:sz w:val="24"/>
              </w:rPr>
            </w:pPr>
          </w:p>
          <w:p w14:paraId="6AD5DB86">
            <w:pPr>
              <w:ind w:firstLine="0" w:firstLineChars="0"/>
              <w:rPr>
                <w:rFonts w:cs="Times New Roman"/>
                <w:sz w:val="24"/>
              </w:rPr>
            </w:pPr>
          </w:p>
          <w:p w14:paraId="5BF6F172">
            <w:pPr>
              <w:rPr>
                <w:rFonts w:cs="Times New Roman"/>
                <w:sz w:val="24"/>
              </w:rPr>
            </w:pPr>
          </w:p>
          <w:p w14:paraId="6AB5EF07">
            <w:pPr>
              <w:rPr>
                <w:rFonts w:cs="Times New Roman"/>
                <w:sz w:val="24"/>
              </w:rPr>
            </w:pPr>
          </w:p>
          <w:p w14:paraId="48499CE5">
            <w:pPr>
              <w:ind w:left="0" w:leftChars="0" w:firstLine="0" w:firstLineChars="0"/>
              <w:rPr>
                <w:rFonts w:cs="Times New Roman"/>
              </w:rPr>
            </w:pPr>
          </w:p>
        </w:tc>
      </w:tr>
    </w:tbl>
    <w:p w14:paraId="25A9058D">
      <w:pPr>
        <w:pStyle w:val="2"/>
        <w:rPr>
          <w:rFonts w:ascii="Times New Roman" w:hAnsi="Times New Roman"/>
        </w:rPr>
        <w:sectPr>
          <w:pgSz w:w="11906" w:h="16838"/>
          <w:pgMar w:top="1440" w:right="1080" w:bottom="1440" w:left="1080" w:header="851" w:footer="567" w:gutter="0"/>
          <w:cols w:space="425" w:num="1"/>
          <w:docGrid w:type="lines" w:linePitch="326" w:charSpace="0"/>
        </w:sectPr>
      </w:pPr>
    </w:p>
    <w:p w14:paraId="574B187D">
      <w:pPr>
        <w:pStyle w:val="2"/>
        <w:rPr>
          <w:rFonts w:ascii="Times New Roman" w:hAnsi="Times New Roman"/>
        </w:rPr>
      </w:pPr>
      <w:bookmarkStart w:id="84" w:name="_Toc30635"/>
      <w:r>
        <w:rPr>
          <w:rFonts w:ascii="Times New Roman" w:hAnsi="Times New Roman"/>
        </w:rPr>
        <w:t>环境保护措施监督检查清单</w:t>
      </w:r>
      <w:bookmarkEnd w:id="84"/>
    </w:p>
    <w:tbl>
      <w:tblPr>
        <w:tblStyle w:val="26"/>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226"/>
        <w:gridCol w:w="729"/>
        <w:gridCol w:w="1223"/>
        <w:gridCol w:w="1125"/>
        <w:gridCol w:w="3002"/>
        <w:gridCol w:w="2657"/>
      </w:tblGrid>
      <w:tr w14:paraId="2D9269C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615" w:type="pct"/>
            <w:tcBorders>
              <w:tl2br w:val="single" w:color="auto" w:sz="4" w:space="0"/>
            </w:tcBorders>
            <w:vAlign w:val="center"/>
          </w:tcPr>
          <w:p w14:paraId="220586A1">
            <w:pPr>
              <w:pStyle w:val="20"/>
              <w:spacing w:line="240" w:lineRule="auto"/>
              <w:rPr>
                <w:rFonts w:cs="Times New Roman"/>
                <w:b/>
                <w:bCs/>
              </w:rPr>
            </w:pPr>
            <w:r>
              <w:rPr>
                <w:rFonts w:cs="Times New Roman"/>
                <w:b/>
                <w:bCs/>
              </w:rPr>
              <w:t>内容</w:t>
            </w:r>
          </w:p>
          <w:p w14:paraId="490AA135">
            <w:pPr>
              <w:pStyle w:val="20"/>
              <w:spacing w:line="240" w:lineRule="auto"/>
              <w:rPr>
                <w:rFonts w:cs="Times New Roman"/>
                <w:b/>
                <w:bCs/>
              </w:rPr>
            </w:pPr>
          </w:p>
          <w:p w14:paraId="37D75C79">
            <w:pPr>
              <w:pStyle w:val="20"/>
              <w:spacing w:line="240" w:lineRule="auto"/>
              <w:rPr>
                <w:rFonts w:cs="Times New Roman"/>
                <w:b/>
                <w:bCs/>
              </w:rPr>
            </w:pPr>
            <w:r>
              <w:rPr>
                <w:rFonts w:cs="Times New Roman"/>
                <w:b/>
                <w:bCs/>
              </w:rPr>
              <w:t>要素</w:t>
            </w:r>
          </w:p>
        </w:tc>
        <w:tc>
          <w:tcPr>
            <w:tcW w:w="979" w:type="pct"/>
            <w:gridSpan w:val="2"/>
            <w:vAlign w:val="center"/>
          </w:tcPr>
          <w:p w14:paraId="5C036F36">
            <w:pPr>
              <w:pStyle w:val="20"/>
              <w:spacing w:line="240" w:lineRule="auto"/>
              <w:rPr>
                <w:rFonts w:cs="Times New Roman"/>
                <w:b/>
                <w:bCs/>
              </w:rPr>
            </w:pPr>
            <w:r>
              <w:rPr>
                <w:rFonts w:cs="Times New Roman"/>
                <w:b/>
                <w:bCs/>
              </w:rPr>
              <w:t>排放口(编号、名称)/污染源</w:t>
            </w:r>
          </w:p>
        </w:tc>
        <w:tc>
          <w:tcPr>
            <w:tcW w:w="564" w:type="pct"/>
            <w:vAlign w:val="center"/>
          </w:tcPr>
          <w:p w14:paraId="0ACE61FB">
            <w:pPr>
              <w:pStyle w:val="20"/>
              <w:spacing w:line="240" w:lineRule="auto"/>
              <w:rPr>
                <w:rFonts w:cs="Times New Roman"/>
                <w:b/>
                <w:bCs/>
              </w:rPr>
            </w:pPr>
            <w:r>
              <w:rPr>
                <w:rFonts w:cs="Times New Roman"/>
                <w:b/>
                <w:bCs/>
              </w:rPr>
              <w:t>污染物项目</w:t>
            </w:r>
          </w:p>
        </w:tc>
        <w:tc>
          <w:tcPr>
            <w:tcW w:w="1506" w:type="pct"/>
            <w:vAlign w:val="center"/>
          </w:tcPr>
          <w:p w14:paraId="2A919B39">
            <w:pPr>
              <w:pStyle w:val="20"/>
              <w:spacing w:line="240" w:lineRule="auto"/>
              <w:rPr>
                <w:rFonts w:cs="Times New Roman"/>
                <w:b/>
                <w:bCs/>
              </w:rPr>
            </w:pPr>
            <w:r>
              <w:rPr>
                <w:rFonts w:cs="Times New Roman"/>
                <w:b/>
                <w:bCs/>
              </w:rPr>
              <w:t>环境保护措施</w:t>
            </w:r>
          </w:p>
        </w:tc>
        <w:tc>
          <w:tcPr>
            <w:tcW w:w="1333" w:type="pct"/>
            <w:vAlign w:val="center"/>
          </w:tcPr>
          <w:p w14:paraId="2EFCA6A9">
            <w:pPr>
              <w:pStyle w:val="20"/>
              <w:spacing w:line="240" w:lineRule="auto"/>
              <w:rPr>
                <w:rFonts w:cs="Times New Roman"/>
                <w:b/>
                <w:bCs/>
              </w:rPr>
            </w:pPr>
            <w:r>
              <w:rPr>
                <w:rFonts w:cs="Times New Roman"/>
                <w:b/>
                <w:bCs/>
              </w:rPr>
              <w:t>执行标准</w:t>
            </w:r>
          </w:p>
        </w:tc>
      </w:tr>
      <w:tr w14:paraId="645E857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615" w:type="pct"/>
            <w:vMerge w:val="restart"/>
            <w:vAlign w:val="center"/>
          </w:tcPr>
          <w:p w14:paraId="64F0BC9A">
            <w:pPr>
              <w:pStyle w:val="20"/>
              <w:spacing w:line="240" w:lineRule="auto"/>
              <w:rPr>
                <w:rFonts w:cs="Times New Roman"/>
              </w:rPr>
            </w:pPr>
            <w:r>
              <w:rPr>
                <w:rFonts w:cs="Times New Roman"/>
              </w:rPr>
              <w:t>大气环境</w:t>
            </w:r>
          </w:p>
        </w:tc>
        <w:tc>
          <w:tcPr>
            <w:tcW w:w="979" w:type="pct"/>
            <w:gridSpan w:val="2"/>
            <w:vMerge w:val="restart"/>
            <w:vAlign w:val="center"/>
          </w:tcPr>
          <w:p w14:paraId="0C4F8488">
            <w:pPr>
              <w:pStyle w:val="20"/>
              <w:spacing w:line="240" w:lineRule="auto"/>
              <w:rPr>
                <w:rFonts w:cs="Times New Roman"/>
              </w:rPr>
            </w:pPr>
            <w:r>
              <w:rPr>
                <w:rFonts w:hint="eastAsia" w:cs="Times New Roman"/>
                <w:lang w:val="en-US" w:eastAsia="zh-CN"/>
              </w:rPr>
              <w:t>煅烧废气</w:t>
            </w:r>
            <w:r>
              <w:rPr>
                <w:rFonts w:cs="Times New Roman"/>
              </w:rPr>
              <w:t>（DA001）</w:t>
            </w:r>
          </w:p>
        </w:tc>
        <w:tc>
          <w:tcPr>
            <w:tcW w:w="564" w:type="pct"/>
            <w:vAlign w:val="center"/>
          </w:tcPr>
          <w:p w14:paraId="619C09B5">
            <w:pPr>
              <w:pStyle w:val="20"/>
              <w:spacing w:line="240" w:lineRule="auto"/>
              <w:rPr>
                <w:rFonts w:hint="default" w:eastAsia="宋体" w:cs="Times New Roman"/>
                <w:lang w:val="en-US" w:eastAsia="zh-CN"/>
              </w:rPr>
            </w:pPr>
            <w:r>
              <w:rPr>
                <w:rFonts w:cs="Times New Roman"/>
              </w:rPr>
              <w:t>颗粒物</w:t>
            </w:r>
            <w:r>
              <w:rPr>
                <w:rFonts w:hint="eastAsia" w:cs="Times New Roman"/>
                <w:lang w:eastAsia="zh-CN"/>
              </w:rPr>
              <w:t>、</w:t>
            </w:r>
            <w:r>
              <w:rPr>
                <w:rFonts w:hint="eastAsia" w:cs="Times New Roman"/>
                <w:lang w:val="en-US" w:eastAsia="zh-CN"/>
              </w:rPr>
              <w:t>氟化物</w:t>
            </w:r>
          </w:p>
        </w:tc>
        <w:tc>
          <w:tcPr>
            <w:tcW w:w="1506" w:type="pct"/>
            <w:vMerge w:val="restart"/>
            <w:vAlign w:val="center"/>
          </w:tcPr>
          <w:p w14:paraId="3A2D4D58">
            <w:pPr>
              <w:pStyle w:val="20"/>
              <w:spacing w:line="240" w:lineRule="auto"/>
              <w:rPr>
                <w:rFonts w:hint="default" w:eastAsia="宋体" w:cs="Times New Roman"/>
                <w:lang w:val="en-US" w:eastAsia="zh-CN"/>
              </w:rPr>
            </w:pPr>
            <w:r>
              <w:rPr>
                <w:rFonts w:hint="eastAsia" w:cs="Times New Roman"/>
                <w:lang w:val="en-US" w:eastAsia="zh-CN"/>
              </w:rPr>
              <w:t>采用低氮燃烧技术；废气经收集后经旋风除尘器+布袋除尘器1#+活性炭喷射+布袋除尘器2#+3座脱酸塔处理后，经1根25m高排气筒（DA001）排放</w:t>
            </w:r>
          </w:p>
        </w:tc>
        <w:tc>
          <w:tcPr>
            <w:tcW w:w="1333" w:type="pct"/>
            <w:vAlign w:val="center"/>
          </w:tcPr>
          <w:p w14:paraId="2C790451">
            <w:pPr>
              <w:pStyle w:val="20"/>
              <w:spacing w:line="240" w:lineRule="auto"/>
            </w:pPr>
            <w:r>
              <w:rPr>
                <w:rFonts w:hint="eastAsia"/>
                <w:color w:val="auto"/>
                <w:sz w:val="24"/>
                <w:lang w:val="en-US" w:eastAsia="zh-CN"/>
              </w:rPr>
              <w:t>《工业炉窑大气污染物排放标准》（G9078-1996）中非金属焙（煅）烧炉窑二级标准限值</w:t>
            </w:r>
          </w:p>
        </w:tc>
      </w:tr>
      <w:tr w14:paraId="77A868C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615" w:type="pct"/>
            <w:vMerge w:val="continue"/>
            <w:vAlign w:val="center"/>
          </w:tcPr>
          <w:p w14:paraId="73894630">
            <w:pPr>
              <w:pStyle w:val="20"/>
              <w:spacing w:line="240" w:lineRule="auto"/>
              <w:rPr>
                <w:rFonts w:cs="Times New Roman"/>
              </w:rPr>
            </w:pPr>
          </w:p>
        </w:tc>
        <w:tc>
          <w:tcPr>
            <w:tcW w:w="979" w:type="pct"/>
            <w:gridSpan w:val="2"/>
            <w:vMerge w:val="continue"/>
            <w:vAlign w:val="center"/>
          </w:tcPr>
          <w:p w14:paraId="3BED927C">
            <w:pPr>
              <w:pStyle w:val="20"/>
              <w:spacing w:line="240" w:lineRule="auto"/>
              <w:rPr>
                <w:rFonts w:hint="eastAsia" w:cs="Times New Roman"/>
                <w:lang w:val="en-US" w:eastAsia="zh-CN"/>
              </w:rPr>
            </w:pPr>
          </w:p>
        </w:tc>
        <w:tc>
          <w:tcPr>
            <w:tcW w:w="564" w:type="pct"/>
            <w:vAlign w:val="center"/>
          </w:tcPr>
          <w:p w14:paraId="45BA3F69">
            <w:pPr>
              <w:pStyle w:val="20"/>
              <w:spacing w:line="240" w:lineRule="auto"/>
              <w:rPr>
                <w:rFonts w:hint="default" w:eastAsia="宋体" w:cs="Times New Roman"/>
                <w:lang w:val="en-US" w:eastAsia="zh-CN"/>
              </w:rPr>
            </w:pPr>
            <w:r>
              <w:rPr>
                <w:rFonts w:hint="eastAsia" w:cs="Times New Roman"/>
                <w:lang w:val="en-US" w:eastAsia="zh-CN"/>
              </w:rPr>
              <w:t>臭气浓度</w:t>
            </w:r>
          </w:p>
        </w:tc>
        <w:tc>
          <w:tcPr>
            <w:tcW w:w="1506" w:type="pct"/>
            <w:vMerge w:val="continue"/>
            <w:vAlign w:val="center"/>
          </w:tcPr>
          <w:p w14:paraId="0202B4EE">
            <w:pPr>
              <w:pStyle w:val="20"/>
              <w:spacing w:line="240" w:lineRule="auto"/>
              <w:rPr>
                <w:rFonts w:hint="eastAsia" w:cs="Times New Roman"/>
                <w:lang w:val="en-US" w:eastAsia="zh-CN"/>
              </w:rPr>
            </w:pPr>
          </w:p>
        </w:tc>
        <w:tc>
          <w:tcPr>
            <w:tcW w:w="1333" w:type="pct"/>
            <w:vAlign w:val="center"/>
          </w:tcPr>
          <w:p w14:paraId="7CC521BA">
            <w:pPr>
              <w:pStyle w:val="20"/>
              <w:spacing w:line="240" w:lineRule="auto"/>
              <w:rPr>
                <w:rFonts w:hint="eastAsia"/>
                <w:color w:val="auto"/>
                <w:sz w:val="24"/>
                <w:lang w:val="en-US" w:eastAsia="zh-CN"/>
              </w:rPr>
            </w:pPr>
            <w:r>
              <w:rPr>
                <w:rFonts w:hint="eastAsia"/>
                <w:lang w:val="en-US" w:eastAsia="zh-CN"/>
              </w:rPr>
              <w:t>《恶臭污染物排放标准》（GB14554-1993）</w:t>
            </w:r>
          </w:p>
        </w:tc>
      </w:tr>
      <w:tr w14:paraId="3DC230F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615" w:type="pct"/>
            <w:vMerge w:val="continue"/>
            <w:vAlign w:val="center"/>
          </w:tcPr>
          <w:p w14:paraId="68FA80BE">
            <w:pPr>
              <w:pStyle w:val="20"/>
              <w:spacing w:line="240" w:lineRule="auto"/>
            </w:pPr>
          </w:p>
        </w:tc>
        <w:tc>
          <w:tcPr>
            <w:tcW w:w="979" w:type="pct"/>
            <w:gridSpan w:val="2"/>
            <w:vMerge w:val="continue"/>
            <w:vAlign w:val="center"/>
          </w:tcPr>
          <w:p w14:paraId="6ECCF27C">
            <w:pPr>
              <w:pStyle w:val="20"/>
              <w:spacing w:line="240" w:lineRule="auto"/>
            </w:pPr>
          </w:p>
        </w:tc>
        <w:tc>
          <w:tcPr>
            <w:tcW w:w="564" w:type="pct"/>
            <w:vAlign w:val="center"/>
          </w:tcPr>
          <w:p w14:paraId="6E8DFCD9">
            <w:pPr>
              <w:pStyle w:val="20"/>
              <w:spacing w:line="240" w:lineRule="auto"/>
              <w:rPr>
                <w:rFonts w:cs="Times New Roman"/>
              </w:rPr>
            </w:pPr>
            <w:r>
              <w:rPr>
                <w:rFonts w:hint="eastAsia" w:cs="Times New Roman"/>
                <w:lang w:val="en-US" w:eastAsia="zh-CN"/>
              </w:rPr>
              <w:t>二氧化硫、氮氧化物</w:t>
            </w:r>
          </w:p>
        </w:tc>
        <w:tc>
          <w:tcPr>
            <w:tcW w:w="1506" w:type="pct"/>
            <w:vMerge w:val="continue"/>
            <w:vAlign w:val="center"/>
          </w:tcPr>
          <w:p w14:paraId="02E45CE2">
            <w:pPr>
              <w:pStyle w:val="20"/>
              <w:spacing w:line="240" w:lineRule="auto"/>
              <w:rPr>
                <w:rFonts w:cs="Times New Roman"/>
              </w:rPr>
            </w:pPr>
          </w:p>
        </w:tc>
        <w:tc>
          <w:tcPr>
            <w:tcW w:w="1333" w:type="pct"/>
            <w:vAlign w:val="center"/>
          </w:tcPr>
          <w:p w14:paraId="1020AC02">
            <w:pPr>
              <w:pStyle w:val="20"/>
              <w:spacing w:line="240" w:lineRule="auto"/>
              <w:rPr>
                <w:rFonts w:cs="Times New Roman"/>
              </w:rPr>
            </w:pPr>
            <w:r>
              <w:rPr>
                <w:rFonts w:hint="eastAsia"/>
                <w:color w:val="auto"/>
                <w:sz w:val="24"/>
                <w:lang w:eastAsia="zh-CN"/>
              </w:rPr>
              <w:t>《关于印发&lt;工业炉窑大气污染综合治理方案&gt;的通知》（环大气[2019]56号）</w:t>
            </w:r>
            <w:r>
              <w:rPr>
                <w:rFonts w:hint="eastAsia"/>
                <w:color w:val="auto"/>
                <w:sz w:val="24"/>
              </w:rPr>
              <w:t>表2中排放限值要求</w:t>
            </w:r>
          </w:p>
        </w:tc>
      </w:tr>
      <w:tr w14:paraId="65B5806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615" w:type="pct"/>
            <w:vMerge w:val="continue"/>
            <w:vAlign w:val="center"/>
          </w:tcPr>
          <w:p w14:paraId="35C1E10C">
            <w:pPr>
              <w:pStyle w:val="20"/>
              <w:spacing w:line="240" w:lineRule="auto"/>
              <w:rPr>
                <w:rFonts w:cs="Times New Roman"/>
              </w:rPr>
            </w:pPr>
          </w:p>
        </w:tc>
        <w:tc>
          <w:tcPr>
            <w:tcW w:w="979" w:type="pct"/>
            <w:gridSpan w:val="2"/>
            <w:vMerge w:val="continue"/>
            <w:vAlign w:val="center"/>
          </w:tcPr>
          <w:p w14:paraId="7C81F5C3">
            <w:pPr>
              <w:pStyle w:val="20"/>
              <w:spacing w:line="240" w:lineRule="auto"/>
              <w:rPr>
                <w:rFonts w:cs="Times New Roman"/>
              </w:rPr>
            </w:pPr>
          </w:p>
        </w:tc>
        <w:tc>
          <w:tcPr>
            <w:tcW w:w="564" w:type="pct"/>
            <w:vAlign w:val="center"/>
          </w:tcPr>
          <w:p w14:paraId="7C9BE621">
            <w:pPr>
              <w:pStyle w:val="20"/>
              <w:spacing w:line="240" w:lineRule="auto"/>
              <w:rPr>
                <w:rFonts w:cs="Times New Roman"/>
              </w:rPr>
            </w:pPr>
            <w:r>
              <w:rPr>
                <w:rFonts w:hint="eastAsia" w:cs="Times New Roman"/>
                <w:lang w:val="en-US" w:eastAsia="zh-CN"/>
              </w:rPr>
              <w:t>二噁英</w:t>
            </w:r>
          </w:p>
        </w:tc>
        <w:tc>
          <w:tcPr>
            <w:tcW w:w="1506" w:type="pct"/>
            <w:vMerge w:val="continue"/>
            <w:vAlign w:val="center"/>
          </w:tcPr>
          <w:p w14:paraId="0AFD6037">
            <w:pPr>
              <w:pStyle w:val="20"/>
              <w:spacing w:line="240" w:lineRule="auto"/>
              <w:rPr>
                <w:rFonts w:cs="Times New Roman"/>
              </w:rPr>
            </w:pPr>
          </w:p>
        </w:tc>
        <w:tc>
          <w:tcPr>
            <w:tcW w:w="1333" w:type="pct"/>
            <w:vAlign w:val="center"/>
          </w:tcPr>
          <w:p w14:paraId="58C6DE76">
            <w:pPr>
              <w:pStyle w:val="20"/>
              <w:spacing w:line="240" w:lineRule="auto"/>
              <w:rPr>
                <w:rFonts w:hint="eastAsia" w:eastAsia="宋体" w:cs="Times New Roman"/>
                <w:lang w:eastAsia="zh-CN"/>
              </w:rPr>
            </w:pPr>
            <w:r>
              <w:rPr>
                <w:rFonts w:hint="eastAsia"/>
                <w:color w:val="auto"/>
                <w:sz w:val="24"/>
                <w:lang w:eastAsia="zh-CN"/>
              </w:rPr>
              <w:t>《危险废物焚烧污染控制标准》（GB18484-2020）</w:t>
            </w:r>
          </w:p>
        </w:tc>
      </w:tr>
      <w:tr w14:paraId="5BEE52A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56" w:hRule="atLeast"/>
          <w:jc w:val="center"/>
        </w:trPr>
        <w:tc>
          <w:tcPr>
            <w:tcW w:w="615" w:type="pct"/>
            <w:vMerge w:val="continue"/>
            <w:vAlign w:val="center"/>
          </w:tcPr>
          <w:p w14:paraId="6F622332">
            <w:pPr>
              <w:pStyle w:val="20"/>
              <w:spacing w:line="240" w:lineRule="auto"/>
              <w:rPr>
                <w:rFonts w:cs="Times New Roman"/>
              </w:rPr>
            </w:pPr>
          </w:p>
        </w:tc>
        <w:tc>
          <w:tcPr>
            <w:tcW w:w="979" w:type="pct"/>
            <w:gridSpan w:val="2"/>
            <w:vMerge w:val="continue"/>
            <w:vAlign w:val="center"/>
          </w:tcPr>
          <w:p w14:paraId="448D5F76">
            <w:pPr>
              <w:pStyle w:val="20"/>
              <w:spacing w:line="240" w:lineRule="auto"/>
              <w:rPr>
                <w:rFonts w:cs="Times New Roman"/>
              </w:rPr>
            </w:pPr>
          </w:p>
        </w:tc>
        <w:tc>
          <w:tcPr>
            <w:tcW w:w="564" w:type="pct"/>
            <w:vAlign w:val="center"/>
          </w:tcPr>
          <w:p w14:paraId="21DDAFAB">
            <w:pPr>
              <w:pStyle w:val="20"/>
              <w:spacing w:line="240" w:lineRule="auto"/>
              <w:rPr>
                <w:rFonts w:hint="default" w:cs="Times New Roman"/>
                <w:lang w:val="en-US" w:eastAsia="zh-CN"/>
              </w:rPr>
            </w:pPr>
            <w:r>
              <w:rPr>
                <w:rFonts w:hint="eastAsia" w:cs="Times New Roman"/>
                <w:color w:val="000000"/>
                <w:kern w:val="0"/>
                <w:sz w:val="24"/>
                <w:szCs w:val="24"/>
                <w:lang w:val="en-US" w:eastAsia="zh-CN"/>
              </w:rPr>
              <w:t>含烃类物质</w:t>
            </w:r>
            <w:r>
              <w:rPr>
                <w:rFonts w:hint="eastAsia" w:cs="Times New Roman"/>
                <w:color w:val="000000" w:themeColor="text1"/>
                <w:sz w:val="24"/>
                <w:szCs w:val="24"/>
                <w:highlight w:val="none"/>
                <w:lang w:val="en-US" w:eastAsia="zh-CN"/>
                <w14:textFill>
                  <w14:solidFill>
                    <w14:schemeClr w14:val="tx1"/>
                  </w14:solidFill>
                </w14:textFill>
              </w:rPr>
              <w:t>（以非甲烷总烃计</w:t>
            </w:r>
            <w:r>
              <w:rPr>
                <w:rFonts w:hint="eastAsia" w:cs="Times New Roman"/>
                <w:color w:val="000000"/>
                <w:kern w:val="0"/>
                <w:sz w:val="24"/>
                <w:szCs w:val="24"/>
                <w:lang w:val="en-US" w:eastAsia="zh-CN"/>
              </w:rPr>
              <w:t>）</w:t>
            </w:r>
          </w:p>
        </w:tc>
        <w:tc>
          <w:tcPr>
            <w:tcW w:w="1506" w:type="pct"/>
            <w:vAlign w:val="center"/>
          </w:tcPr>
          <w:p w14:paraId="09987C63">
            <w:pPr>
              <w:pStyle w:val="20"/>
              <w:spacing w:line="240" w:lineRule="auto"/>
              <w:rPr>
                <w:rFonts w:cs="Times New Roman"/>
              </w:rPr>
            </w:pPr>
            <w:r>
              <w:rPr>
                <w:rFonts w:hint="eastAsia" w:cs="Times New Roman"/>
                <w:color w:val="000000" w:themeColor="text1"/>
                <w:sz w:val="24"/>
                <w:szCs w:val="24"/>
                <w:highlight w:val="none"/>
                <w:lang w:val="en-US" w:eastAsia="zh-CN"/>
                <w14:textFill>
                  <w14:solidFill>
                    <w14:schemeClr w14:val="tx1"/>
                  </w14:solidFill>
                </w14:textFill>
              </w:rPr>
              <w:t>随水基岩屑和热脱附干渣煅烧而直接焚烧处理后，经1根25m高排气筒（DA001）排放</w:t>
            </w:r>
          </w:p>
        </w:tc>
        <w:tc>
          <w:tcPr>
            <w:tcW w:w="1333" w:type="pct"/>
            <w:vAlign w:val="center"/>
          </w:tcPr>
          <w:p w14:paraId="4AB2D1C8">
            <w:pPr>
              <w:pStyle w:val="20"/>
              <w:spacing w:line="240" w:lineRule="auto"/>
              <w:rPr>
                <w:rFonts w:hint="eastAsia"/>
                <w:color w:val="auto"/>
                <w:sz w:val="24"/>
                <w:lang w:eastAsia="zh-CN"/>
              </w:rPr>
            </w:pPr>
            <w:r>
              <w:rPr>
                <w:rFonts w:hint="eastAsia"/>
                <w:color w:val="auto"/>
                <w:sz w:val="24"/>
                <w:lang w:eastAsia="zh-CN"/>
              </w:rPr>
              <w:t>《</w:t>
            </w:r>
            <w:r>
              <w:rPr>
                <w:rFonts w:hint="eastAsia"/>
                <w:color w:val="auto"/>
                <w:sz w:val="24"/>
                <w:lang w:val="en-US" w:eastAsia="zh-CN"/>
              </w:rPr>
              <w:t>大气污染物综合排放标准</w:t>
            </w:r>
            <w:r>
              <w:rPr>
                <w:rFonts w:hint="eastAsia"/>
                <w:color w:val="auto"/>
                <w:sz w:val="24"/>
                <w:lang w:eastAsia="zh-CN"/>
              </w:rPr>
              <w:t>》（</w:t>
            </w:r>
            <w:r>
              <w:rPr>
                <w:rFonts w:hint="eastAsia"/>
                <w:color w:val="auto"/>
                <w:sz w:val="24"/>
                <w:lang w:val="en-US" w:eastAsia="zh-CN"/>
              </w:rPr>
              <w:t>GB3095-1996</w:t>
            </w:r>
            <w:r>
              <w:rPr>
                <w:rFonts w:hint="eastAsia"/>
                <w:color w:val="auto"/>
                <w:sz w:val="24"/>
                <w:lang w:eastAsia="zh-CN"/>
              </w:rPr>
              <w:t>）</w:t>
            </w:r>
          </w:p>
        </w:tc>
      </w:tr>
      <w:tr w14:paraId="4DB241E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615" w:type="pct"/>
            <w:vMerge w:val="continue"/>
            <w:vAlign w:val="center"/>
          </w:tcPr>
          <w:p w14:paraId="794A7472">
            <w:pPr>
              <w:pStyle w:val="20"/>
              <w:spacing w:line="240" w:lineRule="auto"/>
              <w:rPr>
                <w:rFonts w:cs="Times New Roman"/>
              </w:rPr>
            </w:pPr>
          </w:p>
        </w:tc>
        <w:tc>
          <w:tcPr>
            <w:tcW w:w="365" w:type="pct"/>
            <w:shd w:val="clear" w:color="auto" w:fill="auto"/>
            <w:vAlign w:val="center"/>
          </w:tcPr>
          <w:p w14:paraId="3F7221AE">
            <w:pPr>
              <w:pStyle w:val="20"/>
              <w:spacing w:line="240" w:lineRule="auto"/>
              <w:ind w:firstLine="0" w:firstLineChars="0"/>
              <w:rPr>
                <w:rFonts w:hint="eastAsia" w:ascii="Times New Roman" w:hAnsi="Times New Roman" w:eastAsia="宋体" w:cs="Times New Roman"/>
                <w:kern w:val="2"/>
                <w:sz w:val="24"/>
                <w:szCs w:val="22"/>
                <w:lang w:val="en-US" w:eastAsia="zh-CN" w:bidi="ar-SA"/>
              </w:rPr>
            </w:pPr>
            <w:r>
              <w:rPr>
                <w:rFonts w:hint="eastAsia" w:cs="Times New Roman"/>
                <w:lang w:val="en-US" w:eastAsia="zh-CN"/>
              </w:rPr>
              <w:t>1号厂房无组织</w:t>
            </w:r>
          </w:p>
        </w:tc>
        <w:tc>
          <w:tcPr>
            <w:tcW w:w="613" w:type="pct"/>
            <w:shd w:val="clear" w:color="auto" w:fill="auto"/>
            <w:vAlign w:val="center"/>
          </w:tcPr>
          <w:p w14:paraId="57F77F9D">
            <w:pPr>
              <w:pStyle w:val="20"/>
              <w:spacing w:line="240" w:lineRule="auto"/>
              <w:ind w:firstLine="0" w:firstLineChars="0"/>
              <w:rPr>
                <w:rFonts w:hint="eastAsia" w:ascii="Times New Roman" w:hAnsi="Times New Roman" w:eastAsia="宋体" w:cs="Times New Roman"/>
                <w:kern w:val="2"/>
                <w:sz w:val="24"/>
                <w:szCs w:val="22"/>
                <w:lang w:val="en-US" w:eastAsia="zh-CN" w:bidi="ar-SA"/>
              </w:rPr>
            </w:pPr>
            <w:r>
              <w:rPr>
                <w:rFonts w:hint="eastAsia" w:cs="Times New Roman"/>
                <w:lang w:val="en-US" w:eastAsia="zh-CN"/>
              </w:rPr>
              <w:t>1号厂房异味</w:t>
            </w:r>
          </w:p>
        </w:tc>
        <w:tc>
          <w:tcPr>
            <w:tcW w:w="564" w:type="pct"/>
            <w:shd w:val="clear" w:color="auto" w:fill="auto"/>
            <w:vAlign w:val="center"/>
          </w:tcPr>
          <w:p w14:paraId="441825F5">
            <w:pPr>
              <w:pStyle w:val="20"/>
              <w:spacing w:line="240" w:lineRule="auto"/>
              <w:ind w:firstLine="0" w:firstLineChars="0"/>
              <w:rPr>
                <w:rFonts w:hint="eastAsia" w:ascii="Times New Roman" w:hAnsi="Times New Roman" w:eastAsia="宋体" w:cs="Times New Roman"/>
                <w:kern w:val="2"/>
                <w:sz w:val="24"/>
                <w:szCs w:val="22"/>
                <w:lang w:val="en-US" w:eastAsia="zh-CN" w:bidi="ar-SA"/>
              </w:rPr>
            </w:pPr>
            <w:r>
              <w:rPr>
                <w:rFonts w:hint="eastAsia" w:cs="Times New Roman"/>
                <w:lang w:val="en-US" w:eastAsia="zh-CN"/>
              </w:rPr>
              <w:t>臭气浓度</w:t>
            </w:r>
          </w:p>
        </w:tc>
        <w:tc>
          <w:tcPr>
            <w:tcW w:w="1506" w:type="pct"/>
            <w:shd w:val="clear" w:color="auto" w:fill="auto"/>
            <w:vAlign w:val="center"/>
          </w:tcPr>
          <w:p w14:paraId="67410E29">
            <w:pPr>
              <w:pStyle w:val="20"/>
              <w:spacing w:line="240" w:lineRule="auto"/>
              <w:ind w:firstLine="0" w:firstLineChars="0"/>
              <w:rPr>
                <w:rFonts w:hint="eastAsia" w:ascii="Times New Roman" w:hAnsi="Times New Roman" w:eastAsia="宋体" w:cs="Times New Roman"/>
                <w:kern w:val="2"/>
                <w:sz w:val="24"/>
                <w:szCs w:val="22"/>
                <w:lang w:val="en-US" w:eastAsia="zh-CN" w:bidi="ar-SA"/>
              </w:rPr>
            </w:pPr>
            <w:r>
              <w:rPr>
                <w:rFonts w:hint="eastAsia" w:cs="Times New Roman"/>
                <w:lang w:val="en-US" w:eastAsia="zh-CN"/>
              </w:rPr>
              <w:t>封闭式厂房+喷洒生物除臭剂</w:t>
            </w:r>
          </w:p>
        </w:tc>
        <w:tc>
          <w:tcPr>
            <w:tcW w:w="1333" w:type="pct"/>
            <w:shd w:val="clear" w:color="auto" w:fill="auto"/>
            <w:vAlign w:val="center"/>
          </w:tcPr>
          <w:p w14:paraId="7BA3FDDF">
            <w:pPr>
              <w:pStyle w:val="20"/>
              <w:spacing w:line="240" w:lineRule="auto"/>
              <w:ind w:firstLine="0" w:firstLineChars="0"/>
              <w:rPr>
                <w:rFonts w:hint="eastAsia" w:ascii="Times New Roman" w:hAnsi="Times New Roman" w:eastAsia="宋体" w:cs="Times New Roman"/>
                <w:kern w:val="2"/>
                <w:sz w:val="24"/>
                <w:szCs w:val="22"/>
                <w:lang w:val="en-US" w:eastAsia="zh-CN" w:bidi="ar-SA"/>
              </w:rPr>
            </w:pPr>
            <w:r>
              <w:rPr>
                <w:rFonts w:hint="eastAsia"/>
                <w:lang w:val="en-US" w:eastAsia="zh-CN"/>
              </w:rPr>
              <w:t>《恶臭污染物排放标准》（GB14554-1993）</w:t>
            </w:r>
          </w:p>
        </w:tc>
      </w:tr>
      <w:tr w14:paraId="09F1A4C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615" w:type="pct"/>
            <w:vMerge w:val="continue"/>
            <w:vAlign w:val="center"/>
          </w:tcPr>
          <w:p w14:paraId="311AD650">
            <w:pPr>
              <w:pStyle w:val="20"/>
              <w:spacing w:line="240" w:lineRule="auto"/>
              <w:rPr>
                <w:rFonts w:cs="Times New Roman"/>
              </w:rPr>
            </w:pPr>
          </w:p>
        </w:tc>
        <w:tc>
          <w:tcPr>
            <w:tcW w:w="365" w:type="pct"/>
            <w:vMerge w:val="restart"/>
            <w:shd w:val="clear" w:color="auto" w:fill="auto"/>
            <w:vAlign w:val="center"/>
          </w:tcPr>
          <w:p w14:paraId="7D3FE180">
            <w:pPr>
              <w:pStyle w:val="20"/>
              <w:spacing w:line="240" w:lineRule="auto"/>
              <w:ind w:firstLine="0" w:firstLineChars="0"/>
              <w:rPr>
                <w:rFonts w:hint="eastAsia" w:ascii="Times New Roman" w:hAnsi="Times New Roman" w:eastAsia="宋体" w:cs="Times New Roman"/>
                <w:kern w:val="2"/>
                <w:sz w:val="24"/>
                <w:szCs w:val="22"/>
                <w:lang w:val="en-US" w:eastAsia="zh-CN" w:bidi="ar-SA"/>
              </w:rPr>
            </w:pPr>
            <w:r>
              <w:rPr>
                <w:rFonts w:hint="eastAsia" w:cs="Times New Roman"/>
                <w:lang w:val="en-US" w:eastAsia="zh-CN"/>
              </w:rPr>
              <w:t>2号厂房无组织</w:t>
            </w:r>
          </w:p>
        </w:tc>
        <w:tc>
          <w:tcPr>
            <w:tcW w:w="613" w:type="pct"/>
            <w:shd w:val="clear" w:color="auto" w:fill="auto"/>
            <w:vAlign w:val="center"/>
          </w:tcPr>
          <w:p w14:paraId="49981BF3">
            <w:pPr>
              <w:pStyle w:val="20"/>
              <w:spacing w:line="240" w:lineRule="auto"/>
              <w:ind w:firstLine="0" w:firstLineChars="0"/>
              <w:rPr>
                <w:rFonts w:hint="eastAsia" w:ascii="Times New Roman" w:hAnsi="Times New Roman" w:eastAsia="宋体" w:cs="Times New Roman"/>
                <w:kern w:val="2"/>
                <w:sz w:val="24"/>
                <w:szCs w:val="22"/>
                <w:lang w:val="en-US" w:eastAsia="zh-CN" w:bidi="ar-SA"/>
              </w:rPr>
            </w:pPr>
            <w:r>
              <w:rPr>
                <w:rFonts w:hint="eastAsia" w:cs="Times New Roman"/>
                <w:lang w:val="en-US" w:eastAsia="zh-CN"/>
              </w:rPr>
              <w:t>2号厂房异味</w:t>
            </w:r>
          </w:p>
        </w:tc>
        <w:tc>
          <w:tcPr>
            <w:tcW w:w="564" w:type="pct"/>
            <w:shd w:val="clear" w:color="auto" w:fill="auto"/>
            <w:vAlign w:val="center"/>
          </w:tcPr>
          <w:p w14:paraId="0714EB50">
            <w:pPr>
              <w:pStyle w:val="20"/>
              <w:spacing w:line="240" w:lineRule="auto"/>
              <w:ind w:firstLine="0" w:firstLineChars="0"/>
              <w:rPr>
                <w:rFonts w:hint="default" w:ascii="Times New Roman" w:hAnsi="Times New Roman" w:eastAsia="宋体" w:cs="Times New Roman"/>
                <w:kern w:val="2"/>
                <w:sz w:val="24"/>
                <w:szCs w:val="22"/>
                <w:lang w:val="en-US" w:eastAsia="zh-CN" w:bidi="ar-SA"/>
              </w:rPr>
            </w:pPr>
            <w:r>
              <w:rPr>
                <w:rFonts w:hint="eastAsia" w:cs="Times New Roman"/>
                <w:lang w:val="en-US" w:eastAsia="zh-CN"/>
              </w:rPr>
              <w:t>臭气浓度</w:t>
            </w:r>
          </w:p>
        </w:tc>
        <w:tc>
          <w:tcPr>
            <w:tcW w:w="1506" w:type="pct"/>
            <w:shd w:val="clear" w:color="auto" w:fill="auto"/>
            <w:vAlign w:val="center"/>
          </w:tcPr>
          <w:p w14:paraId="41CB605A">
            <w:pPr>
              <w:pStyle w:val="20"/>
              <w:spacing w:line="240" w:lineRule="auto"/>
              <w:ind w:firstLine="0" w:firstLineChars="0"/>
              <w:rPr>
                <w:rFonts w:hint="eastAsia" w:ascii="Times New Roman" w:hAnsi="Times New Roman" w:eastAsia="宋体" w:cs="Times New Roman"/>
                <w:kern w:val="2"/>
                <w:sz w:val="24"/>
                <w:szCs w:val="22"/>
                <w:lang w:val="en-US" w:eastAsia="zh-CN" w:bidi="ar-SA"/>
              </w:rPr>
            </w:pPr>
            <w:r>
              <w:rPr>
                <w:rFonts w:hint="eastAsia" w:cs="Times New Roman"/>
                <w:lang w:val="en-US" w:eastAsia="zh-CN"/>
              </w:rPr>
              <w:t>封闭式厂房+喷洒生物除臭剂</w:t>
            </w:r>
          </w:p>
        </w:tc>
        <w:tc>
          <w:tcPr>
            <w:tcW w:w="1333" w:type="pct"/>
            <w:shd w:val="clear" w:color="auto" w:fill="auto"/>
            <w:vAlign w:val="center"/>
          </w:tcPr>
          <w:p w14:paraId="40A0B780">
            <w:pPr>
              <w:pStyle w:val="20"/>
              <w:spacing w:line="240" w:lineRule="auto"/>
              <w:ind w:firstLine="0" w:firstLineChars="0"/>
              <w:rPr>
                <w:rFonts w:hint="eastAsia" w:ascii="Times New Roman" w:hAnsi="Times New Roman" w:eastAsia="宋体" w:cs="Times New Roman"/>
                <w:kern w:val="2"/>
                <w:sz w:val="24"/>
                <w:szCs w:val="22"/>
                <w:lang w:val="en-US" w:eastAsia="zh-CN" w:bidi="ar-SA"/>
              </w:rPr>
            </w:pPr>
            <w:r>
              <w:rPr>
                <w:rFonts w:hint="eastAsia"/>
                <w:lang w:val="en-US" w:eastAsia="zh-CN"/>
              </w:rPr>
              <w:t>《恶臭污染物排放标准》（GB14554-1993）</w:t>
            </w:r>
          </w:p>
        </w:tc>
      </w:tr>
      <w:tr w14:paraId="2829834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615" w:type="pct"/>
            <w:vMerge w:val="continue"/>
            <w:vAlign w:val="center"/>
          </w:tcPr>
          <w:p w14:paraId="66F81404">
            <w:pPr>
              <w:pStyle w:val="20"/>
              <w:spacing w:line="240" w:lineRule="auto"/>
              <w:rPr>
                <w:rFonts w:cs="Times New Roman"/>
              </w:rPr>
            </w:pPr>
          </w:p>
        </w:tc>
        <w:tc>
          <w:tcPr>
            <w:tcW w:w="365" w:type="pct"/>
            <w:vMerge w:val="continue"/>
            <w:vAlign w:val="center"/>
          </w:tcPr>
          <w:p w14:paraId="3844C4C3">
            <w:pPr>
              <w:pStyle w:val="20"/>
              <w:spacing w:line="240" w:lineRule="auto"/>
              <w:rPr>
                <w:rFonts w:hint="eastAsia" w:cs="Times New Roman"/>
                <w:lang w:val="en-US" w:eastAsia="zh-CN"/>
              </w:rPr>
            </w:pPr>
          </w:p>
        </w:tc>
        <w:tc>
          <w:tcPr>
            <w:tcW w:w="613" w:type="pct"/>
            <w:shd w:val="clear" w:color="auto" w:fill="auto"/>
            <w:vAlign w:val="center"/>
          </w:tcPr>
          <w:p w14:paraId="35493073">
            <w:pPr>
              <w:pStyle w:val="20"/>
              <w:spacing w:line="240" w:lineRule="auto"/>
              <w:ind w:firstLine="0" w:firstLineChars="0"/>
              <w:rPr>
                <w:rFonts w:hint="eastAsia" w:ascii="Times New Roman" w:hAnsi="Times New Roman" w:eastAsia="宋体" w:cs="Times New Roman"/>
                <w:kern w:val="2"/>
                <w:sz w:val="24"/>
                <w:szCs w:val="22"/>
                <w:lang w:val="en-US" w:eastAsia="zh-CN" w:bidi="ar-SA"/>
              </w:rPr>
            </w:pPr>
            <w:r>
              <w:rPr>
                <w:rFonts w:hint="eastAsia" w:cs="Times New Roman"/>
                <w:lang w:val="en-US" w:eastAsia="zh-CN"/>
              </w:rPr>
              <w:t>预处理药剂投机粉尘</w:t>
            </w:r>
          </w:p>
        </w:tc>
        <w:tc>
          <w:tcPr>
            <w:tcW w:w="564" w:type="pct"/>
            <w:shd w:val="clear" w:color="auto" w:fill="auto"/>
            <w:vAlign w:val="center"/>
          </w:tcPr>
          <w:p w14:paraId="7888EACE">
            <w:pPr>
              <w:pStyle w:val="20"/>
              <w:spacing w:line="240" w:lineRule="auto"/>
              <w:ind w:firstLine="0" w:firstLineChars="0"/>
              <w:rPr>
                <w:rFonts w:hint="eastAsia" w:ascii="Times New Roman" w:hAnsi="Times New Roman" w:eastAsia="宋体" w:cs="Times New Roman"/>
                <w:kern w:val="2"/>
                <w:sz w:val="24"/>
                <w:szCs w:val="22"/>
                <w:lang w:val="en-US" w:eastAsia="zh-CN" w:bidi="ar-SA"/>
              </w:rPr>
            </w:pPr>
            <w:r>
              <w:rPr>
                <w:rFonts w:hint="eastAsia" w:cs="Times New Roman"/>
                <w:lang w:val="en-US" w:eastAsia="zh-CN"/>
              </w:rPr>
              <w:t>颗粒物</w:t>
            </w:r>
          </w:p>
        </w:tc>
        <w:tc>
          <w:tcPr>
            <w:tcW w:w="1506" w:type="pct"/>
            <w:shd w:val="clear" w:color="auto" w:fill="auto"/>
            <w:vAlign w:val="center"/>
          </w:tcPr>
          <w:p w14:paraId="575BC078">
            <w:pPr>
              <w:pStyle w:val="20"/>
              <w:spacing w:line="240" w:lineRule="auto"/>
              <w:ind w:firstLine="0" w:firstLineChars="0"/>
              <w:rPr>
                <w:rFonts w:hint="eastAsia" w:ascii="Times New Roman" w:hAnsi="Times New Roman" w:eastAsia="宋体" w:cs="Times New Roman"/>
                <w:kern w:val="2"/>
                <w:sz w:val="24"/>
                <w:szCs w:val="22"/>
                <w:lang w:val="en-US" w:eastAsia="zh-CN" w:bidi="ar-SA"/>
              </w:rPr>
            </w:pPr>
            <w:r>
              <w:rPr>
                <w:rFonts w:hint="eastAsia" w:cs="Times New Roman"/>
                <w:lang w:val="en-US" w:eastAsia="zh-CN"/>
              </w:rPr>
              <w:t>封闭式厂房+投料口围挡+投料口喷淋</w:t>
            </w:r>
          </w:p>
        </w:tc>
        <w:tc>
          <w:tcPr>
            <w:tcW w:w="1333" w:type="pct"/>
            <w:shd w:val="clear" w:color="auto" w:fill="auto"/>
            <w:vAlign w:val="center"/>
          </w:tcPr>
          <w:p w14:paraId="41BC30A3">
            <w:pPr>
              <w:pStyle w:val="20"/>
              <w:spacing w:line="240" w:lineRule="auto"/>
              <w:ind w:firstLine="0" w:firstLineChars="0"/>
              <w:rPr>
                <w:rFonts w:hint="eastAsia" w:ascii="Times New Roman" w:hAnsi="Times New Roman" w:eastAsia="宋体" w:cs="Times New Roman"/>
                <w:kern w:val="2"/>
                <w:sz w:val="24"/>
                <w:szCs w:val="22"/>
                <w:lang w:val="en-US" w:eastAsia="zh-CN" w:bidi="ar-SA"/>
              </w:rPr>
            </w:pPr>
            <w:r>
              <w:rPr>
                <w:rFonts w:hint="eastAsia"/>
                <w:color w:val="auto"/>
                <w:sz w:val="24"/>
              </w:rPr>
              <w:t>《砖瓦工业大气污染物排放标准》（GB29620-2013）</w:t>
            </w:r>
          </w:p>
        </w:tc>
      </w:tr>
      <w:tr w14:paraId="48224A8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615" w:type="pct"/>
            <w:vMerge w:val="continue"/>
            <w:vAlign w:val="center"/>
          </w:tcPr>
          <w:p w14:paraId="10335E10">
            <w:pPr>
              <w:pStyle w:val="20"/>
              <w:spacing w:line="240" w:lineRule="auto"/>
              <w:rPr>
                <w:rFonts w:cs="Times New Roman"/>
              </w:rPr>
            </w:pPr>
          </w:p>
        </w:tc>
        <w:tc>
          <w:tcPr>
            <w:tcW w:w="365" w:type="pct"/>
            <w:vMerge w:val="restart"/>
            <w:vAlign w:val="center"/>
          </w:tcPr>
          <w:p w14:paraId="35943C3A">
            <w:pPr>
              <w:pStyle w:val="20"/>
              <w:spacing w:line="240" w:lineRule="auto"/>
              <w:rPr>
                <w:rFonts w:hint="default" w:eastAsia="宋体" w:cs="Times New Roman"/>
                <w:lang w:val="en-US" w:eastAsia="zh-CN"/>
              </w:rPr>
            </w:pPr>
            <w:r>
              <w:rPr>
                <w:rFonts w:hint="eastAsia" w:cs="Times New Roman"/>
                <w:lang w:val="en-US" w:eastAsia="zh-CN"/>
              </w:rPr>
              <w:t>3号厂房无组织</w:t>
            </w:r>
          </w:p>
        </w:tc>
        <w:tc>
          <w:tcPr>
            <w:tcW w:w="613" w:type="pct"/>
            <w:vAlign w:val="center"/>
          </w:tcPr>
          <w:p w14:paraId="3EECA974">
            <w:pPr>
              <w:pStyle w:val="20"/>
              <w:spacing w:line="240" w:lineRule="auto"/>
              <w:rPr>
                <w:rFonts w:hint="default" w:eastAsia="宋体" w:cs="Times New Roman"/>
                <w:lang w:val="en-US" w:eastAsia="zh-CN"/>
              </w:rPr>
            </w:pPr>
            <w:r>
              <w:rPr>
                <w:rFonts w:hint="eastAsia" w:cs="Times New Roman"/>
                <w:lang w:val="en-US" w:eastAsia="zh-CN"/>
              </w:rPr>
              <w:t>水泥筒仓粉尘</w:t>
            </w:r>
          </w:p>
        </w:tc>
        <w:tc>
          <w:tcPr>
            <w:tcW w:w="564" w:type="pct"/>
            <w:vAlign w:val="center"/>
          </w:tcPr>
          <w:p w14:paraId="12D75E68">
            <w:pPr>
              <w:pStyle w:val="20"/>
              <w:spacing w:line="240" w:lineRule="auto"/>
              <w:rPr>
                <w:rFonts w:cs="Times New Roman"/>
              </w:rPr>
            </w:pPr>
            <w:r>
              <w:rPr>
                <w:rFonts w:cs="Times New Roman"/>
              </w:rPr>
              <w:t>颗粒物</w:t>
            </w:r>
          </w:p>
        </w:tc>
        <w:tc>
          <w:tcPr>
            <w:tcW w:w="1506" w:type="pct"/>
            <w:vAlign w:val="center"/>
          </w:tcPr>
          <w:p w14:paraId="6B4D6D62">
            <w:pPr>
              <w:pStyle w:val="20"/>
              <w:spacing w:line="240" w:lineRule="auto"/>
              <w:rPr>
                <w:rFonts w:hint="default" w:eastAsia="宋体" w:cs="Times New Roman"/>
                <w:bCs/>
                <w:shd w:val="clear" w:color="auto" w:fill="FFFFFF"/>
                <w:lang w:val="en-US" w:eastAsia="zh-CN"/>
              </w:rPr>
            </w:pPr>
            <w:r>
              <w:rPr>
                <w:rFonts w:hint="eastAsia" w:cs="Times New Roman"/>
                <w:lang w:val="en-US" w:eastAsia="zh-CN"/>
              </w:rPr>
              <w:t>经筒仓顶部自带布袋除尘器处理后于厂房内排放</w:t>
            </w:r>
          </w:p>
        </w:tc>
        <w:tc>
          <w:tcPr>
            <w:tcW w:w="1333" w:type="pct"/>
            <w:vMerge w:val="restart"/>
            <w:vAlign w:val="center"/>
          </w:tcPr>
          <w:p w14:paraId="146A2BE2">
            <w:pPr>
              <w:pStyle w:val="20"/>
              <w:spacing w:line="240" w:lineRule="auto"/>
              <w:rPr>
                <w:rFonts w:cs="Times New Roman"/>
              </w:rPr>
            </w:pPr>
            <w:r>
              <w:rPr>
                <w:rFonts w:hint="eastAsia"/>
                <w:color w:val="auto"/>
                <w:sz w:val="24"/>
              </w:rPr>
              <w:t>《砖瓦工业大气污染物排放标准》（GB29620-2013）</w:t>
            </w:r>
          </w:p>
        </w:tc>
      </w:tr>
      <w:tr w14:paraId="7089DE8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615" w:type="pct"/>
            <w:vMerge w:val="continue"/>
            <w:vAlign w:val="center"/>
          </w:tcPr>
          <w:p w14:paraId="07ABABAC">
            <w:pPr>
              <w:pStyle w:val="20"/>
              <w:spacing w:line="240" w:lineRule="auto"/>
            </w:pPr>
          </w:p>
        </w:tc>
        <w:tc>
          <w:tcPr>
            <w:tcW w:w="365" w:type="pct"/>
            <w:vMerge w:val="continue"/>
            <w:vAlign w:val="center"/>
          </w:tcPr>
          <w:p w14:paraId="35130C27">
            <w:pPr>
              <w:pStyle w:val="20"/>
              <w:spacing w:line="240" w:lineRule="auto"/>
            </w:pPr>
          </w:p>
        </w:tc>
        <w:tc>
          <w:tcPr>
            <w:tcW w:w="613" w:type="pct"/>
            <w:vAlign w:val="center"/>
          </w:tcPr>
          <w:p w14:paraId="513751EE">
            <w:pPr>
              <w:pStyle w:val="20"/>
              <w:spacing w:line="240" w:lineRule="auto"/>
              <w:rPr>
                <w:rFonts w:hint="default" w:eastAsia="宋体" w:cs="Times New Roman"/>
                <w:lang w:val="en-US" w:eastAsia="zh-CN"/>
              </w:rPr>
            </w:pPr>
            <w:r>
              <w:rPr>
                <w:rFonts w:hint="eastAsia" w:cs="Times New Roman"/>
                <w:lang w:val="en-US" w:eastAsia="zh-CN"/>
              </w:rPr>
              <w:t>水稳层骨料仓粉尘</w:t>
            </w:r>
          </w:p>
        </w:tc>
        <w:tc>
          <w:tcPr>
            <w:tcW w:w="564" w:type="pct"/>
            <w:vAlign w:val="center"/>
          </w:tcPr>
          <w:p w14:paraId="451CCF4B">
            <w:pPr>
              <w:pStyle w:val="20"/>
              <w:spacing w:line="240" w:lineRule="auto"/>
              <w:rPr>
                <w:rFonts w:hint="eastAsia" w:eastAsia="宋体" w:cs="Times New Roman"/>
                <w:lang w:val="en-US" w:eastAsia="zh-CN"/>
              </w:rPr>
            </w:pPr>
            <w:r>
              <w:rPr>
                <w:rFonts w:hint="eastAsia" w:cs="Times New Roman"/>
                <w:lang w:val="en-US" w:eastAsia="zh-CN"/>
              </w:rPr>
              <w:t>颗粒物</w:t>
            </w:r>
          </w:p>
        </w:tc>
        <w:tc>
          <w:tcPr>
            <w:tcW w:w="1506" w:type="pct"/>
            <w:vAlign w:val="center"/>
          </w:tcPr>
          <w:p w14:paraId="14EA161B">
            <w:pPr>
              <w:pStyle w:val="20"/>
              <w:spacing w:line="240" w:lineRule="auto"/>
              <w:rPr>
                <w:rFonts w:cs="Times New Roman"/>
              </w:rPr>
            </w:pPr>
            <w:r>
              <w:rPr>
                <w:rFonts w:hint="eastAsia" w:cs="Times New Roman"/>
                <w:lang w:val="en-US" w:eastAsia="zh-CN"/>
              </w:rPr>
              <w:t>经筒仓顶部自带布袋除尘器处理后于厂房内排放</w:t>
            </w:r>
          </w:p>
        </w:tc>
        <w:tc>
          <w:tcPr>
            <w:tcW w:w="1333" w:type="pct"/>
            <w:vMerge w:val="continue"/>
            <w:vAlign w:val="center"/>
          </w:tcPr>
          <w:p w14:paraId="235119B5">
            <w:pPr>
              <w:pStyle w:val="20"/>
              <w:spacing w:line="240" w:lineRule="auto"/>
              <w:rPr>
                <w:rFonts w:cs="Times New Roman"/>
              </w:rPr>
            </w:pPr>
          </w:p>
        </w:tc>
      </w:tr>
      <w:tr w14:paraId="4F3D625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615" w:type="pct"/>
            <w:vMerge w:val="continue"/>
            <w:vAlign w:val="center"/>
          </w:tcPr>
          <w:p w14:paraId="3E6B51EE">
            <w:pPr>
              <w:pStyle w:val="20"/>
              <w:spacing w:line="240" w:lineRule="auto"/>
              <w:rPr>
                <w:rFonts w:cs="Times New Roman"/>
              </w:rPr>
            </w:pPr>
          </w:p>
        </w:tc>
        <w:tc>
          <w:tcPr>
            <w:tcW w:w="365" w:type="pct"/>
            <w:vMerge w:val="continue"/>
            <w:vAlign w:val="center"/>
          </w:tcPr>
          <w:p w14:paraId="0B153F56">
            <w:pPr>
              <w:pStyle w:val="20"/>
              <w:spacing w:line="240" w:lineRule="auto"/>
              <w:rPr>
                <w:rFonts w:cs="Times New Roman"/>
              </w:rPr>
            </w:pPr>
          </w:p>
        </w:tc>
        <w:tc>
          <w:tcPr>
            <w:tcW w:w="613" w:type="pct"/>
            <w:vAlign w:val="center"/>
          </w:tcPr>
          <w:p w14:paraId="3622E474">
            <w:pPr>
              <w:pStyle w:val="20"/>
              <w:spacing w:line="240" w:lineRule="auto"/>
              <w:rPr>
                <w:rFonts w:hint="default" w:eastAsia="宋体" w:cs="Times New Roman"/>
                <w:lang w:val="en-US" w:eastAsia="zh-CN"/>
              </w:rPr>
            </w:pPr>
            <w:r>
              <w:rPr>
                <w:rFonts w:hint="eastAsia" w:cs="Times New Roman"/>
                <w:lang w:val="en-US" w:eastAsia="zh-CN"/>
              </w:rPr>
              <w:t>砂石堆存区粉尘</w:t>
            </w:r>
          </w:p>
        </w:tc>
        <w:tc>
          <w:tcPr>
            <w:tcW w:w="564" w:type="pct"/>
            <w:vAlign w:val="center"/>
          </w:tcPr>
          <w:p w14:paraId="592EAC88">
            <w:pPr>
              <w:pStyle w:val="20"/>
              <w:spacing w:line="240" w:lineRule="auto"/>
              <w:rPr>
                <w:rFonts w:hint="eastAsia" w:eastAsia="宋体" w:cs="Times New Roman"/>
                <w:lang w:val="en-US" w:eastAsia="zh-CN"/>
              </w:rPr>
            </w:pPr>
            <w:r>
              <w:rPr>
                <w:rFonts w:hint="eastAsia" w:cs="Times New Roman"/>
                <w:lang w:val="en-US" w:eastAsia="zh-CN"/>
              </w:rPr>
              <w:t>颗粒物</w:t>
            </w:r>
          </w:p>
        </w:tc>
        <w:tc>
          <w:tcPr>
            <w:tcW w:w="1506" w:type="pct"/>
            <w:vAlign w:val="center"/>
          </w:tcPr>
          <w:p w14:paraId="3206F23A">
            <w:pPr>
              <w:pStyle w:val="20"/>
              <w:spacing w:line="240" w:lineRule="auto"/>
              <w:rPr>
                <w:rFonts w:hint="default" w:eastAsia="宋体" w:cs="Times New Roman"/>
                <w:lang w:val="en-US" w:eastAsia="zh-CN"/>
              </w:rPr>
            </w:pPr>
            <w:r>
              <w:rPr>
                <w:rFonts w:hint="eastAsia" w:cs="Times New Roman"/>
                <w:lang w:val="en-US" w:eastAsia="zh-CN"/>
              </w:rPr>
              <w:t>喷雾降尘+封闭式厂房</w:t>
            </w:r>
          </w:p>
        </w:tc>
        <w:tc>
          <w:tcPr>
            <w:tcW w:w="1333" w:type="pct"/>
            <w:vMerge w:val="continue"/>
            <w:vAlign w:val="center"/>
          </w:tcPr>
          <w:p w14:paraId="3B2430B0">
            <w:pPr>
              <w:pStyle w:val="20"/>
              <w:spacing w:line="240" w:lineRule="auto"/>
              <w:rPr>
                <w:rFonts w:cs="Times New Roman"/>
              </w:rPr>
            </w:pPr>
          </w:p>
        </w:tc>
      </w:tr>
      <w:tr w14:paraId="51BE928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615" w:type="pct"/>
            <w:vAlign w:val="center"/>
          </w:tcPr>
          <w:p w14:paraId="11196580">
            <w:pPr>
              <w:pStyle w:val="20"/>
              <w:spacing w:line="240" w:lineRule="auto"/>
              <w:rPr>
                <w:rFonts w:cs="Times New Roman"/>
              </w:rPr>
            </w:pPr>
            <w:r>
              <w:rPr>
                <w:rFonts w:cs="Times New Roman"/>
              </w:rPr>
              <w:t>地表水环境</w:t>
            </w:r>
          </w:p>
        </w:tc>
        <w:tc>
          <w:tcPr>
            <w:tcW w:w="979" w:type="pct"/>
            <w:gridSpan w:val="2"/>
            <w:vAlign w:val="center"/>
          </w:tcPr>
          <w:p w14:paraId="16579D18">
            <w:pPr>
              <w:pStyle w:val="20"/>
              <w:spacing w:line="240" w:lineRule="auto"/>
              <w:rPr>
                <w:rFonts w:cs="Times New Roman"/>
              </w:rPr>
            </w:pPr>
            <w:r>
              <w:rPr>
                <w:rFonts w:hint="eastAsia" w:cs="Times New Roman"/>
              </w:rPr>
              <w:t>污水总排口</w:t>
            </w:r>
            <w:r>
              <w:rPr>
                <w:rFonts w:cs="Times New Roman"/>
              </w:rPr>
              <w:t>（DW001）</w:t>
            </w:r>
          </w:p>
        </w:tc>
        <w:tc>
          <w:tcPr>
            <w:tcW w:w="564" w:type="pct"/>
            <w:vAlign w:val="center"/>
          </w:tcPr>
          <w:p w14:paraId="765861EA">
            <w:pPr>
              <w:pStyle w:val="20"/>
              <w:spacing w:line="240" w:lineRule="auto"/>
              <w:rPr>
                <w:rFonts w:cs="Times New Roman"/>
              </w:rPr>
            </w:pPr>
            <w:r>
              <w:rPr>
                <w:rFonts w:cs="Times New Roman"/>
              </w:rPr>
              <w:t>COD</w:t>
            </w:r>
            <w:r>
              <w:rPr>
                <w:rFonts w:hint="eastAsia" w:cs="Times New Roman"/>
                <w:lang w:eastAsia="zh-CN"/>
              </w:rPr>
              <w:t>、</w:t>
            </w:r>
            <w:r>
              <w:rPr>
                <w:rFonts w:cs="Times New Roman"/>
              </w:rPr>
              <w:t>BOD</w:t>
            </w:r>
            <w:r>
              <w:rPr>
                <w:rFonts w:cs="Times New Roman"/>
                <w:vertAlign w:val="subscript"/>
              </w:rPr>
              <w:t>5</w:t>
            </w:r>
            <w:r>
              <w:rPr>
                <w:rFonts w:hint="eastAsia" w:cs="Times New Roman"/>
                <w:lang w:eastAsia="zh-CN"/>
              </w:rPr>
              <w:t>、</w:t>
            </w:r>
            <w:r>
              <w:rPr>
                <w:rFonts w:cs="Times New Roman"/>
              </w:rPr>
              <w:t>SS</w:t>
            </w:r>
            <w:r>
              <w:rPr>
                <w:rFonts w:hint="eastAsia" w:cs="Times New Roman"/>
                <w:lang w:eastAsia="zh-CN"/>
              </w:rPr>
              <w:t>、</w:t>
            </w:r>
            <w:r>
              <w:rPr>
                <w:rFonts w:cs="Times New Roman"/>
              </w:rPr>
              <w:t>氨氮</w:t>
            </w:r>
          </w:p>
          <w:p w14:paraId="6CCC4A7F">
            <w:pPr>
              <w:pStyle w:val="20"/>
              <w:spacing w:line="240" w:lineRule="auto"/>
              <w:rPr>
                <w:rFonts w:hint="default"/>
                <w:lang w:val="en-US" w:eastAsia="zh-CN"/>
              </w:rPr>
            </w:pPr>
            <w:r>
              <w:rPr>
                <w:rFonts w:hint="eastAsia"/>
                <w:lang w:val="en-US" w:eastAsia="zh-CN"/>
              </w:rPr>
              <w:t>总磷、石油类</w:t>
            </w:r>
          </w:p>
        </w:tc>
        <w:tc>
          <w:tcPr>
            <w:tcW w:w="1506" w:type="pct"/>
            <w:vAlign w:val="center"/>
          </w:tcPr>
          <w:p w14:paraId="6A37E6D1">
            <w:pPr>
              <w:pStyle w:val="20"/>
              <w:spacing w:line="240" w:lineRule="auto"/>
              <w:rPr>
                <w:rFonts w:cs="Times New Roman"/>
              </w:rPr>
            </w:pPr>
            <w:r>
              <w:rPr>
                <w:rFonts w:hint="eastAsia" w:cs="Times New Roman"/>
                <w:lang w:val="en-US" w:eastAsia="zh-CN"/>
              </w:rPr>
              <w:t>生活污水</w:t>
            </w:r>
            <w:r>
              <w:rPr>
                <w:rFonts w:cs="Times New Roman"/>
              </w:rPr>
              <w:t>依托租赁厂房所在厂区已建预处理池处理后排入园区污水管网，送至</w:t>
            </w:r>
            <w:r>
              <w:rPr>
                <w:rFonts w:hint="eastAsia" w:cs="Times New Roman"/>
                <w:lang w:val="en-US" w:eastAsia="zh-CN"/>
              </w:rPr>
              <w:t>星光工业园区</w:t>
            </w:r>
            <w:r>
              <w:rPr>
                <w:rFonts w:cs="Times New Roman"/>
              </w:rPr>
              <w:t>污水处理厂处理。</w:t>
            </w:r>
          </w:p>
        </w:tc>
        <w:tc>
          <w:tcPr>
            <w:tcW w:w="1333" w:type="pct"/>
            <w:vAlign w:val="center"/>
          </w:tcPr>
          <w:p w14:paraId="7D9ED782">
            <w:pPr>
              <w:pStyle w:val="20"/>
              <w:spacing w:line="240" w:lineRule="auto"/>
              <w:rPr>
                <w:rFonts w:hint="default" w:eastAsia="宋体" w:cs="Times New Roman"/>
                <w:lang w:val="en-US" w:eastAsia="zh-CN"/>
              </w:rPr>
            </w:pPr>
            <w:r>
              <w:rPr>
                <w:rFonts w:hint="eastAsia" w:cs="Times New Roman"/>
                <w:lang w:val="en-US" w:eastAsia="zh-CN"/>
              </w:rPr>
              <w:t>星光工业园区污水处理厂进水水质要求</w:t>
            </w:r>
          </w:p>
        </w:tc>
      </w:tr>
      <w:tr w14:paraId="18FE53D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615" w:type="pct"/>
            <w:vAlign w:val="center"/>
          </w:tcPr>
          <w:p w14:paraId="1708526F">
            <w:pPr>
              <w:pStyle w:val="20"/>
              <w:spacing w:line="240" w:lineRule="auto"/>
              <w:rPr>
                <w:rFonts w:cs="Times New Roman"/>
              </w:rPr>
            </w:pPr>
            <w:r>
              <w:rPr>
                <w:rFonts w:cs="Times New Roman"/>
              </w:rPr>
              <w:t>声环境</w:t>
            </w:r>
          </w:p>
        </w:tc>
        <w:tc>
          <w:tcPr>
            <w:tcW w:w="979" w:type="pct"/>
            <w:gridSpan w:val="2"/>
            <w:vAlign w:val="center"/>
          </w:tcPr>
          <w:p w14:paraId="354F3CCC">
            <w:pPr>
              <w:pStyle w:val="20"/>
              <w:spacing w:line="240" w:lineRule="auto"/>
              <w:rPr>
                <w:rFonts w:cs="Times New Roman"/>
                <w:szCs w:val="24"/>
                <w:lang w:val="zh-CN"/>
              </w:rPr>
            </w:pPr>
            <w:r>
              <w:rPr>
                <w:rFonts w:cs="Times New Roman"/>
                <w:szCs w:val="24"/>
              </w:rPr>
              <w:t>厂界</w:t>
            </w:r>
          </w:p>
        </w:tc>
        <w:tc>
          <w:tcPr>
            <w:tcW w:w="564" w:type="pct"/>
            <w:vAlign w:val="center"/>
          </w:tcPr>
          <w:p w14:paraId="3BDC3B19">
            <w:pPr>
              <w:pStyle w:val="20"/>
              <w:spacing w:line="240" w:lineRule="auto"/>
              <w:rPr>
                <w:rFonts w:cs="Times New Roman"/>
                <w:szCs w:val="24"/>
                <w:lang w:val="zh-CN"/>
              </w:rPr>
            </w:pPr>
            <w:r>
              <w:rPr>
                <w:rFonts w:cs="Times New Roman"/>
                <w:szCs w:val="24"/>
              </w:rPr>
              <w:t>等效连续A声级</w:t>
            </w:r>
          </w:p>
        </w:tc>
        <w:tc>
          <w:tcPr>
            <w:tcW w:w="1506" w:type="pct"/>
            <w:vAlign w:val="center"/>
          </w:tcPr>
          <w:p w14:paraId="0AD3F185">
            <w:pPr>
              <w:pStyle w:val="20"/>
              <w:spacing w:line="240" w:lineRule="auto"/>
              <w:rPr>
                <w:rFonts w:cs="Times New Roman"/>
                <w:lang w:val="zh-CN"/>
              </w:rPr>
            </w:pPr>
            <w:r>
              <w:rPr>
                <w:rFonts w:cs="Times New Roman"/>
                <w:lang w:val="zh-CN"/>
              </w:rPr>
              <w:t>选用低噪声设备、合理平面布局，设备基础减震，建筑隔声，距离衰减。</w:t>
            </w:r>
          </w:p>
        </w:tc>
        <w:tc>
          <w:tcPr>
            <w:tcW w:w="1333" w:type="pct"/>
            <w:vAlign w:val="center"/>
          </w:tcPr>
          <w:p w14:paraId="7FE54112">
            <w:pPr>
              <w:pStyle w:val="20"/>
              <w:spacing w:line="240" w:lineRule="auto"/>
              <w:rPr>
                <w:rFonts w:cs="Times New Roman"/>
                <w:lang w:val="zh-CN"/>
              </w:rPr>
            </w:pPr>
            <w:r>
              <w:rPr>
                <w:rFonts w:cs="Times New Roman"/>
              </w:rPr>
              <w:t>《工业企业厂界环境噪声排放标准》（GB12348-2008）中3类标准限值</w:t>
            </w:r>
          </w:p>
        </w:tc>
      </w:tr>
      <w:tr w14:paraId="73F5804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01" w:hRule="atLeast"/>
          <w:jc w:val="center"/>
        </w:trPr>
        <w:tc>
          <w:tcPr>
            <w:tcW w:w="615" w:type="pct"/>
            <w:vAlign w:val="center"/>
          </w:tcPr>
          <w:p w14:paraId="6FE416BB">
            <w:pPr>
              <w:pStyle w:val="20"/>
              <w:spacing w:line="240" w:lineRule="auto"/>
              <w:rPr>
                <w:rFonts w:cs="Times New Roman"/>
              </w:rPr>
            </w:pPr>
            <w:r>
              <w:rPr>
                <w:rFonts w:cs="Times New Roman"/>
              </w:rPr>
              <w:t>固体废物</w:t>
            </w:r>
          </w:p>
        </w:tc>
        <w:tc>
          <w:tcPr>
            <w:tcW w:w="4384" w:type="pct"/>
            <w:gridSpan w:val="5"/>
            <w:vAlign w:val="center"/>
          </w:tcPr>
          <w:p w14:paraId="41CD447D">
            <w:pPr>
              <w:pStyle w:val="20"/>
              <w:spacing w:line="240" w:lineRule="auto"/>
              <w:rPr>
                <w:rFonts w:hint="default" w:ascii="Times New Roman" w:hAnsi="Times New Roman" w:eastAsia="宋体" w:cs="Times New Roman"/>
                <w:bCs/>
                <w:lang w:val="en-US" w:eastAsia="zh-CN"/>
              </w:rPr>
            </w:pPr>
            <w:r>
              <w:rPr>
                <w:rFonts w:hint="eastAsia" w:ascii="Times New Roman" w:hAnsi="Times New Roman" w:eastAsia="宋体" w:cs="Times New Roman"/>
                <w:b/>
                <w:bCs w:val="0"/>
                <w:lang w:val="en-US" w:eastAsia="zh-CN"/>
              </w:rPr>
              <w:t>一般固废：</w:t>
            </w:r>
            <w:r>
              <w:rPr>
                <w:rFonts w:hint="eastAsia" w:ascii="Times New Roman" w:hAnsi="Times New Roman" w:eastAsia="宋体" w:cs="Times New Roman"/>
                <w:bCs/>
                <w:lang w:val="en-US" w:eastAsia="zh-CN"/>
              </w:rPr>
              <w:t>设置1间一般固废暂存间，面积10m</w:t>
            </w:r>
            <w:r>
              <w:rPr>
                <w:rFonts w:hint="eastAsia" w:ascii="Times New Roman" w:hAnsi="Times New Roman" w:eastAsia="宋体" w:cs="Times New Roman"/>
                <w:bCs/>
                <w:vertAlign w:val="superscript"/>
                <w:lang w:val="en-US" w:eastAsia="zh-CN"/>
              </w:rPr>
              <w:t>2</w:t>
            </w:r>
            <w:r>
              <w:rPr>
                <w:rFonts w:hint="eastAsia" w:ascii="Times New Roman" w:hAnsi="Times New Roman" w:eastAsia="宋体" w:cs="Times New Roman"/>
                <w:bCs/>
                <w:lang w:val="en-US" w:eastAsia="zh-CN"/>
              </w:rPr>
              <w:t>。废包装外售废品回收站或交由厂家回收利用；废模具、废布袋厂家回收综合利用；不合格品、旋风除尘器及布袋除尘器1#集尘作为原料回用于</w:t>
            </w:r>
            <w:r>
              <w:rPr>
                <w:rFonts w:hint="eastAsia" w:cs="Times New Roman"/>
                <w:bCs/>
                <w:lang w:val="en-US" w:eastAsia="zh-CN"/>
              </w:rPr>
              <w:t>免烧砌块</w:t>
            </w:r>
            <w:r>
              <w:rPr>
                <w:rFonts w:hint="eastAsia" w:ascii="Times New Roman" w:hAnsi="Times New Roman" w:eastAsia="宋体" w:cs="Times New Roman"/>
                <w:bCs/>
                <w:lang w:val="en-US" w:eastAsia="zh-CN"/>
              </w:rPr>
              <w:t>生产。生活垃圾袋装手机后交由环卫部门统一清运处理。</w:t>
            </w:r>
            <w:r>
              <w:rPr>
                <w:rFonts w:hint="eastAsia" w:cs="Times New Roman"/>
                <w:bCs/>
                <w:lang w:val="en-US" w:eastAsia="zh-CN"/>
              </w:rPr>
              <w:t>氟化钙污泥外售水泥厂制水泥。初期雨水池污泥1年清掏1次，委托有资质固废处置单位统一清运处理。</w:t>
            </w:r>
          </w:p>
          <w:p w14:paraId="34FD4965">
            <w:pPr>
              <w:pStyle w:val="20"/>
              <w:spacing w:line="240" w:lineRule="auto"/>
              <w:rPr>
                <w:rFonts w:cs="Times New Roman"/>
              </w:rPr>
            </w:pPr>
            <w:r>
              <w:rPr>
                <w:rFonts w:hint="eastAsia" w:ascii="Times New Roman" w:hAnsi="Times New Roman" w:eastAsia="宋体" w:cs="Times New Roman"/>
                <w:b/>
                <w:bCs w:val="0"/>
                <w:lang w:val="en-US" w:eastAsia="zh-CN"/>
              </w:rPr>
              <w:t>危险废物：</w:t>
            </w:r>
            <w:r>
              <w:rPr>
                <w:rFonts w:hint="eastAsia" w:ascii="Times New Roman" w:hAnsi="Times New Roman" w:eastAsia="宋体" w:cs="Times New Roman"/>
                <w:bCs/>
                <w:lang w:val="en-US" w:eastAsia="zh-CN"/>
              </w:rPr>
              <w:t>设置1间危废暂存间，面积10m</w:t>
            </w:r>
            <w:r>
              <w:rPr>
                <w:rFonts w:hint="eastAsia" w:ascii="Times New Roman" w:hAnsi="Times New Roman" w:eastAsia="宋体" w:cs="Times New Roman"/>
                <w:bCs/>
                <w:vertAlign w:val="superscript"/>
                <w:lang w:val="en-US" w:eastAsia="zh-CN"/>
              </w:rPr>
              <w:t>2</w:t>
            </w:r>
            <w:r>
              <w:rPr>
                <w:rFonts w:hint="eastAsia" w:ascii="Times New Roman" w:hAnsi="Times New Roman" w:eastAsia="宋体" w:cs="Times New Roman"/>
                <w:bCs/>
                <w:lang w:val="en-US" w:eastAsia="zh-CN"/>
              </w:rPr>
              <w:t>，危险废物分类收集，统一存放到危废暂存间，定期交由有资质的单位清运处理。</w:t>
            </w:r>
          </w:p>
        </w:tc>
      </w:tr>
      <w:tr w14:paraId="7DF3434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615" w:type="pct"/>
            <w:vAlign w:val="center"/>
          </w:tcPr>
          <w:p w14:paraId="2C463247">
            <w:pPr>
              <w:pStyle w:val="20"/>
              <w:spacing w:line="240" w:lineRule="auto"/>
              <w:rPr>
                <w:rFonts w:cs="Times New Roman"/>
              </w:rPr>
            </w:pPr>
            <w:r>
              <w:rPr>
                <w:rFonts w:cs="Times New Roman"/>
              </w:rPr>
              <w:t>电磁辐射</w:t>
            </w:r>
          </w:p>
        </w:tc>
        <w:tc>
          <w:tcPr>
            <w:tcW w:w="4384" w:type="pct"/>
            <w:gridSpan w:val="5"/>
            <w:vAlign w:val="center"/>
          </w:tcPr>
          <w:p w14:paraId="49B69EB4">
            <w:pPr>
              <w:pStyle w:val="20"/>
              <w:spacing w:line="240" w:lineRule="auto"/>
              <w:rPr>
                <w:rFonts w:hint="default" w:cs="Times New Roman"/>
                <w:lang w:val="en-US"/>
              </w:rPr>
            </w:pPr>
            <w:r>
              <w:rPr>
                <w:rFonts w:hint="eastAsia" w:cs="Times New Roman"/>
                <w:lang w:val="en-US" w:eastAsia="zh-CN"/>
              </w:rPr>
              <w:t>/</w:t>
            </w:r>
          </w:p>
        </w:tc>
      </w:tr>
      <w:tr w14:paraId="4A76B42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615" w:type="pct"/>
            <w:vAlign w:val="center"/>
          </w:tcPr>
          <w:p w14:paraId="78688CC6">
            <w:pPr>
              <w:pStyle w:val="20"/>
              <w:spacing w:line="240" w:lineRule="auto"/>
              <w:rPr>
                <w:rFonts w:cs="Times New Roman"/>
              </w:rPr>
            </w:pPr>
            <w:r>
              <w:rPr>
                <w:rFonts w:cs="Times New Roman"/>
              </w:rPr>
              <w:t>土壤及地下水污染防治措施</w:t>
            </w:r>
          </w:p>
        </w:tc>
        <w:tc>
          <w:tcPr>
            <w:tcW w:w="4384" w:type="pct"/>
            <w:gridSpan w:val="5"/>
            <w:vAlign w:val="center"/>
          </w:tcPr>
          <w:p w14:paraId="1500602F">
            <w:pPr>
              <w:pStyle w:val="20"/>
              <w:spacing w:line="240" w:lineRule="auto"/>
              <w:rPr>
                <w:rFonts w:cs="Times New Roman"/>
              </w:rPr>
            </w:pPr>
            <w:r>
              <w:rPr>
                <w:rFonts w:hint="eastAsia" w:ascii="Times New Roman" w:hAnsi="Times New Roman" w:eastAsia="宋体" w:cs="Times New Roman"/>
                <w:bCs/>
                <w:lang w:val="en-US" w:eastAsia="zh-CN"/>
              </w:rPr>
              <w:t>采取分区防渗措施：</w:t>
            </w:r>
            <w:r>
              <w:rPr>
                <w:rFonts w:hint="eastAsia" w:cs="Times New Roman"/>
                <w:bCs/>
                <w:lang w:val="en-US" w:eastAsia="zh-CN"/>
              </w:rPr>
              <w:t>危废暂存间、水基岩屑储存池（含滤液池）、干水基岩屑堆存区、水基岩屑预处理区域、免烧建筑基材生产线区域</w:t>
            </w:r>
            <w:r>
              <w:rPr>
                <w:rFonts w:hint="eastAsia" w:ascii="Times New Roman" w:hAnsi="Times New Roman" w:eastAsia="宋体" w:cs="Times New Roman"/>
                <w:bCs/>
                <w:lang w:val="en-US" w:eastAsia="zh-CN"/>
              </w:rPr>
              <w:t>采取重点防渗措施；</w:t>
            </w:r>
            <w:r>
              <w:rPr>
                <w:rFonts w:hint="eastAsia" w:cs="Times New Roman"/>
                <w:bCs/>
                <w:lang w:val="en-US" w:eastAsia="zh-CN"/>
              </w:rPr>
              <w:t>洗车区、生产车间其余区域采取一般翻身措施；磅房、办公楼等</w:t>
            </w:r>
            <w:r>
              <w:rPr>
                <w:rFonts w:hint="eastAsia" w:ascii="Times New Roman" w:hAnsi="Times New Roman" w:eastAsia="宋体" w:cs="Times New Roman"/>
                <w:bCs/>
                <w:lang w:val="en-US" w:eastAsia="zh-CN"/>
              </w:rPr>
              <w:t>采取一般防渗措施。</w:t>
            </w:r>
          </w:p>
        </w:tc>
      </w:tr>
      <w:tr w14:paraId="766DB6B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615" w:type="pct"/>
            <w:vAlign w:val="center"/>
          </w:tcPr>
          <w:p w14:paraId="46E933A6">
            <w:pPr>
              <w:pStyle w:val="20"/>
              <w:spacing w:line="240" w:lineRule="auto"/>
              <w:rPr>
                <w:rFonts w:cs="Times New Roman"/>
              </w:rPr>
            </w:pPr>
            <w:r>
              <w:rPr>
                <w:rFonts w:cs="Times New Roman"/>
              </w:rPr>
              <w:t>生态保护措施</w:t>
            </w:r>
          </w:p>
        </w:tc>
        <w:tc>
          <w:tcPr>
            <w:tcW w:w="4384" w:type="pct"/>
            <w:gridSpan w:val="5"/>
            <w:vAlign w:val="center"/>
          </w:tcPr>
          <w:p w14:paraId="7B6F4317">
            <w:pPr>
              <w:pStyle w:val="20"/>
              <w:spacing w:line="240" w:lineRule="auto"/>
              <w:rPr>
                <w:rFonts w:cs="Times New Roman"/>
              </w:rPr>
            </w:pPr>
            <w:r>
              <w:rPr>
                <w:rFonts w:cs="Times New Roman"/>
              </w:rPr>
              <w:t>本项目位于工业园区内，租用已建厂房，不再单独进行征地，不涉及拆迁和安置，</w:t>
            </w:r>
            <w:r>
              <w:rPr>
                <w:rFonts w:cs="Times New Roman"/>
                <w:szCs w:val="28"/>
              </w:rPr>
              <w:t>在各项环保措施实施，污染物排放达标的情况下，项目运营期对周围生态环境影响较小</w:t>
            </w:r>
            <w:r>
              <w:rPr>
                <w:rFonts w:cs="Times New Roman"/>
              </w:rPr>
              <w:t>。</w:t>
            </w:r>
          </w:p>
        </w:tc>
      </w:tr>
      <w:tr w14:paraId="7E6CC8C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615" w:type="pct"/>
            <w:vAlign w:val="center"/>
          </w:tcPr>
          <w:p w14:paraId="6A08C514">
            <w:pPr>
              <w:pStyle w:val="20"/>
              <w:spacing w:line="240" w:lineRule="auto"/>
              <w:rPr>
                <w:rFonts w:cs="Times New Roman"/>
              </w:rPr>
            </w:pPr>
            <w:r>
              <w:rPr>
                <w:rFonts w:cs="Times New Roman"/>
              </w:rPr>
              <w:t>环境风险防范措施</w:t>
            </w:r>
          </w:p>
        </w:tc>
        <w:tc>
          <w:tcPr>
            <w:tcW w:w="4384" w:type="pct"/>
            <w:gridSpan w:val="5"/>
            <w:vAlign w:val="center"/>
          </w:tcPr>
          <w:p w14:paraId="14222EDE">
            <w:pPr>
              <w:pStyle w:val="20"/>
              <w:spacing w:line="240" w:lineRule="auto"/>
              <w:jc w:val="left"/>
              <w:rPr>
                <w:rFonts w:hint="default" w:eastAsia="宋体" w:cs="Times New Roman"/>
                <w:lang w:val="en-US" w:eastAsia="zh-CN"/>
              </w:rPr>
            </w:pPr>
            <w:r>
              <w:rPr>
                <w:rFonts w:hint="eastAsia" w:cs="Times New Roman"/>
                <w:szCs w:val="28"/>
              </w:rPr>
              <w:t>①</w:t>
            </w:r>
            <w:r>
              <w:rPr>
                <w:rFonts w:hint="eastAsia" w:cs="Times New Roman"/>
                <w:szCs w:val="28"/>
                <w:lang w:val="en-US" w:eastAsia="zh-CN"/>
              </w:rPr>
              <w:t>油类物质泄漏风险防范措施：</w:t>
            </w:r>
            <w:r>
              <w:rPr>
                <w:rFonts w:hint="eastAsia" w:cs="Times New Roman"/>
                <w:szCs w:val="28"/>
              </w:rPr>
              <w:t>液态危险废物（废机油、废液压油）应专桶收集暂存于危废暂存间，收集桶堆放地面</w:t>
            </w:r>
            <w:r>
              <w:rPr>
                <w:rFonts w:hint="eastAsia" w:cs="Times New Roman"/>
                <w:szCs w:val="28"/>
                <w:lang w:eastAsia="zh-CN"/>
              </w:rPr>
              <w:t>做</w:t>
            </w:r>
            <w:r>
              <w:rPr>
                <w:rFonts w:hint="eastAsia" w:cs="Times New Roman"/>
                <w:szCs w:val="28"/>
              </w:rPr>
              <w:t>防雨、防渗、防漏处理，并在周边设置导流槽；未使用的机油应密封在桶内，并在桶下</w:t>
            </w:r>
            <w:r>
              <w:rPr>
                <w:rFonts w:hint="eastAsia" w:cs="Times New Roman"/>
                <w:szCs w:val="28"/>
                <w:lang w:val="en-US" w:eastAsia="zh-CN"/>
              </w:rPr>
              <w:t>方</w:t>
            </w:r>
            <w:r>
              <w:rPr>
                <w:rFonts w:hint="eastAsia" w:cs="Times New Roman"/>
                <w:szCs w:val="28"/>
              </w:rPr>
              <w:t>设置防泄漏托盘。</w:t>
            </w:r>
            <w:r>
              <w:rPr>
                <w:rFonts w:hint="eastAsia" w:cs="Times New Roman"/>
                <w:szCs w:val="28"/>
                <w:lang w:val="en-US" w:eastAsia="zh-CN"/>
              </w:rPr>
              <w:t>②</w:t>
            </w:r>
            <w:r>
              <w:rPr>
                <w:rFonts w:hint="eastAsia" w:cs="Times New Roman"/>
                <w:szCs w:val="28"/>
              </w:rPr>
              <w:t>事故排放防范措施：定期检修各生产区间设置的环保设施，加强设备的运行管理和维护保养</w:t>
            </w:r>
            <w:r>
              <w:rPr>
                <w:rFonts w:hint="eastAsia" w:cs="Times New Roman"/>
                <w:szCs w:val="28"/>
                <w:lang w:eastAsia="zh-CN"/>
              </w:rPr>
              <w:t>，</w:t>
            </w:r>
            <w:r>
              <w:rPr>
                <w:rFonts w:hint="eastAsia" w:cs="Times New Roman"/>
                <w:szCs w:val="28"/>
                <w:lang w:val="en-US" w:eastAsia="zh-CN"/>
              </w:rPr>
              <w:t>事故状态下立即停产修复治理设施</w:t>
            </w:r>
            <w:r>
              <w:rPr>
                <w:rFonts w:hint="eastAsia" w:cs="Times New Roman"/>
                <w:szCs w:val="28"/>
              </w:rPr>
              <w:t>。</w:t>
            </w:r>
            <w:r>
              <w:rPr>
                <w:rFonts w:hint="eastAsia" w:cs="Times New Roman"/>
                <w:szCs w:val="28"/>
                <w:lang w:val="en-US" w:eastAsia="zh-CN"/>
              </w:rPr>
              <w:t>③天然气泄漏风险防范措施：设备设置温度显示，</w:t>
            </w:r>
            <w:r>
              <w:rPr>
                <w:rFonts w:hint="eastAsia" w:ascii="宋体" w:hAnsi="宋体" w:eastAsia="宋体" w:cs="宋体"/>
                <w:color w:val="000000"/>
                <w:kern w:val="0"/>
                <w:sz w:val="24"/>
                <w:szCs w:val="24"/>
                <w:lang w:val="en-US" w:eastAsia="zh-CN" w:bidi="ar"/>
              </w:rPr>
              <w:t>设有自动温控和自动、手动点火</w:t>
            </w:r>
            <w:r>
              <w:rPr>
                <w:rFonts w:hint="default" w:ascii="Times New Roman" w:hAnsi="Times New Roman" w:eastAsia="宋体" w:cs="Times New Roman"/>
                <w:color w:val="000000"/>
                <w:kern w:val="0"/>
                <w:sz w:val="24"/>
                <w:szCs w:val="24"/>
                <w:lang w:val="en-US" w:eastAsia="zh-CN" w:bidi="ar"/>
              </w:rPr>
              <w:t>/</w:t>
            </w:r>
            <w:r>
              <w:rPr>
                <w:rFonts w:hint="eastAsia" w:ascii="宋体" w:hAnsi="宋体" w:eastAsia="宋体" w:cs="宋体"/>
                <w:color w:val="000000"/>
                <w:kern w:val="0"/>
                <w:sz w:val="24"/>
                <w:szCs w:val="24"/>
                <w:lang w:val="en-US" w:eastAsia="zh-CN" w:bidi="ar"/>
              </w:rPr>
              <w:t xml:space="preserve">熄火 </w:t>
            </w:r>
            <w:r>
              <w:rPr>
                <w:rFonts w:hint="default" w:ascii="Times New Roman" w:hAnsi="Times New Roman" w:eastAsia="宋体" w:cs="Times New Roman"/>
                <w:color w:val="000000"/>
                <w:kern w:val="0"/>
                <w:sz w:val="24"/>
                <w:szCs w:val="24"/>
                <w:lang w:val="en-US" w:eastAsia="zh-CN" w:bidi="ar"/>
              </w:rPr>
              <w:t>/</w:t>
            </w:r>
            <w:r>
              <w:rPr>
                <w:rFonts w:hint="eastAsia" w:ascii="宋体" w:hAnsi="宋体" w:eastAsia="宋体" w:cs="宋体"/>
                <w:color w:val="000000"/>
                <w:kern w:val="0"/>
                <w:sz w:val="24"/>
                <w:szCs w:val="24"/>
                <w:lang w:val="en-US" w:eastAsia="zh-CN" w:bidi="ar"/>
              </w:rPr>
              <w:t>报警</w:t>
            </w:r>
            <w:r>
              <w:rPr>
                <w:rFonts w:hint="default" w:ascii="Times New Roman" w:hAnsi="Times New Roman" w:eastAsia="宋体" w:cs="Times New Roman"/>
                <w:color w:val="000000"/>
                <w:kern w:val="0"/>
                <w:sz w:val="24"/>
                <w:szCs w:val="24"/>
                <w:lang w:val="en-US" w:eastAsia="zh-CN" w:bidi="ar"/>
              </w:rPr>
              <w:t>/</w:t>
            </w:r>
            <w:r>
              <w:rPr>
                <w:rFonts w:hint="eastAsia" w:ascii="宋体" w:hAnsi="宋体" w:eastAsia="宋体" w:cs="宋体"/>
                <w:color w:val="000000"/>
                <w:kern w:val="0"/>
                <w:sz w:val="24"/>
                <w:szCs w:val="24"/>
                <w:lang w:val="en-US" w:eastAsia="zh-CN" w:bidi="ar"/>
              </w:rPr>
              <w:t>火焰检测功能，烧嘴运行设有移位报警装置，燃气管道阀门设有停电自动切断功能，加强日常巡逻检查及燃气管线维护。④</w:t>
            </w:r>
            <w:r>
              <w:rPr>
                <w:rFonts w:hint="eastAsia" w:cs="Times New Roman"/>
                <w:szCs w:val="28"/>
              </w:rPr>
              <w:t>火灾防范措施：加强厂区消防设施的日常管理，配备消防器材，设置明显标识，严格明火管理，加强日常检修维护，配备沙袋、封堵气囊、应急收集桶等应急物资，以备应急时作为阻挡物封堵事故废水外流或者收集容器，利用</w:t>
            </w:r>
            <w:r>
              <w:rPr>
                <w:rFonts w:hint="eastAsia" w:cs="Times New Roman"/>
                <w:szCs w:val="28"/>
                <w:lang w:val="en-US" w:eastAsia="zh-CN"/>
              </w:rPr>
              <w:t>水基岩屑储存池冗余</w:t>
            </w:r>
            <w:r>
              <w:rPr>
                <w:rFonts w:hint="eastAsia" w:cs="Times New Roman"/>
                <w:szCs w:val="28"/>
              </w:rPr>
              <w:t>作为应急收容措施，厂房内设置雨水管网紧急封堵气囊和沙袋，火灾爆炸事件状态下采用充气封堵气囊投入雨污水管网内，封堵雨水管网和污水总排口。</w:t>
            </w:r>
          </w:p>
        </w:tc>
      </w:tr>
      <w:tr w14:paraId="4FE8AC4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615" w:type="pct"/>
            <w:vAlign w:val="center"/>
          </w:tcPr>
          <w:p w14:paraId="2E602542">
            <w:pPr>
              <w:pStyle w:val="20"/>
              <w:spacing w:line="240" w:lineRule="auto"/>
              <w:rPr>
                <w:rFonts w:cs="Times New Roman"/>
              </w:rPr>
            </w:pPr>
            <w:r>
              <w:rPr>
                <w:rFonts w:cs="Times New Roman"/>
              </w:rPr>
              <w:t>其他环境管理要求</w:t>
            </w:r>
          </w:p>
        </w:tc>
        <w:tc>
          <w:tcPr>
            <w:tcW w:w="4384" w:type="pct"/>
            <w:gridSpan w:val="5"/>
            <w:vAlign w:val="center"/>
          </w:tcPr>
          <w:p w14:paraId="32147343">
            <w:pPr>
              <w:pStyle w:val="20"/>
              <w:spacing w:line="240" w:lineRule="auto"/>
              <w:jc w:val="left"/>
              <w:rPr>
                <w:rFonts w:hint="eastAsia" w:ascii="Times New Roman" w:hAnsi="Times New Roman" w:eastAsia="宋体" w:cs="Times New Roman"/>
                <w:szCs w:val="28"/>
              </w:rPr>
            </w:pPr>
            <w:r>
              <w:rPr>
                <w:rFonts w:hint="eastAsia" w:ascii="Times New Roman" w:hAnsi="Times New Roman" w:eastAsia="宋体" w:cs="Times New Roman"/>
                <w:szCs w:val="28"/>
                <w:lang w:val="en-US" w:eastAsia="zh-CN"/>
              </w:rPr>
              <w:t>（</w:t>
            </w:r>
            <w:r>
              <w:rPr>
                <w:rFonts w:hint="default" w:ascii="Times New Roman" w:hAnsi="Times New Roman" w:eastAsia="宋体" w:cs="Times New Roman"/>
                <w:szCs w:val="28"/>
                <w:lang w:val="en-US" w:eastAsia="zh-CN"/>
              </w:rPr>
              <w:t>1</w:t>
            </w:r>
            <w:r>
              <w:rPr>
                <w:rFonts w:hint="eastAsia" w:ascii="Times New Roman" w:hAnsi="Times New Roman" w:eastAsia="宋体" w:cs="Times New Roman"/>
                <w:szCs w:val="28"/>
                <w:lang w:val="en-US" w:eastAsia="zh-CN"/>
              </w:rPr>
              <w:t>）项目需建立危险废物的管理台账，如实记录产生</w:t>
            </w:r>
            <w:r>
              <w:rPr>
                <w:rFonts w:hint="eastAsia" w:cs="Times New Roman"/>
                <w:szCs w:val="28"/>
                <w:lang w:val="en-US" w:eastAsia="zh-CN"/>
              </w:rPr>
              <w:t>危险</w:t>
            </w:r>
            <w:r>
              <w:rPr>
                <w:rFonts w:hint="eastAsia" w:ascii="Times New Roman" w:hAnsi="Times New Roman" w:eastAsia="宋体" w:cs="Times New Roman"/>
                <w:szCs w:val="28"/>
                <w:lang w:val="en-US" w:eastAsia="zh-CN"/>
              </w:rPr>
              <w:t xml:space="preserve">废物的种类、 </w:t>
            </w:r>
          </w:p>
          <w:p w14:paraId="0E3A9783">
            <w:pPr>
              <w:pStyle w:val="20"/>
              <w:spacing w:line="240" w:lineRule="auto"/>
              <w:jc w:val="left"/>
              <w:rPr>
                <w:rFonts w:hint="eastAsia" w:ascii="Times New Roman" w:hAnsi="Times New Roman" w:eastAsia="宋体" w:cs="Times New Roman"/>
                <w:szCs w:val="28"/>
              </w:rPr>
            </w:pPr>
            <w:r>
              <w:rPr>
                <w:rFonts w:hint="eastAsia" w:ascii="Times New Roman" w:hAnsi="Times New Roman" w:eastAsia="宋体" w:cs="Times New Roman"/>
                <w:szCs w:val="28"/>
                <w:lang w:val="en-US" w:eastAsia="zh-CN"/>
              </w:rPr>
              <w:t xml:space="preserve">数量、流向、贮存、利用、处置等信息。 </w:t>
            </w:r>
          </w:p>
          <w:p w14:paraId="58C63CE6">
            <w:pPr>
              <w:pStyle w:val="20"/>
              <w:spacing w:line="240" w:lineRule="auto"/>
              <w:jc w:val="left"/>
              <w:rPr>
                <w:rFonts w:hint="eastAsia" w:ascii="Times New Roman" w:hAnsi="Times New Roman" w:eastAsia="宋体" w:cs="Times New Roman"/>
                <w:szCs w:val="28"/>
              </w:rPr>
            </w:pPr>
            <w:r>
              <w:rPr>
                <w:rFonts w:hint="eastAsia" w:ascii="Times New Roman" w:hAnsi="Times New Roman" w:eastAsia="宋体" w:cs="Times New Roman"/>
                <w:szCs w:val="28"/>
                <w:lang w:val="en-US" w:eastAsia="zh-CN"/>
              </w:rPr>
              <w:t>（</w:t>
            </w:r>
            <w:r>
              <w:rPr>
                <w:rFonts w:hint="default" w:ascii="Times New Roman" w:hAnsi="Times New Roman" w:eastAsia="宋体" w:cs="Times New Roman"/>
                <w:szCs w:val="28"/>
                <w:lang w:val="en-US" w:eastAsia="zh-CN"/>
              </w:rPr>
              <w:t>2</w:t>
            </w:r>
            <w:r>
              <w:rPr>
                <w:rFonts w:hint="eastAsia" w:ascii="Times New Roman" w:hAnsi="Times New Roman" w:eastAsia="宋体" w:cs="Times New Roman"/>
                <w:szCs w:val="28"/>
                <w:lang w:val="en-US" w:eastAsia="zh-CN"/>
              </w:rPr>
              <w:t xml:space="preserve">）建立健全一套完善的环境管理制度，并严格按管理制度执行。 </w:t>
            </w:r>
          </w:p>
          <w:p w14:paraId="77390711">
            <w:pPr>
              <w:pStyle w:val="20"/>
              <w:spacing w:line="240" w:lineRule="auto"/>
              <w:jc w:val="left"/>
              <w:rPr>
                <w:rFonts w:hint="eastAsia" w:ascii="Times New Roman" w:hAnsi="Times New Roman" w:eastAsia="宋体" w:cs="Times New Roman"/>
                <w:szCs w:val="28"/>
              </w:rPr>
            </w:pPr>
            <w:r>
              <w:rPr>
                <w:rFonts w:hint="eastAsia" w:ascii="Times New Roman" w:hAnsi="Times New Roman" w:eastAsia="宋体" w:cs="Times New Roman"/>
                <w:szCs w:val="28"/>
                <w:lang w:val="en-US" w:eastAsia="zh-CN"/>
              </w:rPr>
              <w:t>（</w:t>
            </w:r>
            <w:r>
              <w:rPr>
                <w:rFonts w:hint="default" w:ascii="Times New Roman" w:hAnsi="Times New Roman" w:eastAsia="宋体" w:cs="Times New Roman"/>
                <w:szCs w:val="28"/>
                <w:lang w:val="en-US" w:eastAsia="zh-CN"/>
              </w:rPr>
              <w:t>3</w:t>
            </w:r>
            <w:r>
              <w:rPr>
                <w:rFonts w:hint="eastAsia" w:ascii="Times New Roman" w:hAnsi="Times New Roman" w:eastAsia="宋体" w:cs="Times New Roman"/>
                <w:szCs w:val="28"/>
                <w:lang w:val="en-US" w:eastAsia="zh-CN"/>
              </w:rPr>
              <w:t>）建设单位应严格按照</w:t>
            </w:r>
            <w:r>
              <w:rPr>
                <w:rFonts w:hint="eastAsia" w:ascii="宋体" w:hAnsi="宋体" w:eastAsia="宋体" w:cs="宋体"/>
                <w:szCs w:val="28"/>
                <w:lang w:val="en-US" w:eastAsia="zh-CN"/>
              </w:rPr>
              <w:t>国家“三同时”政策做</w:t>
            </w:r>
            <w:r>
              <w:rPr>
                <w:rFonts w:hint="eastAsia" w:ascii="Times New Roman" w:hAnsi="Times New Roman" w:eastAsia="宋体" w:cs="Times New Roman"/>
                <w:szCs w:val="28"/>
                <w:lang w:val="en-US" w:eastAsia="zh-CN"/>
              </w:rPr>
              <w:t xml:space="preserve">好有关工作，在其配套 </w:t>
            </w:r>
          </w:p>
          <w:p w14:paraId="342D7B87">
            <w:pPr>
              <w:pStyle w:val="20"/>
              <w:spacing w:line="240" w:lineRule="auto"/>
              <w:jc w:val="left"/>
              <w:rPr>
                <w:rFonts w:hint="eastAsia" w:ascii="Times New Roman" w:hAnsi="Times New Roman" w:eastAsia="宋体" w:cs="Times New Roman"/>
                <w:szCs w:val="28"/>
                <w:lang w:val="en-US" w:eastAsia="zh-CN"/>
              </w:rPr>
            </w:pPr>
            <w:r>
              <w:rPr>
                <w:rFonts w:hint="eastAsia" w:ascii="Times New Roman" w:hAnsi="Times New Roman" w:eastAsia="宋体" w:cs="Times New Roman"/>
                <w:szCs w:val="28"/>
                <w:lang w:val="en-US" w:eastAsia="zh-CN"/>
              </w:rPr>
              <w:t>建设的环境保护设施经验收合格后，方可投入生产</w:t>
            </w:r>
            <w:r>
              <w:rPr>
                <w:rFonts w:hint="eastAsia" w:cs="Times New Roman"/>
                <w:szCs w:val="28"/>
                <w:lang w:val="en-US" w:eastAsia="zh-CN"/>
              </w:rPr>
              <w:t>或</w:t>
            </w:r>
            <w:r>
              <w:rPr>
                <w:rFonts w:hint="eastAsia" w:ascii="Times New Roman" w:hAnsi="Times New Roman" w:eastAsia="宋体" w:cs="Times New Roman"/>
                <w:szCs w:val="28"/>
                <w:lang w:val="en-US" w:eastAsia="zh-CN"/>
              </w:rPr>
              <w:t>使用。</w:t>
            </w:r>
          </w:p>
          <w:p w14:paraId="0F7C7BAC">
            <w:pPr>
              <w:rPr>
                <w:rFonts w:hint="eastAsia" w:ascii="Times New Roman" w:hAnsi="Times New Roman" w:eastAsia="宋体" w:cs="Times New Roman"/>
                <w:szCs w:val="28"/>
                <w:lang w:val="en-US" w:eastAsia="zh-CN"/>
              </w:rPr>
            </w:pPr>
          </w:p>
          <w:p w14:paraId="1C18449E">
            <w:pPr>
              <w:rPr>
                <w:rFonts w:hint="eastAsia" w:ascii="Times New Roman" w:hAnsi="Times New Roman" w:eastAsia="宋体" w:cs="Times New Roman"/>
                <w:szCs w:val="28"/>
                <w:lang w:val="en-US" w:eastAsia="zh-CN"/>
              </w:rPr>
            </w:pPr>
          </w:p>
          <w:p w14:paraId="0032CC52">
            <w:pPr>
              <w:rPr>
                <w:rFonts w:hint="eastAsia" w:ascii="Times New Roman" w:hAnsi="Times New Roman" w:eastAsia="宋体" w:cs="Times New Roman"/>
                <w:szCs w:val="28"/>
                <w:lang w:val="en-US" w:eastAsia="zh-CN"/>
              </w:rPr>
            </w:pPr>
          </w:p>
        </w:tc>
      </w:tr>
    </w:tbl>
    <w:p w14:paraId="3C1B248C">
      <w:pPr>
        <w:ind w:firstLine="480"/>
        <w:rPr>
          <w:rFonts w:cs="Times New Roman"/>
        </w:rPr>
        <w:sectPr>
          <w:pgSz w:w="11906" w:h="16838"/>
          <w:pgMar w:top="1440" w:right="1080" w:bottom="1440" w:left="1080" w:header="851" w:footer="567" w:gutter="0"/>
          <w:cols w:space="425" w:num="1"/>
          <w:docGrid w:type="lines" w:linePitch="326" w:charSpace="0"/>
        </w:sectPr>
      </w:pPr>
    </w:p>
    <w:p w14:paraId="19CDE1B2">
      <w:pPr>
        <w:pStyle w:val="2"/>
        <w:rPr>
          <w:rFonts w:ascii="Times New Roman" w:hAnsi="Times New Roman"/>
        </w:rPr>
      </w:pPr>
      <w:bookmarkStart w:id="85" w:name="_Toc15298"/>
      <w:r>
        <w:rPr>
          <w:rFonts w:ascii="Times New Roman" w:hAnsi="Times New Roman"/>
        </w:rPr>
        <w:t>结论</w:t>
      </w:r>
      <w:bookmarkEnd w:id="85"/>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36"/>
      </w:tblGrid>
      <w:tr w14:paraId="782E4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24" w:hRule="atLeast"/>
        </w:trPr>
        <w:tc>
          <w:tcPr>
            <w:tcW w:w="9736" w:type="dxa"/>
          </w:tcPr>
          <w:p w14:paraId="686B59E1">
            <w:pPr>
              <w:ind w:firstLine="480"/>
              <w:rPr>
                <w:rFonts w:cs="Times New Roman"/>
              </w:rPr>
            </w:pPr>
            <w:bookmarkStart w:id="86" w:name="_Hlk207722802"/>
            <w:r>
              <w:rPr>
                <w:rFonts w:cs="Times New Roman"/>
              </w:rPr>
              <w:t>本项目的建设符合国家现行产业政策，选址符合当地规划要求，无环境制约因素，总平面布置基本合理。废气、废水、噪声在采取相应污染防治措施后可以做到达标排放，固废实现无害化处理，并通过加强管理等措施降低项目运行对环境的影响。只要认真落实本报告中提出的各项污染防治对策措施，严</w:t>
            </w:r>
            <w:r>
              <w:rPr>
                <w:rFonts w:hint="default" w:ascii="Times New Roman" w:hAnsi="Times New Roman" w:cs="Times New Roman"/>
              </w:rPr>
              <w:t>格</w:t>
            </w:r>
            <w:r>
              <w:rPr>
                <w:rFonts w:hint="eastAsia" w:ascii="宋体" w:hAnsi="宋体" w:eastAsia="宋体" w:cs="宋体"/>
              </w:rPr>
              <w:t>执行“三同时”制</w:t>
            </w:r>
            <w:r>
              <w:rPr>
                <w:rFonts w:hint="default" w:ascii="Times New Roman" w:hAnsi="Times New Roman" w:cs="Times New Roman"/>
              </w:rPr>
              <w:t>度，保</w:t>
            </w:r>
            <w:r>
              <w:rPr>
                <w:rFonts w:cs="Times New Roman"/>
              </w:rPr>
              <w:t>证环境保护措施的有效运行，确保污染物稳定达标排放，并严格按照环评要求进行环境风险防范，从环保角度而言，本项目的建设是可行的。</w:t>
            </w:r>
          </w:p>
          <w:bookmarkEnd w:id="86"/>
          <w:p w14:paraId="199B5C3D">
            <w:pPr>
              <w:ind w:firstLine="0" w:firstLineChars="0"/>
              <w:rPr>
                <w:rFonts w:cs="Times New Roman"/>
              </w:rPr>
            </w:pPr>
          </w:p>
        </w:tc>
      </w:tr>
    </w:tbl>
    <w:p w14:paraId="26790985">
      <w:pPr>
        <w:ind w:firstLine="480"/>
        <w:rPr>
          <w:rFonts w:cs="Times New Roman"/>
        </w:rPr>
        <w:sectPr>
          <w:pgSz w:w="11906" w:h="16838"/>
          <w:pgMar w:top="1440" w:right="1080" w:bottom="1440" w:left="1080" w:header="851" w:footer="567" w:gutter="0"/>
          <w:cols w:space="425" w:num="1"/>
          <w:docGrid w:type="lines" w:linePitch="326" w:charSpace="0"/>
        </w:sectPr>
      </w:pPr>
    </w:p>
    <w:p w14:paraId="218D83D5">
      <w:pPr>
        <w:adjustRightInd w:val="0"/>
        <w:snapToGrid w:val="0"/>
        <w:ind w:firstLine="640"/>
        <w:outlineLvl w:val="0"/>
        <w:rPr>
          <w:rFonts w:eastAsia="黑体" w:cs="Times New Roman"/>
          <w:snapToGrid w:val="0"/>
          <w:sz w:val="32"/>
          <w:szCs w:val="32"/>
        </w:rPr>
      </w:pPr>
      <w:bookmarkStart w:id="87" w:name="_Toc24922"/>
      <w:bookmarkStart w:id="88" w:name="_Hlk207722850"/>
      <w:r>
        <w:rPr>
          <w:rFonts w:eastAsia="黑体" w:cs="Times New Roman"/>
          <w:snapToGrid w:val="0"/>
          <w:sz w:val="32"/>
          <w:szCs w:val="32"/>
        </w:rPr>
        <w:t>附表</w:t>
      </w:r>
      <w:bookmarkEnd w:id="87"/>
    </w:p>
    <w:p w14:paraId="4D074E95">
      <w:pPr>
        <w:adjustRightInd w:val="0"/>
        <w:snapToGrid w:val="0"/>
        <w:spacing w:line="240" w:lineRule="auto"/>
        <w:ind w:firstLine="0" w:firstLineChars="0"/>
        <w:jc w:val="center"/>
        <w:outlineLvl w:val="0"/>
        <w:rPr>
          <w:rFonts w:eastAsia="方正小标宋_GBK" w:cs="Times New Roman"/>
          <w:snapToGrid w:val="0"/>
          <w:sz w:val="38"/>
          <w:szCs w:val="38"/>
        </w:rPr>
      </w:pPr>
      <w:bookmarkStart w:id="89" w:name="_Toc3500"/>
      <w:r>
        <w:rPr>
          <w:rFonts w:eastAsia="方正小标宋_GBK" w:cs="Times New Roman"/>
          <w:snapToGrid w:val="0"/>
          <w:sz w:val="38"/>
          <w:szCs w:val="38"/>
        </w:rPr>
        <w:t>建设项目污染物排放量汇总表</w:t>
      </w:r>
      <w:bookmarkEnd w:id="89"/>
    </w:p>
    <w:tbl>
      <w:tblPr>
        <w:tblStyle w:val="26"/>
        <w:tblW w:w="13788"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588"/>
        <w:gridCol w:w="1520"/>
        <w:gridCol w:w="1598"/>
        <w:gridCol w:w="1276"/>
        <w:gridCol w:w="1701"/>
        <w:gridCol w:w="1559"/>
        <w:gridCol w:w="1761"/>
        <w:gridCol w:w="1562"/>
        <w:gridCol w:w="1223"/>
      </w:tblGrid>
      <w:tr w14:paraId="5F48B76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588" w:type="dxa"/>
            <w:tcBorders>
              <w:tl2br w:val="single" w:color="auto" w:sz="4" w:space="0"/>
            </w:tcBorders>
            <w:tcMar>
              <w:left w:w="28" w:type="dxa"/>
              <w:right w:w="28" w:type="dxa"/>
            </w:tcMar>
            <w:vAlign w:val="center"/>
          </w:tcPr>
          <w:p w14:paraId="2C5E798E">
            <w:pPr>
              <w:pStyle w:val="12"/>
              <w:rPr>
                <w:rFonts w:cs="Times New Roman"/>
                <w:snapToGrid w:val="0"/>
              </w:rPr>
            </w:pPr>
            <w:r>
              <w:rPr>
                <w:rFonts w:cs="Times New Roman"/>
                <w:snapToGrid w:val="0"/>
              </w:rPr>
              <w:t>项目</w:t>
            </w:r>
          </w:p>
          <w:p w14:paraId="3F6A04BE">
            <w:pPr>
              <w:pStyle w:val="12"/>
              <w:rPr>
                <w:rFonts w:cs="Times New Roman"/>
                <w:snapToGrid w:val="0"/>
              </w:rPr>
            </w:pPr>
            <w:r>
              <w:rPr>
                <w:rFonts w:cs="Times New Roman"/>
                <w:snapToGrid w:val="0"/>
              </w:rPr>
              <w:t>分类</w:t>
            </w:r>
          </w:p>
        </w:tc>
        <w:tc>
          <w:tcPr>
            <w:tcW w:w="1520" w:type="dxa"/>
            <w:tcMar>
              <w:left w:w="28" w:type="dxa"/>
              <w:right w:w="28" w:type="dxa"/>
            </w:tcMar>
            <w:vAlign w:val="center"/>
          </w:tcPr>
          <w:p w14:paraId="6144C3CA">
            <w:pPr>
              <w:pStyle w:val="12"/>
              <w:rPr>
                <w:rFonts w:cs="Times New Roman"/>
                <w:snapToGrid w:val="0"/>
              </w:rPr>
            </w:pPr>
            <w:r>
              <w:rPr>
                <w:rFonts w:cs="Times New Roman"/>
                <w:snapToGrid w:val="0"/>
              </w:rPr>
              <w:t>污染物名称</w:t>
            </w:r>
          </w:p>
        </w:tc>
        <w:tc>
          <w:tcPr>
            <w:tcW w:w="1598" w:type="dxa"/>
            <w:tcMar>
              <w:left w:w="28" w:type="dxa"/>
              <w:right w:w="28" w:type="dxa"/>
            </w:tcMar>
            <w:vAlign w:val="center"/>
          </w:tcPr>
          <w:p w14:paraId="26180343">
            <w:pPr>
              <w:pStyle w:val="12"/>
              <w:rPr>
                <w:rFonts w:cs="Times New Roman"/>
                <w:snapToGrid w:val="0"/>
              </w:rPr>
            </w:pPr>
            <w:r>
              <w:rPr>
                <w:rFonts w:cs="Times New Roman"/>
                <w:snapToGrid w:val="0"/>
              </w:rPr>
              <w:t>现有工程</w:t>
            </w:r>
          </w:p>
          <w:p w14:paraId="0241E3E1">
            <w:pPr>
              <w:pStyle w:val="12"/>
              <w:rPr>
                <w:rFonts w:cs="Times New Roman"/>
                <w:snapToGrid w:val="0"/>
              </w:rPr>
            </w:pPr>
            <w:r>
              <w:rPr>
                <w:rFonts w:cs="Times New Roman"/>
                <w:snapToGrid w:val="0"/>
              </w:rPr>
              <w:t>排放量（固体废物产生量）</w:t>
            </w:r>
            <w:r>
              <w:rPr>
                <w:rFonts w:cs="Times New Roman"/>
                <w:snapToGrid w:val="0"/>
              </w:rPr>
              <w:fldChar w:fldCharType="begin"/>
            </w:r>
            <w:r>
              <w:rPr>
                <w:rFonts w:cs="Times New Roman"/>
                <w:snapToGrid w:val="0"/>
              </w:rPr>
              <w:instrText xml:space="preserve"> = 1 \* GB3 \* MERGEFORMAT </w:instrText>
            </w:r>
            <w:r>
              <w:rPr>
                <w:rFonts w:cs="Times New Roman"/>
                <w:snapToGrid w:val="0"/>
              </w:rPr>
              <w:fldChar w:fldCharType="separate"/>
            </w:r>
            <w:r>
              <w:rPr>
                <w:rFonts w:hint="eastAsia" w:ascii="宋体" w:hAnsi="宋体" w:cs="宋体"/>
              </w:rPr>
              <w:t>①</w:t>
            </w:r>
            <w:r>
              <w:rPr>
                <w:rFonts w:cs="Times New Roman"/>
                <w:snapToGrid w:val="0"/>
              </w:rPr>
              <w:fldChar w:fldCharType="end"/>
            </w:r>
          </w:p>
        </w:tc>
        <w:tc>
          <w:tcPr>
            <w:tcW w:w="1276" w:type="dxa"/>
            <w:tcMar>
              <w:left w:w="28" w:type="dxa"/>
              <w:right w:w="28" w:type="dxa"/>
            </w:tcMar>
            <w:vAlign w:val="center"/>
          </w:tcPr>
          <w:p w14:paraId="34CFED9B">
            <w:pPr>
              <w:pStyle w:val="12"/>
              <w:rPr>
                <w:rFonts w:cs="Times New Roman"/>
                <w:snapToGrid w:val="0"/>
              </w:rPr>
            </w:pPr>
            <w:r>
              <w:rPr>
                <w:rFonts w:cs="Times New Roman"/>
                <w:snapToGrid w:val="0"/>
              </w:rPr>
              <w:t>现有工程</w:t>
            </w:r>
          </w:p>
          <w:p w14:paraId="27DB1600">
            <w:pPr>
              <w:pStyle w:val="12"/>
              <w:rPr>
                <w:rFonts w:cs="Times New Roman"/>
                <w:snapToGrid w:val="0"/>
              </w:rPr>
            </w:pPr>
            <w:r>
              <w:rPr>
                <w:rFonts w:cs="Times New Roman"/>
                <w:snapToGrid w:val="0"/>
              </w:rPr>
              <w:t>许可排放量</w:t>
            </w:r>
          </w:p>
          <w:p w14:paraId="1AE7BB72">
            <w:pPr>
              <w:pStyle w:val="12"/>
              <w:rPr>
                <w:rFonts w:cs="Times New Roman"/>
                <w:snapToGrid w:val="0"/>
              </w:rPr>
            </w:pPr>
            <w:r>
              <w:rPr>
                <w:rFonts w:cs="Times New Roman"/>
                <w:snapToGrid w:val="0"/>
              </w:rPr>
              <w:fldChar w:fldCharType="begin"/>
            </w:r>
            <w:r>
              <w:rPr>
                <w:rFonts w:cs="Times New Roman"/>
                <w:snapToGrid w:val="0"/>
              </w:rPr>
              <w:instrText xml:space="preserve"> = 2 \* GB3 \* MERGEFORMAT </w:instrText>
            </w:r>
            <w:r>
              <w:rPr>
                <w:rFonts w:cs="Times New Roman"/>
                <w:snapToGrid w:val="0"/>
              </w:rPr>
              <w:fldChar w:fldCharType="separate"/>
            </w:r>
            <w:r>
              <w:rPr>
                <w:rFonts w:hint="eastAsia" w:ascii="宋体" w:hAnsi="宋体" w:cs="宋体"/>
                <w:snapToGrid w:val="0"/>
              </w:rPr>
              <w:t>②</w:t>
            </w:r>
            <w:r>
              <w:rPr>
                <w:rFonts w:cs="Times New Roman"/>
                <w:snapToGrid w:val="0"/>
              </w:rPr>
              <w:fldChar w:fldCharType="end"/>
            </w:r>
          </w:p>
        </w:tc>
        <w:tc>
          <w:tcPr>
            <w:tcW w:w="1701" w:type="dxa"/>
            <w:tcMar>
              <w:left w:w="28" w:type="dxa"/>
              <w:right w:w="28" w:type="dxa"/>
            </w:tcMar>
            <w:vAlign w:val="center"/>
          </w:tcPr>
          <w:p w14:paraId="470EB5CB">
            <w:pPr>
              <w:pStyle w:val="12"/>
              <w:rPr>
                <w:rFonts w:cs="Times New Roman"/>
                <w:snapToGrid w:val="0"/>
              </w:rPr>
            </w:pPr>
            <w:r>
              <w:rPr>
                <w:rFonts w:cs="Times New Roman"/>
                <w:snapToGrid w:val="0"/>
              </w:rPr>
              <w:t>在建工程</w:t>
            </w:r>
          </w:p>
          <w:p w14:paraId="1A60FB20">
            <w:pPr>
              <w:pStyle w:val="12"/>
              <w:rPr>
                <w:rFonts w:cs="Times New Roman"/>
                <w:snapToGrid w:val="0"/>
              </w:rPr>
            </w:pPr>
            <w:r>
              <w:rPr>
                <w:rFonts w:cs="Times New Roman"/>
                <w:snapToGrid w:val="0"/>
              </w:rPr>
              <w:t>排放量（固体废物产生量）</w:t>
            </w:r>
            <w:r>
              <w:rPr>
                <w:rFonts w:cs="Times New Roman"/>
                <w:snapToGrid w:val="0"/>
              </w:rPr>
              <w:fldChar w:fldCharType="begin"/>
            </w:r>
            <w:r>
              <w:rPr>
                <w:rFonts w:cs="Times New Roman"/>
                <w:snapToGrid w:val="0"/>
              </w:rPr>
              <w:instrText xml:space="preserve"> = 3 \* GB3 \* MERGEFORMAT </w:instrText>
            </w:r>
            <w:r>
              <w:rPr>
                <w:rFonts w:cs="Times New Roman"/>
                <w:snapToGrid w:val="0"/>
              </w:rPr>
              <w:fldChar w:fldCharType="separate"/>
            </w:r>
            <w:r>
              <w:rPr>
                <w:rFonts w:hint="eastAsia" w:ascii="宋体" w:hAnsi="宋体" w:cs="宋体"/>
              </w:rPr>
              <w:t>③</w:t>
            </w:r>
            <w:r>
              <w:rPr>
                <w:rFonts w:cs="Times New Roman"/>
                <w:snapToGrid w:val="0"/>
              </w:rPr>
              <w:fldChar w:fldCharType="end"/>
            </w:r>
          </w:p>
        </w:tc>
        <w:tc>
          <w:tcPr>
            <w:tcW w:w="1559" w:type="dxa"/>
            <w:tcMar>
              <w:left w:w="28" w:type="dxa"/>
              <w:right w:w="28" w:type="dxa"/>
            </w:tcMar>
            <w:vAlign w:val="center"/>
          </w:tcPr>
          <w:p w14:paraId="158EADF4">
            <w:pPr>
              <w:pStyle w:val="12"/>
              <w:rPr>
                <w:rFonts w:cs="Times New Roman"/>
                <w:snapToGrid w:val="0"/>
              </w:rPr>
            </w:pPr>
            <w:r>
              <w:rPr>
                <w:rFonts w:cs="Times New Roman"/>
                <w:snapToGrid w:val="0"/>
              </w:rPr>
              <w:t>本项目</w:t>
            </w:r>
          </w:p>
          <w:p w14:paraId="1DB42D61">
            <w:pPr>
              <w:pStyle w:val="12"/>
              <w:rPr>
                <w:rFonts w:cs="Times New Roman"/>
                <w:snapToGrid w:val="0"/>
              </w:rPr>
            </w:pPr>
            <w:r>
              <w:rPr>
                <w:rFonts w:cs="Times New Roman"/>
                <w:snapToGrid w:val="0"/>
              </w:rPr>
              <w:t>排放量（固体废物产生量）</w:t>
            </w:r>
            <w:r>
              <w:rPr>
                <w:rFonts w:cs="Times New Roman"/>
                <w:snapToGrid w:val="0"/>
              </w:rPr>
              <w:fldChar w:fldCharType="begin"/>
            </w:r>
            <w:r>
              <w:rPr>
                <w:rFonts w:cs="Times New Roman"/>
                <w:snapToGrid w:val="0"/>
              </w:rPr>
              <w:instrText xml:space="preserve"> = 4 \* GB3 \* MERGEFORMAT </w:instrText>
            </w:r>
            <w:r>
              <w:rPr>
                <w:rFonts w:cs="Times New Roman"/>
                <w:snapToGrid w:val="0"/>
              </w:rPr>
              <w:fldChar w:fldCharType="separate"/>
            </w:r>
            <w:r>
              <w:rPr>
                <w:rFonts w:hint="eastAsia" w:ascii="宋体" w:hAnsi="宋体" w:cs="宋体"/>
              </w:rPr>
              <w:t>④</w:t>
            </w:r>
            <w:r>
              <w:rPr>
                <w:rFonts w:cs="Times New Roman"/>
                <w:snapToGrid w:val="0"/>
              </w:rPr>
              <w:fldChar w:fldCharType="end"/>
            </w:r>
          </w:p>
        </w:tc>
        <w:tc>
          <w:tcPr>
            <w:tcW w:w="1761" w:type="dxa"/>
            <w:tcMar>
              <w:left w:w="28" w:type="dxa"/>
              <w:right w:w="28" w:type="dxa"/>
            </w:tcMar>
            <w:vAlign w:val="center"/>
          </w:tcPr>
          <w:p w14:paraId="243D9D82">
            <w:pPr>
              <w:pStyle w:val="12"/>
              <w:rPr>
                <w:rFonts w:cs="Times New Roman"/>
                <w:snapToGrid w:val="0"/>
              </w:rPr>
            </w:pPr>
            <w:r>
              <w:rPr>
                <w:rFonts w:cs="Times New Roman"/>
                <w:snapToGrid w:val="0"/>
              </w:rPr>
              <w:t>以新带老削减量</w:t>
            </w:r>
          </w:p>
          <w:p w14:paraId="6AD051B3">
            <w:pPr>
              <w:pStyle w:val="12"/>
              <w:rPr>
                <w:rFonts w:cs="Times New Roman"/>
                <w:snapToGrid w:val="0"/>
              </w:rPr>
            </w:pPr>
            <w:r>
              <w:rPr>
                <w:rFonts w:cs="Times New Roman"/>
                <w:snapToGrid w:val="0"/>
              </w:rPr>
              <w:t>（新建项目不填）</w:t>
            </w:r>
            <w:r>
              <w:rPr>
                <w:rFonts w:cs="Times New Roman"/>
                <w:snapToGrid w:val="0"/>
              </w:rPr>
              <w:fldChar w:fldCharType="begin"/>
            </w:r>
            <w:r>
              <w:rPr>
                <w:rFonts w:cs="Times New Roman"/>
                <w:snapToGrid w:val="0"/>
              </w:rPr>
              <w:instrText xml:space="preserve"> = 5 \* GB3 \* MERGEFORMAT </w:instrText>
            </w:r>
            <w:r>
              <w:rPr>
                <w:rFonts w:cs="Times New Roman"/>
                <w:snapToGrid w:val="0"/>
              </w:rPr>
              <w:fldChar w:fldCharType="separate"/>
            </w:r>
            <w:r>
              <w:rPr>
                <w:rFonts w:hint="eastAsia" w:ascii="宋体" w:hAnsi="宋体" w:cs="宋体"/>
              </w:rPr>
              <w:t>⑤</w:t>
            </w:r>
            <w:r>
              <w:rPr>
                <w:rFonts w:cs="Times New Roman"/>
                <w:snapToGrid w:val="0"/>
              </w:rPr>
              <w:fldChar w:fldCharType="end"/>
            </w:r>
          </w:p>
        </w:tc>
        <w:tc>
          <w:tcPr>
            <w:tcW w:w="1562" w:type="dxa"/>
            <w:tcMar>
              <w:left w:w="28" w:type="dxa"/>
              <w:right w:w="28" w:type="dxa"/>
            </w:tcMar>
            <w:vAlign w:val="center"/>
          </w:tcPr>
          <w:p w14:paraId="54DB392F">
            <w:pPr>
              <w:pStyle w:val="12"/>
              <w:rPr>
                <w:rFonts w:cs="Times New Roman"/>
                <w:snapToGrid w:val="0"/>
              </w:rPr>
            </w:pPr>
            <w:r>
              <w:rPr>
                <w:rFonts w:cs="Times New Roman"/>
                <w:snapToGrid w:val="0"/>
              </w:rPr>
              <w:t>本项目建成后</w:t>
            </w:r>
          </w:p>
          <w:p w14:paraId="792DB555">
            <w:pPr>
              <w:pStyle w:val="12"/>
              <w:rPr>
                <w:rFonts w:cs="Times New Roman"/>
                <w:snapToGrid w:val="0"/>
              </w:rPr>
            </w:pPr>
            <w:r>
              <w:rPr>
                <w:rFonts w:cs="Times New Roman"/>
                <w:snapToGrid w:val="0"/>
              </w:rPr>
              <w:t>全厂排放量（固体废物产生量）</w:t>
            </w:r>
            <w:r>
              <w:rPr>
                <w:rFonts w:cs="Times New Roman"/>
                <w:snapToGrid w:val="0"/>
              </w:rPr>
              <w:fldChar w:fldCharType="begin"/>
            </w:r>
            <w:r>
              <w:rPr>
                <w:rFonts w:cs="Times New Roman"/>
                <w:snapToGrid w:val="0"/>
              </w:rPr>
              <w:instrText xml:space="preserve"> = 6 \* GB3 \* MERGEFORMAT </w:instrText>
            </w:r>
            <w:r>
              <w:rPr>
                <w:rFonts w:cs="Times New Roman"/>
                <w:snapToGrid w:val="0"/>
              </w:rPr>
              <w:fldChar w:fldCharType="separate"/>
            </w:r>
            <w:r>
              <w:rPr>
                <w:rFonts w:hint="eastAsia" w:ascii="宋体" w:hAnsi="宋体" w:cs="宋体"/>
              </w:rPr>
              <w:t>⑥</w:t>
            </w:r>
            <w:r>
              <w:rPr>
                <w:rFonts w:cs="Times New Roman"/>
                <w:snapToGrid w:val="0"/>
              </w:rPr>
              <w:fldChar w:fldCharType="end"/>
            </w:r>
          </w:p>
        </w:tc>
        <w:tc>
          <w:tcPr>
            <w:tcW w:w="1223" w:type="dxa"/>
            <w:tcMar>
              <w:left w:w="28" w:type="dxa"/>
              <w:right w:w="28" w:type="dxa"/>
            </w:tcMar>
            <w:vAlign w:val="center"/>
          </w:tcPr>
          <w:p w14:paraId="69928858">
            <w:pPr>
              <w:pStyle w:val="12"/>
              <w:rPr>
                <w:rFonts w:cs="Times New Roman"/>
                <w:snapToGrid w:val="0"/>
              </w:rPr>
            </w:pPr>
            <w:r>
              <w:rPr>
                <w:rFonts w:cs="Times New Roman"/>
                <w:snapToGrid w:val="0"/>
              </w:rPr>
              <w:t>变化量</w:t>
            </w:r>
          </w:p>
          <w:p w14:paraId="35858B96">
            <w:pPr>
              <w:pStyle w:val="12"/>
              <w:rPr>
                <w:rFonts w:cs="Times New Roman"/>
                <w:snapToGrid w:val="0"/>
              </w:rPr>
            </w:pPr>
            <w:r>
              <w:rPr>
                <w:rFonts w:cs="Times New Roman"/>
                <w:snapToGrid w:val="0"/>
              </w:rPr>
              <w:fldChar w:fldCharType="begin"/>
            </w:r>
            <w:r>
              <w:rPr>
                <w:rFonts w:cs="Times New Roman"/>
                <w:snapToGrid w:val="0"/>
              </w:rPr>
              <w:instrText xml:space="preserve"> = 7 \* GB3 \* MERGEFORMAT </w:instrText>
            </w:r>
            <w:r>
              <w:rPr>
                <w:rFonts w:cs="Times New Roman"/>
                <w:snapToGrid w:val="0"/>
              </w:rPr>
              <w:fldChar w:fldCharType="separate"/>
            </w:r>
            <w:r>
              <w:rPr>
                <w:rFonts w:hint="eastAsia" w:ascii="宋体" w:hAnsi="宋体" w:cs="宋体"/>
              </w:rPr>
              <w:t>⑦</w:t>
            </w:r>
            <w:r>
              <w:rPr>
                <w:rFonts w:cs="Times New Roman"/>
                <w:snapToGrid w:val="0"/>
              </w:rPr>
              <w:fldChar w:fldCharType="end"/>
            </w:r>
          </w:p>
        </w:tc>
      </w:tr>
      <w:tr w14:paraId="428F7E3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588" w:type="dxa"/>
            <w:vMerge w:val="restart"/>
            <w:vAlign w:val="center"/>
          </w:tcPr>
          <w:p w14:paraId="03B005CB">
            <w:pPr>
              <w:pStyle w:val="12"/>
              <w:rPr>
                <w:rFonts w:cs="Times New Roman"/>
                <w:snapToGrid w:val="0"/>
              </w:rPr>
            </w:pPr>
            <w:r>
              <w:rPr>
                <w:rFonts w:cs="Times New Roman"/>
                <w:snapToGrid w:val="0"/>
              </w:rPr>
              <w:t>废气</w:t>
            </w:r>
          </w:p>
        </w:tc>
        <w:tc>
          <w:tcPr>
            <w:tcW w:w="1520" w:type="dxa"/>
            <w:vAlign w:val="center"/>
          </w:tcPr>
          <w:p w14:paraId="12DAF266">
            <w:pPr>
              <w:pStyle w:val="12"/>
              <w:rPr>
                <w:rFonts w:cs="Times New Roman"/>
              </w:rPr>
            </w:pPr>
            <w:r>
              <w:rPr>
                <w:rFonts w:cs="Times New Roman"/>
                <w:snapToGrid w:val="0"/>
              </w:rPr>
              <w:t>颗粒物</w:t>
            </w:r>
          </w:p>
        </w:tc>
        <w:tc>
          <w:tcPr>
            <w:tcW w:w="1598" w:type="dxa"/>
            <w:vAlign w:val="center"/>
          </w:tcPr>
          <w:p w14:paraId="7491E8A0">
            <w:pPr>
              <w:pStyle w:val="12"/>
              <w:rPr>
                <w:rFonts w:cs="Times New Roman"/>
              </w:rPr>
            </w:pPr>
            <w:r>
              <w:rPr>
                <w:rFonts w:cs="Times New Roman"/>
                <w:snapToGrid w:val="0"/>
              </w:rPr>
              <w:t>/</w:t>
            </w:r>
          </w:p>
        </w:tc>
        <w:tc>
          <w:tcPr>
            <w:tcW w:w="1276" w:type="dxa"/>
            <w:vAlign w:val="center"/>
          </w:tcPr>
          <w:p w14:paraId="1C963D76">
            <w:pPr>
              <w:pStyle w:val="12"/>
              <w:rPr>
                <w:rFonts w:cs="Times New Roman"/>
              </w:rPr>
            </w:pPr>
            <w:r>
              <w:rPr>
                <w:rFonts w:cs="Times New Roman"/>
                <w:snapToGrid w:val="0"/>
              </w:rPr>
              <w:t>/</w:t>
            </w:r>
          </w:p>
        </w:tc>
        <w:tc>
          <w:tcPr>
            <w:tcW w:w="1701" w:type="dxa"/>
            <w:vAlign w:val="center"/>
          </w:tcPr>
          <w:p w14:paraId="4AC08ABE">
            <w:pPr>
              <w:pStyle w:val="12"/>
              <w:rPr>
                <w:rFonts w:cs="Times New Roman"/>
              </w:rPr>
            </w:pPr>
            <w:r>
              <w:rPr>
                <w:rFonts w:cs="Times New Roman"/>
                <w:snapToGrid w:val="0"/>
              </w:rPr>
              <w:t>/</w:t>
            </w:r>
          </w:p>
        </w:tc>
        <w:tc>
          <w:tcPr>
            <w:tcW w:w="1559" w:type="dxa"/>
            <w:vAlign w:val="center"/>
          </w:tcPr>
          <w:p w14:paraId="579781AD">
            <w:pPr>
              <w:keepNext w:val="0"/>
              <w:keepLines w:val="0"/>
              <w:widowControl/>
              <w:suppressLineNumbers w:val="0"/>
              <w:spacing w:line="240" w:lineRule="auto"/>
              <w:ind w:firstLine="0" w:firstLineChars="0"/>
              <w:jc w:val="center"/>
              <w:textAlignment w:val="center"/>
              <w:rPr>
                <w:rFonts w:hint="default" w:eastAsia="宋体" w:cs="Times New Roman"/>
                <w:kern w:val="21"/>
                <w:szCs w:val="21"/>
                <w:lang w:val="en-US" w:eastAsia="zh-CN"/>
              </w:rPr>
            </w:pPr>
            <w:r>
              <w:rPr>
                <w:rFonts w:hint="eastAsia" w:cs="Times New Roman"/>
                <w:i w:val="0"/>
                <w:iCs w:val="0"/>
                <w:color w:val="auto"/>
                <w:kern w:val="0"/>
                <w:sz w:val="21"/>
                <w:szCs w:val="21"/>
                <w:u w:val="none"/>
                <w:lang w:val="en-US" w:eastAsia="zh-CN" w:bidi="ar"/>
              </w:rPr>
              <w:t>0.8802</w:t>
            </w:r>
          </w:p>
        </w:tc>
        <w:tc>
          <w:tcPr>
            <w:tcW w:w="1761" w:type="dxa"/>
            <w:vAlign w:val="center"/>
          </w:tcPr>
          <w:p w14:paraId="6A569DD7">
            <w:pPr>
              <w:pStyle w:val="12"/>
              <w:rPr>
                <w:rFonts w:cs="Times New Roman"/>
              </w:rPr>
            </w:pPr>
            <w:r>
              <w:rPr>
                <w:rFonts w:cs="Times New Roman"/>
                <w:snapToGrid w:val="0"/>
              </w:rPr>
              <w:t>/</w:t>
            </w:r>
          </w:p>
        </w:tc>
        <w:tc>
          <w:tcPr>
            <w:tcW w:w="1562" w:type="dxa"/>
            <w:vAlign w:val="center"/>
          </w:tcPr>
          <w:p w14:paraId="17F232B3">
            <w:pPr>
              <w:keepNext w:val="0"/>
              <w:keepLines w:val="0"/>
              <w:widowControl/>
              <w:suppressLineNumbers w:val="0"/>
              <w:spacing w:line="240" w:lineRule="auto"/>
              <w:ind w:firstLine="0" w:firstLineChars="0"/>
              <w:jc w:val="center"/>
              <w:textAlignment w:val="center"/>
              <w:rPr>
                <w:rFonts w:cs="Times New Roman"/>
                <w:kern w:val="21"/>
                <w:szCs w:val="21"/>
              </w:rPr>
            </w:pPr>
            <w:r>
              <w:rPr>
                <w:rFonts w:hint="eastAsia" w:cs="Times New Roman"/>
                <w:i w:val="0"/>
                <w:iCs w:val="0"/>
                <w:color w:val="auto"/>
                <w:kern w:val="0"/>
                <w:sz w:val="21"/>
                <w:szCs w:val="21"/>
                <w:u w:val="none"/>
                <w:lang w:val="en-US" w:eastAsia="zh-CN" w:bidi="ar"/>
              </w:rPr>
              <w:t>0.8802</w:t>
            </w:r>
          </w:p>
        </w:tc>
        <w:tc>
          <w:tcPr>
            <w:tcW w:w="1223" w:type="dxa"/>
            <w:vAlign w:val="center"/>
          </w:tcPr>
          <w:p w14:paraId="418FBE97">
            <w:pPr>
              <w:pStyle w:val="12"/>
              <w:ind w:firstLine="0" w:firstLineChars="0"/>
              <w:rPr>
                <w:rFonts w:cs="Times New Roman"/>
                <w:kern w:val="21"/>
                <w:szCs w:val="21"/>
              </w:rPr>
            </w:pPr>
            <w:r>
              <w:rPr>
                <w:rFonts w:cs="Times New Roman"/>
                <w:snapToGrid w:val="0"/>
              </w:rPr>
              <w:t>/</w:t>
            </w:r>
          </w:p>
        </w:tc>
      </w:tr>
      <w:tr w14:paraId="4AA984B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588" w:type="dxa"/>
            <w:vMerge w:val="continue"/>
            <w:vAlign w:val="center"/>
          </w:tcPr>
          <w:p w14:paraId="045ACA56">
            <w:pPr>
              <w:pStyle w:val="12"/>
              <w:rPr>
                <w:rFonts w:cs="Times New Roman"/>
                <w:snapToGrid w:val="0"/>
                <w:kern w:val="21"/>
                <w:sz w:val="24"/>
              </w:rPr>
            </w:pPr>
          </w:p>
        </w:tc>
        <w:tc>
          <w:tcPr>
            <w:tcW w:w="1520" w:type="dxa"/>
            <w:vAlign w:val="center"/>
          </w:tcPr>
          <w:p w14:paraId="2A10E5C4">
            <w:pPr>
              <w:pStyle w:val="12"/>
              <w:rPr>
                <w:rFonts w:cs="Times New Roman"/>
                <w:snapToGrid w:val="0"/>
              </w:rPr>
            </w:pPr>
            <w:r>
              <w:rPr>
                <w:rFonts w:cs="Times New Roman"/>
                <w:snapToGrid w:val="0"/>
              </w:rPr>
              <w:t>二氧化硫</w:t>
            </w:r>
          </w:p>
        </w:tc>
        <w:tc>
          <w:tcPr>
            <w:tcW w:w="1598" w:type="dxa"/>
            <w:vAlign w:val="center"/>
          </w:tcPr>
          <w:p w14:paraId="654B48BB">
            <w:pPr>
              <w:pStyle w:val="12"/>
              <w:rPr>
                <w:rFonts w:cs="Times New Roman"/>
                <w:snapToGrid w:val="0"/>
              </w:rPr>
            </w:pPr>
            <w:r>
              <w:rPr>
                <w:rFonts w:cs="Times New Roman"/>
                <w:snapToGrid w:val="0"/>
              </w:rPr>
              <w:t>/</w:t>
            </w:r>
          </w:p>
        </w:tc>
        <w:tc>
          <w:tcPr>
            <w:tcW w:w="1276" w:type="dxa"/>
            <w:vAlign w:val="center"/>
          </w:tcPr>
          <w:p w14:paraId="14321526">
            <w:pPr>
              <w:pStyle w:val="12"/>
              <w:rPr>
                <w:rFonts w:cs="Times New Roman"/>
                <w:snapToGrid w:val="0"/>
              </w:rPr>
            </w:pPr>
            <w:r>
              <w:rPr>
                <w:rFonts w:cs="Times New Roman"/>
                <w:snapToGrid w:val="0"/>
              </w:rPr>
              <w:t>/</w:t>
            </w:r>
          </w:p>
        </w:tc>
        <w:tc>
          <w:tcPr>
            <w:tcW w:w="1701" w:type="dxa"/>
            <w:vAlign w:val="center"/>
          </w:tcPr>
          <w:p w14:paraId="6062217A">
            <w:pPr>
              <w:pStyle w:val="12"/>
              <w:rPr>
                <w:rFonts w:cs="Times New Roman"/>
                <w:snapToGrid w:val="0"/>
              </w:rPr>
            </w:pPr>
            <w:r>
              <w:rPr>
                <w:rFonts w:cs="Times New Roman"/>
                <w:snapToGrid w:val="0"/>
              </w:rPr>
              <w:t>/</w:t>
            </w:r>
          </w:p>
        </w:tc>
        <w:tc>
          <w:tcPr>
            <w:tcW w:w="1559" w:type="dxa"/>
            <w:vAlign w:val="center"/>
          </w:tcPr>
          <w:p w14:paraId="2FAB3AE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eastAsia="宋体" w:cs="Times New Roman"/>
                <w:szCs w:val="21"/>
                <w:lang w:val="en-US" w:eastAsia="zh-CN"/>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1.0340</w:t>
            </w:r>
          </w:p>
        </w:tc>
        <w:tc>
          <w:tcPr>
            <w:tcW w:w="1761" w:type="dxa"/>
            <w:vAlign w:val="center"/>
          </w:tcPr>
          <w:p w14:paraId="56FEC9B7">
            <w:pPr>
              <w:pStyle w:val="12"/>
              <w:rPr>
                <w:rFonts w:cs="Times New Roman"/>
                <w:snapToGrid w:val="0"/>
              </w:rPr>
            </w:pPr>
            <w:r>
              <w:rPr>
                <w:rFonts w:cs="Times New Roman"/>
                <w:snapToGrid w:val="0"/>
              </w:rPr>
              <w:t>/</w:t>
            </w:r>
          </w:p>
        </w:tc>
        <w:tc>
          <w:tcPr>
            <w:tcW w:w="1562" w:type="dxa"/>
            <w:vAlign w:val="center"/>
          </w:tcPr>
          <w:p w14:paraId="078D549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cs="Times New Roman"/>
                <w:szCs w:val="21"/>
                <w:lang w:val="en-US"/>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1.0340</w:t>
            </w:r>
          </w:p>
        </w:tc>
        <w:tc>
          <w:tcPr>
            <w:tcW w:w="1223" w:type="dxa"/>
            <w:vAlign w:val="center"/>
          </w:tcPr>
          <w:p w14:paraId="53F3CA6C">
            <w:pPr>
              <w:pStyle w:val="12"/>
              <w:ind w:firstLine="0" w:firstLineChars="0"/>
              <w:rPr>
                <w:rFonts w:eastAsia="黑体" w:cs="Times New Roman"/>
                <w:snapToGrid w:val="0"/>
                <w:kern w:val="21"/>
                <w:szCs w:val="21"/>
              </w:rPr>
            </w:pPr>
            <w:r>
              <w:rPr>
                <w:rFonts w:cs="Times New Roman"/>
                <w:snapToGrid w:val="0"/>
              </w:rPr>
              <w:t>/</w:t>
            </w:r>
          </w:p>
        </w:tc>
      </w:tr>
      <w:tr w14:paraId="53A426B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588" w:type="dxa"/>
            <w:vMerge w:val="continue"/>
            <w:vAlign w:val="center"/>
          </w:tcPr>
          <w:p w14:paraId="64549D58">
            <w:pPr>
              <w:pStyle w:val="12"/>
              <w:rPr>
                <w:rFonts w:cs="Times New Roman"/>
                <w:snapToGrid w:val="0"/>
                <w:kern w:val="21"/>
                <w:sz w:val="24"/>
              </w:rPr>
            </w:pPr>
          </w:p>
        </w:tc>
        <w:tc>
          <w:tcPr>
            <w:tcW w:w="1520" w:type="dxa"/>
            <w:vAlign w:val="center"/>
          </w:tcPr>
          <w:p w14:paraId="1D251C67">
            <w:pPr>
              <w:pStyle w:val="12"/>
              <w:rPr>
                <w:rFonts w:cs="Times New Roman"/>
                <w:kern w:val="21"/>
                <w:szCs w:val="21"/>
                <w:lang w:bidi="ar"/>
              </w:rPr>
            </w:pPr>
            <w:r>
              <w:rPr>
                <w:rFonts w:cs="Times New Roman"/>
                <w:snapToGrid w:val="0"/>
              </w:rPr>
              <w:t>氮氧化物</w:t>
            </w:r>
          </w:p>
        </w:tc>
        <w:tc>
          <w:tcPr>
            <w:tcW w:w="1598" w:type="dxa"/>
            <w:vAlign w:val="center"/>
          </w:tcPr>
          <w:p w14:paraId="33BF5052">
            <w:pPr>
              <w:pStyle w:val="12"/>
              <w:rPr>
                <w:rFonts w:cs="Times New Roman"/>
                <w:lang w:bidi="ar"/>
              </w:rPr>
            </w:pPr>
            <w:r>
              <w:rPr>
                <w:rFonts w:cs="Times New Roman"/>
                <w:snapToGrid w:val="0"/>
              </w:rPr>
              <w:t>/</w:t>
            </w:r>
          </w:p>
        </w:tc>
        <w:tc>
          <w:tcPr>
            <w:tcW w:w="1276" w:type="dxa"/>
            <w:vAlign w:val="center"/>
          </w:tcPr>
          <w:p w14:paraId="4D791668">
            <w:pPr>
              <w:pStyle w:val="12"/>
              <w:rPr>
                <w:rFonts w:cs="Times New Roman"/>
                <w:lang w:bidi="ar"/>
              </w:rPr>
            </w:pPr>
            <w:r>
              <w:rPr>
                <w:rFonts w:cs="Times New Roman"/>
                <w:snapToGrid w:val="0"/>
              </w:rPr>
              <w:t>/</w:t>
            </w:r>
          </w:p>
        </w:tc>
        <w:tc>
          <w:tcPr>
            <w:tcW w:w="1701" w:type="dxa"/>
            <w:vAlign w:val="center"/>
          </w:tcPr>
          <w:p w14:paraId="395D6B99">
            <w:pPr>
              <w:pStyle w:val="12"/>
              <w:rPr>
                <w:rFonts w:cs="Times New Roman"/>
                <w:lang w:bidi="ar"/>
              </w:rPr>
            </w:pPr>
            <w:r>
              <w:rPr>
                <w:rFonts w:cs="Times New Roman"/>
                <w:snapToGrid w:val="0"/>
              </w:rPr>
              <w:t>/</w:t>
            </w:r>
          </w:p>
        </w:tc>
        <w:tc>
          <w:tcPr>
            <w:tcW w:w="1559" w:type="dxa"/>
            <w:vAlign w:val="center"/>
          </w:tcPr>
          <w:p w14:paraId="4FF5A1E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eastAsia="宋体" w:cs="Times New Roman"/>
                <w:szCs w:val="21"/>
                <w:lang w:val="en-US" w:eastAsia="zh-CN" w:bidi="ar"/>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0.2257</w:t>
            </w:r>
          </w:p>
        </w:tc>
        <w:tc>
          <w:tcPr>
            <w:tcW w:w="1761" w:type="dxa"/>
            <w:vAlign w:val="center"/>
          </w:tcPr>
          <w:p w14:paraId="1D51D6AB">
            <w:pPr>
              <w:pStyle w:val="12"/>
              <w:rPr>
                <w:rFonts w:cs="Times New Roman"/>
                <w:lang w:bidi="ar"/>
              </w:rPr>
            </w:pPr>
            <w:r>
              <w:rPr>
                <w:rFonts w:cs="Times New Roman"/>
                <w:snapToGrid w:val="0"/>
              </w:rPr>
              <w:t>/</w:t>
            </w:r>
          </w:p>
        </w:tc>
        <w:tc>
          <w:tcPr>
            <w:tcW w:w="1562" w:type="dxa"/>
            <w:vAlign w:val="center"/>
          </w:tcPr>
          <w:p w14:paraId="67A5223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cs="Times New Roman"/>
                <w:szCs w:val="21"/>
                <w:lang w:val="en-US" w:bidi="ar"/>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0.2257</w:t>
            </w:r>
          </w:p>
        </w:tc>
        <w:tc>
          <w:tcPr>
            <w:tcW w:w="1223" w:type="dxa"/>
            <w:vAlign w:val="center"/>
          </w:tcPr>
          <w:p w14:paraId="451F0F8B">
            <w:pPr>
              <w:pStyle w:val="12"/>
              <w:ind w:firstLine="0" w:firstLineChars="0"/>
              <w:rPr>
                <w:rFonts w:cs="Times New Roman"/>
                <w:kern w:val="21"/>
                <w:szCs w:val="21"/>
                <w:lang w:bidi="ar"/>
              </w:rPr>
            </w:pPr>
            <w:r>
              <w:rPr>
                <w:rFonts w:cs="Times New Roman"/>
                <w:snapToGrid w:val="0"/>
              </w:rPr>
              <w:t>/</w:t>
            </w:r>
          </w:p>
        </w:tc>
      </w:tr>
      <w:tr w14:paraId="23F39A7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588" w:type="dxa"/>
            <w:vMerge w:val="continue"/>
            <w:vAlign w:val="center"/>
          </w:tcPr>
          <w:p w14:paraId="67719002">
            <w:pPr>
              <w:pStyle w:val="12"/>
              <w:rPr>
                <w:rFonts w:cs="Times New Roman"/>
                <w:snapToGrid w:val="0"/>
                <w:kern w:val="21"/>
                <w:sz w:val="24"/>
              </w:rPr>
            </w:pPr>
          </w:p>
        </w:tc>
        <w:tc>
          <w:tcPr>
            <w:tcW w:w="1520" w:type="dxa"/>
            <w:vAlign w:val="center"/>
          </w:tcPr>
          <w:p w14:paraId="386F0CBD">
            <w:pPr>
              <w:pStyle w:val="12"/>
              <w:rPr>
                <w:rFonts w:hint="eastAsia" w:eastAsia="宋体" w:cs="Times New Roman"/>
                <w:snapToGrid w:val="0"/>
                <w:lang w:val="en-US" w:eastAsia="zh-CN"/>
              </w:rPr>
            </w:pPr>
            <w:r>
              <w:rPr>
                <w:rFonts w:hint="eastAsia" w:cs="Times New Roman"/>
                <w:snapToGrid w:val="0"/>
                <w:lang w:val="en-US" w:eastAsia="zh-CN"/>
              </w:rPr>
              <w:t>氟化物</w:t>
            </w:r>
          </w:p>
        </w:tc>
        <w:tc>
          <w:tcPr>
            <w:tcW w:w="1598" w:type="dxa"/>
            <w:vAlign w:val="center"/>
          </w:tcPr>
          <w:p w14:paraId="6A2199C8">
            <w:pPr>
              <w:pStyle w:val="12"/>
              <w:rPr>
                <w:rFonts w:hint="eastAsia" w:eastAsia="宋体" w:cs="Times New Roman"/>
                <w:snapToGrid w:val="0"/>
                <w:lang w:val="en-US" w:eastAsia="zh-CN"/>
              </w:rPr>
            </w:pPr>
            <w:r>
              <w:rPr>
                <w:rFonts w:hint="eastAsia" w:cs="Times New Roman"/>
                <w:snapToGrid w:val="0"/>
                <w:lang w:val="en-US" w:eastAsia="zh-CN"/>
              </w:rPr>
              <w:t>/</w:t>
            </w:r>
          </w:p>
        </w:tc>
        <w:tc>
          <w:tcPr>
            <w:tcW w:w="1276" w:type="dxa"/>
            <w:vAlign w:val="center"/>
          </w:tcPr>
          <w:p w14:paraId="7311DAD5">
            <w:pPr>
              <w:pStyle w:val="12"/>
              <w:rPr>
                <w:rFonts w:hint="eastAsia" w:eastAsia="宋体" w:cs="Times New Roman"/>
                <w:snapToGrid w:val="0"/>
                <w:lang w:val="en-US" w:eastAsia="zh-CN"/>
              </w:rPr>
            </w:pPr>
            <w:r>
              <w:rPr>
                <w:rFonts w:hint="eastAsia" w:cs="Times New Roman"/>
                <w:snapToGrid w:val="0"/>
                <w:lang w:val="en-US" w:eastAsia="zh-CN"/>
              </w:rPr>
              <w:t>/</w:t>
            </w:r>
          </w:p>
        </w:tc>
        <w:tc>
          <w:tcPr>
            <w:tcW w:w="1701" w:type="dxa"/>
            <w:vAlign w:val="center"/>
          </w:tcPr>
          <w:p w14:paraId="22A0EED8">
            <w:pPr>
              <w:pStyle w:val="12"/>
              <w:rPr>
                <w:rFonts w:hint="eastAsia" w:eastAsia="宋体" w:cs="Times New Roman"/>
                <w:snapToGrid w:val="0"/>
                <w:lang w:val="en-US" w:eastAsia="zh-CN"/>
              </w:rPr>
            </w:pPr>
            <w:r>
              <w:rPr>
                <w:rFonts w:hint="eastAsia" w:cs="Times New Roman"/>
                <w:snapToGrid w:val="0"/>
                <w:lang w:val="en-US" w:eastAsia="zh-CN"/>
              </w:rPr>
              <w:t>/</w:t>
            </w:r>
          </w:p>
        </w:tc>
        <w:tc>
          <w:tcPr>
            <w:tcW w:w="1559" w:type="dxa"/>
            <w:vAlign w:val="center"/>
          </w:tcPr>
          <w:p w14:paraId="45FDB96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eastAsia="等线" w:cs="Times New Roman"/>
                <w:color w:val="000000"/>
                <w:szCs w:val="21"/>
                <w:lang w:val="en-US" w:eastAsia="zh-CN"/>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0.6853 </w:t>
            </w:r>
          </w:p>
        </w:tc>
        <w:tc>
          <w:tcPr>
            <w:tcW w:w="1761" w:type="dxa"/>
            <w:vAlign w:val="center"/>
          </w:tcPr>
          <w:p w14:paraId="4BE6B8FB">
            <w:pPr>
              <w:pStyle w:val="12"/>
              <w:rPr>
                <w:rFonts w:hint="eastAsia" w:eastAsia="宋体" w:cs="Times New Roman"/>
                <w:snapToGrid w:val="0"/>
                <w:lang w:val="en-US" w:eastAsia="zh-CN"/>
              </w:rPr>
            </w:pPr>
            <w:r>
              <w:rPr>
                <w:rFonts w:hint="eastAsia" w:cs="Times New Roman"/>
                <w:snapToGrid w:val="0"/>
                <w:lang w:val="en-US" w:eastAsia="zh-CN"/>
              </w:rPr>
              <w:t>/</w:t>
            </w:r>
          </w:p>
        </w:tc>
        <w:tc>
          <w:tcPr>
            <w:tcW w:w="1562" w:type="dxa"/>
            <w:vAlign w:val="center"/>
          </w:tcPr>
          <w:p w14:paraId="487B4FF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eastAsia="等线" w:cs="Times New Roman"/>
                <w:color w:val="000000"/>
                <w:szCs w:val="21"/>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0.6853 </w:t>
            </w:r>
          </w:p>
        </w:tc>
        <w:tc>
          <w:tcPr>
            <w:tcW w:w="1223" w:type="dxa"/>
            <w:vAlign w:val="center"/>
          </w:tcPr>
          <w:p w14:paraId="463B42DF">
            <w:pPr>
              <w:pStyle w:val="12"/>
              <w:ind w:firstLine="0" w:firstLineChars="0"/>
              <w:rPr>
                <w:rFonts w:eastAsia="等线" w:cs="Times New Roman"/>
                <w:color w:val="000000"/>
                <w:szCs w:val="21"/>
              </w:rPr>
            </w:pPr>
          </w:p>
        </w:tc>
      </w:tr>
      <w:tr w14:paraId="24E47EC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588" w:type="dxa"/>
            <w:vMerge w:val="continue"/>
            <w:vAlign w:val="center"/>
          </w:tcPr>
          <w:p w14:paraId="10FB6F4A">
            <w:pPr>
              <w:pStyle w:val="12"/>
              <w:rPr>
                <w:rFonts w:cs="Times New Roman"/>
                <w:snapToGrid w:val="0"/>
                <w:kern w:val="21"/>
                <w:sz w:val="24"/>
              </w:rPr>
            </w:pPr>
          </w:p>
        </w:tc>
        <w:tc>
          <w:tcPr>
            <w:tcW w:w="1520" w:type="dxa"/>
            <w:vAlign w:val="center"/>
          </w:tcPr>
          <w:p w14:paraId="5590119F">
            <w:pPr>
              <w:pStyle w:val="12"/>
              <w:rPr>
                <w:rFonts w:hint="default" w:cs="Times New Roman"/>
                <w:snapToGrid w:val="0"/>
                <w:lang w:val="en-US" w:eastAsia="zh-CN"/>
              </w:rPr>
            </w:pPr>
            <w:r>
              <w:rPr>
                <w:rFonts w:hint="eastAsia" w:cs="Times New Roman"/>
                <w:snapToGrid w:val="0"/>
                <w:lang w:val="en-US" w:eastAsia="zh-CN"/>
              </w:rPr>
              <w:t>二噁英类</w:t>
            </w:r>
          </w:p>
        </w:tc>
        <w:tc>
          <w:tcPr>
            <w:tcW w:w="1598" w:type="dxa"/>
            <w:vAlign w:val="center"/>
          </w:tcPr>
          <w:p w14:paraId="3205AB14">
            <w:pPr>
              <w:pStyle w:val="12"/>
              <w:rPr>
                <w:rFonts w:hint="eastAsia" w:eastAsia="宋体" w:cs="Times New Roman"/>
                <w:snapToGrid w:val="0"/>
                <w:lang w:val="en-US" w:eastAsia="zh-CN"/>
              </w:rPr>
            </w:pPr>
            <w:r>
              <w:rPr>
                <w:rFonts w:hint="eastAsia" w:cs="Times New Roman"/>
                <w:snapToGrid w:val="0"/>
                <w:lang w:val="en-US" w:eastAsia="zh-CN"/>
              </w:rPr>
              <w:t>/</w:t>
            </w:r>
          </w:p>
        </w:tc>
        <w:tc>
          <w:tcPr>
            <w:tcW w:w="1276" w:type="dxa"/>
            <w:vAlign w:val="center"/>
          </w:tcPr>
          <w:p w14:paraId="04D3CD05">
            <w:pPr>
              <w:pStyle w:val="12"/>
              <w:rPr>
                <w:rFonts w:hint="eastAsia" w:eastAsia="宋体" w:cs="Times New Roman"/>
                <w:snapToGrid w:val="0"/>
                <w:lang w:val="en-US" w:eastAsia="zh-CN"/>
              </w:rPr>
            </w:pPr>
            <w:r>
              <w:rPr>
                <w:rFonts w:hint="eastAsia" w:cs="Times New Roman"/>
                <w:snapToGrid w:val="0"/>
                <w:lang w:val="en-US" w:eastAsia="zh-CN"/>
              </w:rPr>
              <w:t>/</w:t>
            </w:r>
          </w:p>
        </w:tc>
        <w:tc>
          <w:tcPr>
            <w:tcW w:w="1701" w:type="dxa"/>
            <w:vAlign w:val="center"/>
          </w:tcPr>
          <w:p w14:paraId="3E378B10">
            <w:pPr>
              <w:pStyle w:val="12"/>
              <w:rPr>
                <w:rFonts w:hint="eastAsia" w:eastAsia="宋体" w:cs="Times New Roman"/>
                <w:snapToGrid w:val="0"/>
                <w:lang w:val="en-US" w:eastAsia="zh-CN"/>
              </w:rPr>
            </w:pPr>
            <w:r>
              <w:rPr>
                <w:rFonts w:hint="eastAsia" w:cs="Times New Roman"/>
                <w:snapToGrid w:val="0"/>
                <w:lang w:val="en-US" w:eastAsia="zh-CN"/>
              </w:rPr>
              <w:t>/</w:t>
            </w:r>
          </w:p>
        </w:tc>
        <w:tc>
          <w:tcPr>
            <w:tcW w:w="1559" w:type="dxa"/>
            <w:vAlign w:val="center"/>
          </w:tcPr>
          <w:p w14:paraId="6BD337E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eastAsia="等线" w:cs="Times New Roman"/>
                <w:color w:val="000000"/>
                <w:szCs w:val="21"/>
                <w:lang w:val="en-US" w:eastAsia="zh-CN"/>
              </w:rPr>
            </w:pPr>
            <w:r>
              <w:rPr>
                <w:rFonts w:hint="default"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t>2.51</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E-09</w:t>
            </w:r>
          </w:p>
        </w:tc>
        <w:tc>
          <w:tcPr>
            <w:tcW w:w="1761" w:type="dxa"/>
            <w:vAlign w:val="center"/>
          </w:tcPr>
          <w:p w14:paraId="3B77D2AC">
            <w:pPr>
              <w:pStyle w:val="12"/>
              <w:rPr>
                <w:rFonts w:hint="eastAsia" w:eastAsia="宋体" w:cs="Times New Roman"/>
                <w:snapToGrid w:val="0"/>
                <w:lang w:val="en-US" w:eastAsia="zh-CN"/>
              </w:rPr>
            </w:pPr>
            <w:r>
              <w:rPr>
                <w:rFonts w:hint="eastAsia" w:cs="Times New Roman"/>
                <w:snapToGrid w:val="0"/>
                <w:lang w:val="en-US" w:eastAsia="zh-CN"/>
              </w:rPr>
              <w:t>/</w:t>
            </w:r>
          </w:p>
        </w:tc>
        <w:tc>
          <w:tcPr>
            <w:tcW w:w="1562" w:type="dxa"/>
            <w:vAlign w:val="center"/>
          </w:tcPr>
          <w:p w14:paraId="155C327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eastAsia="等线" w:cs="Times New Roman"/>
                <w:color w:val="000000"/>
                <w:szCs w:val="21"/>
              </w:rPr>
            </w:pPr>
            <w:r>
              <w:rPr>
                <w:rFonts w:hint="default"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t>2.51</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E-09</w:t>
            </w:r>
          </w:p>
        </w:tc>
        <w:tc>
          <w:tcPr>
            <w:tcW w:w="1223" w:type="dxa"/>
            <w:vAlign w:val="center"/>
          </w:tcPr>
          <w:p w14:paraId="58B4E01B">
            <w:pPr>
              <w:pStyle w:val="12"/>
              <w:ind w:firstLine="0" w:firstLineChars="0"/>
              <w:rPr>
                <w:rFonts w:hint="eastAsia" w:eastAsia="等线" w:cs="Times New Roman"/>
                <w:color w:val="000000"/>
                <w:szCs w:val="21"/>
                <w:lang w:val="en-US" w:eastAsia="zh-CN"/>
              </w:rPr>
            </w:pPr>
            <w:r>
              <w:rPr>
                <w:rFonts w:hint="eastAsia" w:eastAsia="等线" w:cs="Times New Roman"/>
                <w:color w:val="000000"/>
                <w:szCs w:val="21"/>
                <w:lang w:val="en-US" w:eastAsia="zh-CN"/>
              </w:rPr>
              <w:t>/</w:t>
            </w:r>
          </w:p>
        </w:tc>
      </w:tr>
      <w:tr w14:paraId="5A51FA7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588" w:type="dxa"/>
            <w:vMerge w:val="continue"/>
            <w:vAlign w:val="center"/>
          </w:tcPr>
          <w:p w14:paraId="1B6762F9">
            <w:pPr>
              <w:pStyle w:val="12"/>
              <w:rPr>
                <w:rFonts w:cs="Times New Roman"/>
                <w:snapToGrid w:val="0"/>
                <w:kern w:val="21"/>
                <w:sz w:val="24"/>
              </w:rPr>
            </w:pPr>
          </w:p>
        </w:tc>
        <w:tc>
          <w:tcPr>
            <w:tcW w:w="1520" w:type="dxa"/>
            <w:vAlign w:val="center"/>
          </w:tcPr>
          <w:p w14:paraId="7E9300D5">
            <w:pPr>
              <w:pStyle w:val="12"/>
              <w:rPr>
                <w:rFonts w:hint="default" w:cs="Times New Roman"/>
                <w:snapToGrid w:val="0"/>
                <w:lang w:val="en-US" w:eastAsia="zh-CN"/>
              </w:rPr>
            </w:pPr>
            <w:r>
              <w:rPr>
                <w:rFonts w:hint="eastAsia" w:cs="Times New Roman"/>
                <w:snapToGrid w:val="0"/>
                <w:lang w:val="en-US" w:eastAsia="zh-CN"/>
              </w:rPr>
              <w:t>VOCs</w:t>
            </w:r>
          </w:p>
        </w:tc>
        <w:tc>
          <w:tcPr>
            <w:tcW w:w="1598" w:type="dxa"/>
            <w:vAlign w:val="center"/>
          </w:tcPr>
          <w:p w14:paraId="7D758655">
            <w:pPr>
              <w:pStyle w:val="12"/>
              <w:rPr>
                <w:rFonts w:hint="eastAsia" w:eastAsia="宋体" w:cs="Times New Roman"/>
                <w:snapToGrid w:val="0"/>
                <w:lang w:val="en-US" w:eastAsia="zh-CN"/>
              </w:rPr>
            </w:pPr>
            <w:r>
              <w:rPr>
                <w:rFonts w:hint="eastAsia" w:cs="Times New Roman"/>
                <w:snapToGrid w:val="0"/>
                <w:lang w:val="en-US" w:eastAsia="zh-CN"/>
              </w:rPr>
              <w:t>/</w:t>
            </w:r>
          </w:p>
        </w:tc>
        <w:tc>
          <w:tcPr>
            <w:tcW w:w="1276" w:type="dxa"/>
            <w:vAlign w:val="center"/>
          </w:tcPr>
          <w:p w14:paraId="60AB563D">
            <w:pPr>
              <w:pStyle w:val="12"/>
              <w:rPr>
                <w:rFonts w:hint="eastAsia" w:eastAsia="宋体" w:cs="Times New Roman"/>
                <w:snapToGrid w:val="0"/>
                <w:lang w:val="en-US" w:eastAsia="zh-CN"/>
              </w:rPr>
            </w:pPr>
            <w:r>
              <w:rPr>
                <w:rFonts w:hint="eastAsia" w:cs="Times New Roman"/>
                <w:snapToGrid w:val="0"/>
                <w:lang w:val="en-US" w:eastAsia="zh-CN"/>
              </w:rPr>
              <w:t>/</w:t>
            </w:r>
          </w:p>
        </w:tc>
        <w:tc>
          <w:tcPr>
            <w:tcW w:w="1701" w:type="dxa"/>
            <w:vAlign w:val="center"/>
          </w:tcPr>
          <w:p w14:paraId="4D4FACA8">
            <w:pPr>
              <w:pStyle w:val="12"/>
              <w:rPr>
                <w:rFonts w:hint="eastAsia" w:eastAsia="宋体" w:cs="Times New Roman"/>
                <w:snapToGrid w:val="0"/>
                <w:lang w:val="en-US" w:eastAsia="zh-CN"/>
              </w:rPr>
            </w:pPr>
            <w:r>
              <w:rPr>
                <w:rFonts w:hint="eastAsia" w:cs="Times New Roman"/>
                <w:snapToGrid w:val="0"/>
                <w:lang w:val="en-US" w:eastAsia="zh-CN"/>
              </w:rPr>
              <w:t>/</w:t>
            </w:r>
          </w:p>
        </w:tc>
        <w:tc>
          <w:tcPr>
            <w:tcW w:w="1559" w:type="dxa"/>
            <w:vAlign w:val="center"/>
          </w:tcPr>
          <w:p w14:paraId="5AF672D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0.2694</w:t>
            </w:r>
          </w:p>
        </w:tc>
        <w:tc>
          <w:tcPr>
            <w:tcW w:w="1761" w:type="dxa"/>
            <w:vAlign w:val="center"/>
          </w:tcPr>
          <w:p w14:paraId="780A59C7">
            <w:pPr>
              <w:pStyle w:val="12"/>
              <w:rPr>
                <w:rFonts w:hint="eastAsia" w:eastAsia="宋体" w:cs="Times New Roman"/>
                <w:snapToGrid w:val="0"/>
                <w:lang w:val="en-US" w:eastAsia="zh-CN"/>
              </w:rPr>
            </w:pPr>
            <w:r>
              <w:rPr>
                <w:rFonts w:hint="eastAsia" w:cs="Times New Roman"/>
                <w:snapToGrid w:val="0"/>
                <w:lang w:val="en-US" w:eastAsia="zh-CN"/>
              </w:rPr>
              <w:t>/</w:t>
            </w:r>
          </w:p>
        </w:tc>
        <w:tc>
          <w:tcPr>
            <w:tcW w:w="1562" w:type="dxa"/>
            <w:vAlign w:val="center"/>
          </w:tcPr>
          <w:p w14:paraId="725849B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0.2694</w:t>
            </w:r>
          </w:p>
        </w:tc>
        <w:tc>
          <w:tcPr>
            <w:tcW w:w="1223" w:type="dxa"/>
            <w:vAlign w:val="center"/>
          </w:tcPr>
          <w:p w14:paraId="0D5C5A4B">
            <w:pPr>
              <w:pStyle w:val="12"/>
              <w:ind w:firstLine="0" w:firstLineChars="0"/>
              <w:rPr>
                <w:rFonts w:hint="eastAsia" w:eastAsia="等线" w:cs="Times New Roman"/>
                <w:color w:val="000000"/>
                <w:szCs w:val="21"/>
                <w:lang w:val="en-US" w:eastAsia="zh-CN"/>
              </w:rPr>
            </w:pPr>
            <w:r>
              <w:rPr>
                <w:rFonts w:hint="eastAsia" w:eastAsia="等线" w:cs="Times New Roman"/>
                <w:color w:val="000000"/>
                <w:szCs w:val="21"/>
                <w:lang w:val="en-US" w:eastAsia="zh-CN"/>
              </w:rPr>
              <w:t>/</w:t>
            </w:r>
          </w:p>
        </w:tc>
      </w:tr>
      <w:tr w14:paraId="423BEA9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588" w:type="dxa"/>
            <w:vMerge w:val="restart"/>
            <w:vAlign w:val="center"/>
          </w:tcPr>
          <w:p w14:paraId="158321A5">
            <w:pPr>
              <w:pStyle w:val="12"/>
              <w:rPr>
                <w:rFonts w:cs="Times New Roman"/>
                <w:snapToGrid w:val="0"/>
              </w:rPr>
            </w:pPr>
            <w:r>
              <w:rPr>
                <w:rFonts w:cs="Times New Roman"/>
                <w:snapToGrid w:val="0"/>
              </w:rPr>
              <w:t>废水</w:t>
            </w:r>
          </w:p>
        </w:tc>
        <w:tc>
          <w:tcPr>
            <w:tcW w:w="1520" w:type="dxa"/>
            <w:vAlign w:val="center"/>
          </w:tcPr>
          <w:p w14:paraId="62AE804B">
            <w:pPr>
              <w:pStyle w:val="12"/>
              <w:rPr>
                <w:rFonts w:cs="Times New Roman"/>
                <w:kern w:val="21"/>
                <w:szCs w:val="21"/>
                <w:lang w:bidi="ar"/>
              </w:rPr>
            </w:pPr>
            <w:r>
              <w:rPr>
                <w:rFonts w:cs="Times New Roman"/>
                <w:kern w:val="21"/>
                <w:szCs w:val="21"/>
                <w:lang w:bidi="ar"/>
              </w:rPr>
              <w:t>废水量</w:t>
            </w:r>
          </w:p>
        </w:tc>
        <w:tc>
          <w:tcPr>
            <w:tcW w:w="1598" w:type="dxa"/>
            <w:vAlign w:val="center"/>
          </w:tcPr>
          <w:p w14:paraId="5B7CB6C7">
            <w:pPr>
              <w:pStyle w:val="12"/>
              <w:rPr>
                <w:rFonts w:cs="Times New Roman"/>
                <w:snapToGrid w:val="0"/>
              </w:rPr>
            </w:pPr>
            <w:r>
              <w:rPr>
                <w:rFonts w:cs="Times New Roman"/>
                <w:snapToGrid w:val="0"/>
              </w:rPr>
              <w:t>/</w:t>
            </w:r>
          </w:p>
        </w:tc>
        <w:tc>
          <w:tcPr>
            <w:tcW w:w="1276" w:type="dxa"/>
            <w:vAlign w:val="center"/>
          </w:tcPr>
          <w:p w14:paraId="5A7CE1F5">
            <w:pPr>
              <w:pStyle w:val="12"/>
              <w:rPr>
                <w:rFonts w:cs="Times New Roman"/>
                <w:snapToGrid w:val="0"/>
              </w:rPr>
            </w:pPr>
            <w:r>
              <w:rPr>
                <w:rFonts w:cs="Times New Roman"/>
                <w:snapToGrid w:val="0"/>
              </w:rPr>
              <w:t>/</w:t>
            </w:r>
          </w:p>
        </w:tc>
        <w:tc>
          <w:tcPr>
            <w:tcW w:w="1701" w:type="dxa"/>
            <w:vAlign w:val="center"/>
          </w:tcPr>
          <w:p w14:paraId="03F562E7">
            <w:pPr>
              <w:pStyle w:val="12"/>
              <w:rPr>
                <w:rFonts w:cs="Times New Roman"/>
                <w:snapToGrid w:val="0"/>
              </w:rPr>
            </w:pPr>
            <w:r>
              <w:rPr>
                <w:rFonts w:cs="Times New Roman"/>
                <w:snapToGrid w:val="0"/>
              </w:rPr>
              <w:t>/</w:t>
            </w:r>
          </w:p>
        </w:tc>
        <w:tc>
          <w:tcPr>
            <w:tcW w:w="1559" w:type="dxa"/>
            <w:vAlign w:val="center"/>
          </w:tcPr>
          <w:p w14:paraId="77DFE4CC">
            <w:pPr>
              <w:pStyle w:val="12"/>
              <w:rPr>
                <w:rFonts w:hint="default" w:eastAsia="等线" w:cs="Times New Roman"/>
                <w:color w:val="000000"/>
                <w:szCs w:val="21"/>
                <w:lang w:val="en-US" w:eastAsia="zh-CN"/>
              </w:rPr>
            </w:pPr>
            <w:r>
              <w:rPr>
                <w:rFonts w:hint="eastAsia" w:eastAsia="等线" w:cs="Times New Roman"/>
                <w:color w:val="000000"/>
                <w:szCs w:val="21"/>
                <w:lang w:val="en-US" w:eastAsia="zh-CN"/>
              </w:rPr>
              <w:t>772.2</w:t>
            </w:r>
          </w:p>
        </w:tc>
        <w:tc>
          <w:tcPr>
            <w:tcW w:w="1761" w:type="dxa"/>
            <w:vAlign w:val="center"/>
          </w:tcPr>
          <w:p w14:paraId="63595EBE">
            <w:pPr>
              <w:pStyle w:val="12"/>
              <w:rPr>
                <w:rFonts w:cs="Times New Roman"/>
                <w:snapToGrid w:val="0"/>
              </w:rPr>
            </w:pPr>
            <w:r>
              <w:rPr>
                <w:rFonts w:cs="Times New Roman"/>
                <w:snapToGrid w:val="0"/>
              </w:rPr>
              <w:t>/</w:t>
            </w:r>
          </w:p>
        </w:tc>
        <w:tc>
          <w:tcPr>
            <w:tcW w:w="1562" w:type="dxa"/>
            <w:vAlign w:val="center"/>
          </w:tcPr>
          <w:p w14:paraId="769489F1">
            <w:pPr>
              <w:pStyle w:val="12"/>
              <w:ind w:firstLine="0" w:firstLineChars="0"/>
              <w:rPr>
                <w:rFonts w:cs="Times New Roman"/>
                <w:szCs w:val="21"/>
                <w:lang w:bidi="ar"/>
              </w:rPr>
            </w:pPr>
            <w:r>
              <w:rPr>
                <w:rFonts w:hint="eastAsia" w:eastAsia="等线" w:cs="Times New Roman"/>
                <w:color w:val="000000"/>
                <w:szCs w:val="21"/>
                <w:lang w:val="en-US" w:eastAsia="zh-CN"/>
              </w:rPr>
              <w:t>772.2</w:t>
            </w:r>
          </w:p>
        </w:tc>
        <w:tc>
          <w:tcPr>
            <w:tcW w:w="1223" w:type="dxa"/>
            <w:vAlign w:val="center"/>
          </w:tcPr>
          <w:p w14:paraId="3B7CEA79">
            <w:pPr>
              <w:pStyle w:val="12"/>
              <w:ind w:firstLine="0" w:firstLineChars="0"/>
              <w:rPr>
                <w:rFonts w:cs="Times New Roman"/>
                <w:szCs w:val="21"/>
                <w:lang w:bidi="ar"/>
              </w:rPr>
            </w:pPr>
            <w:r>
              <w:rPr>
                <w:rFonts w:cs="Times New Roman"/>
                <w:snapToGrid w:val="0"/>
              </w:rPr>
              <w:t>/</w:t>
            </w:r>
          </w:p>
        </w:tc>
      </w:tr>
      <w:tr w14:paraId="421AA18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588" w:type="dxa"/>
            <w:vMerge w:val="continue"/>
            <w:vAlign w:val="center"/>
          </w:tcPr>
          <w:p w14:paraId="5B6EA89A">
            <w:pPr>
              <w:pStyle w:val="12"/>
              <w:rPr>
                <w:rFonts w:cs="Times New Roman"/>
                <w:snapToGrid w:val="0"/>
              </w:rPr>
            </w:pPr>
          </w:p>
        </w:tc>
        <w:tc>
          <w:tcPr>
            <w:tcW w:w="1520" w:type="dxa"/>
            <w:vAlign w:val="center"/>
          </w:tcPr>
          <w:p w14:paraId="3F46FF86">
            <w:pPr>
              <w:pStyle w:val="12"/>
              <w:rPr>
                <w:rFonts w:cs="Times New Roman"/>
                <w:kern w:val="21"/>
                <w:szCs w:val="21"/>
              </w:rPr>
            </w:pPr>
            <w:r>
              <w:rPr>
                <w:rFonts w:cs="Times New Roman"/>
                <w:kern w:val="21"/>
                <w:szCs w:val="21"/>
                <w:lang w:bidi="ar"/>
              </w:rPr>
              <w:t>COD</w:t>
            </w:r>
          </w:p>
        </w:tc>
        <w:tc>
          <w:tcPr>
            <w:tcW w:w="1598" w:type="dxa"/>
            <w:vAlign w:val="center"/>
          </w:tcPr>
          <w:p w14:paraId="21C5A0E2">
            <w:pPr>
              <w:pStyle w:val="12"/>
              <w:rPr>
                <w:rFonts w:cs="Times New Roman"/>
              </w:rPr>
            </w:pPr>
            <w:r>
              <w:rPr>
                <w:rFonts w:cs="Times New Roman"/>
                <w:snapToGrid w:val="0"/>
              </w:rPr>
              <w:t>/</w:t>
            </w:r>
          </w:p>
        </w:tc>
        <w:tc>
          <w:tcPr>
            <w:tcW w:w="1276" w:type="dxa"/>
            <w:vAlign w:val="center"/>
          </w:tcPr>
          <w:p w14:paraId="35B9B27A">
            <w:pPr>
              <w:pStyle w:val="12"/>
              <w:rPr>
                <w:rFonts w:cs="Times New Roman"/>
              </w:rPr>
            </w:pPr>
            <w:r>
              <w:rPr>
                <w:rFonts w:cs="Times New Roman"/>
                <w:snapToGrid w:val="0"/>
              </w:rPr>
              <w:t>/</w:t>
            </w:r>
          </w:p>
        </w:tc>
        <w:tc>
          <w:tcPr>
            <w:tcW w:w="1701" w:type="dxa"/>
            <w:vAlign w:val="center"/>
          </w:tcPr>
          <w:p w14:paraId="3000CAE3">
            <w:pPr>
              <w:pStyle w:val="12"/>
              <w:rPr>
                <w:rFonts w:cs="Times New Roman"/>
              </w:rPr>
            </w:pPr>
            <w:r>
              <w:rPr>
                <w:rFonts w:cs="Times New Roman"/>
                <w:snapToGrid w:val="0"/>
              </w:rPr>
              <w:t>/</w:t>
            </w:r>
          </w:p>
        </w:tc>
        <w:tc>
          <w:tcPr>
            <w:tcW w:w="1559" w:type="dxa"/>
            <w:vAlign w:val="center"/>
          </w:tcPr>
          <w:p w14:paraId="297434C4">
            <w:pPr>
              <w:widowControl/>
              <w:spacing w:line="240" w:lineRule="auto"/>
              <w:ind w:firstLine="0" w:firstLineChars="0"/>
              <w:jc w:val="center"/>
              <w:rPr>
                <w:rFonts w:hint="default" w:eastAsia="宋体" w:cs="Times New Roman"/>
                <w:kern w:val="21"/>
                <w:sz w:val="21"/>
                <w:szCs w:val="18"/>
                <w:lang w:val="en-US" w:eastAsia="zh-CN"/>
              </w:rPr>
            </w:pPr>
            <w:r>
              <w:rPr>
                <w:rFonts w:hint="eastAsia" w:cs="Times New Roman"/>
                <w:kern w:val="21"/>
                <w:sz w:val="21"/>
                <w:szCs w:val="18"/>
                <w:lang w:val="en-US" w:eastAsia="zh-CN"/>
              </w:rPr>
              <w:t>0.3861</w:t>
            </w:r>
          </w:p>
        </w:tc>
        <w:tc>
          <w:tcPr>
            <w:tcW w:w="1761" w:type="dxa"/>
            <w:vAlign w:val="center"/>
          </w:tcPr>
          <w:p w14:paraId="6A1915EC">
            <w:pPr>
              <w:pStyle w:val="12"/>
              <w:rPr>
                <w:rFonts w:cs="Times New Roman"/>
              </w:rPr>
            </w:pPr>
            <w:r>
              <w:rPr>
                <w:rFonts w:cs="Times New Roman"/>
                <w:snapToGrid w:val="0"/>
              </w:rPr>
              <w:t>/</w:t>
            </w:r>
          </w:p>
        </w:tc>
        <w:tc>
          <w:tcPr>
            <w:tcW w:w="1562" w:type="dxa"/>
            <w:vAlign w:val="center"/>
          </w:tcPr>
          <w:p w14:paraId="5F6AECF4">
            <w:pPr>
              <w:widowControl/>
              <w:spacing w:line="240" w:lineRule="auto"/>
              <w:ind w:firstLine="0" w:firstLineChars="0"/>
              <w:jc w:val="center"/>
              <w:rPr>
                <w:rFonts w:cs="Times New Roman"/>
                <w:kern w:val="21"/>
                <w:szCs w:val="21"/>
              </w:rPr>
            </w:pPr>
            <w:r>
              <w:rPr>
                <w:rFonts w:hint="eastAsia" w:cs="Times New Roman"/>
                <w:kern w:val="21"/>
                <w:sz w:val="21"/>
                <w:szCs w:val="18"/>
                <w:lang w:val="en-US" w:eastAsia="zh-CN"/>
              </w:rPr>
              <w:t>0.3861</w:t>
            </w:r>
          </w:p>
        </w:tc>
        <w:tc>
          <w:tcPr>
            <w:tcW w:w="1223" w:type="dxa"/>
            <w:vAlign w:val="center"/>
          </w:tcPr>
          <w:p w14:paraId="24112DE6">
            <w:pPr>
              <w:pStyle w:val="12"/>
              <w:ind w:firstLine="0" w:firstLineChars="0"/>
              <w:rPr>
                <w:rFonts w:cs="Times New Roman"/>
                <w:kern w:val="21"/>
                <w:szCs w:val="21"/>
              </w:rPr>
            </w:pPr>
            <w:r>
              <w:rPr>
                <w:rFonts w:cs="Times New Roman"/>
                <w:snapToGrid w:val="0"/>
              </w:rPr>
              <w:t>/</w:t>
            </w:r>
          </w:p>
        </w:tc>
      </w:tr>
      <w:tr w14:paraId="169E068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588" w:type="dxa"/>
            <w:vMerge w:val="continue"/>
            <w:vAlign w:val="center"/>
          </w:tcPr>
          <w:p w14:paraId="4889FA38">
            <w:pPr>
              <w:pStyle w:val="12"/>
              <w:rPr>
                <w:rFonts w:cs="Times New Roman"/>
                <w:snapToGrid w:val="0"/>
                <w:kern w:val="21"/>
                <w:sz w:val="24"/>
              </w:rPr>
            </w:pPr>
          </w:p>
        </w:tc>
        <w:tc>
          <w:tcPr>
            <w:tcW w:w="1520" w:type="dxa"/>
            <w:vAlign w:val="center"/>
          </w:tcPr>
          <w:p w14:paraId="32771814">
            <w:pPr>
              <w:pStyle w:val="12"/>
              <w:rPr>
                <w:rFonts w:cs="Times New Roman"/>
                <w:kern w:val="21"/>
                <w:szCs w:val="21"/>
              </w:rPr>
            </w:pPr>
            <w:r>
              <w:rPr>
                <w:rFonts w:cs="Times New Roman"/>
                <w:kern w:val="21"/>
                <w:szCs w:val="21"/>
                <w:lang w:bidi="ar"/>
              </w:rPr>
              <w:t>氨氮</w:t>
            </w:r>
          </w:p>
        </w:tc>
        <w:tc>
          <w:tcPr>
            <w:tcW w:w="1598" w:type="dxa"/>
            <w:vAlign w:val="center"/>
          </w:tcPr>
          <w:p w14:paraId="1DE37FA6">
            <w:pPr>
              <w:pStyle w:val="12"/>
              <w:rPr>
                <w:rFonts w:cs="Times New Roman"/>
              </w:rPr>
            </w:pPr>
            <w:r>
              <w:rPr>
                <w:rFonts w:cs="Times New Roman"/>
                <w:snapToGrid w:val="0"/>
              </w:rPr>
              <w:t>/</w:t>
            </w:r>
          </w:p>
        </w:tc>
        <w:tc>
          <w:tcPr>
            <w:tcW w:w="1276" w:type="dxa"/>
            <w:vAlign w:val="center"/>
          </w:tcPr>
          <w:p w14:paraId="3BA4C89D">
            <w:pPr>
              <w:pStyle w:val="12"/>
              <w:rPr>
                <w:rFonts w:cs="Times New Roman"/>
              </w:rPr>
            </w:pPr>
            <w:r>
              <w:rPr>
                <w:rFonts w:cs="Times New Roman"/>
                <w:snapToGrid w:val="0"/>
              </w:rPr>
              <w:t>/</w:t>
            </w:r>
          </w:p>
        </w:tc>
        <w:tc>
          <w:tcPr>
            <w:tcW w:w="1701" w:type="dxa"/>
            <w:vAlign w:val="center"/>
          </w:tcPr>
          <w:p w14:paraId="3BB1098D">
            <w:pPr>
              <w:pStyle w:val="12"/>
              <w:rPr>
                <w:rFonts w:cs="Times New Roman"/>
              </w:rPr>
            </w:pPr>
            <w:r>
              <w:rPr>
                <w:rFonts w:cs="Times New Roman"/>
                <w:snapToGrid w:val="0"/>
              </w:rPr>
              <w:t>/</w:t>
            </w:r>
          </w:p>
        </w:tc>
        <w:tc>
          <w:tcPr>
            <w:tcW w:w="1559" w:type="dxa"/>
            <w:vAlign w:val="center"/>
          </w:tcPr>
          <w:p w14:paraId="11C829E3">
            <w:pPr>
              <w:widowControl/>
              <w:spacing w:line="240" w:lineRule="auto"/>
              <w:ind w:firstLine="0" w:firstLineChars="0"/>
              <w:jc w:val="center"/>
              <w:rPr>
                <w:rFonts w:hint="default" w:eastAsia="宋体" w:cs="Times New Roman"/>
                <w:kern w:val="21"/>
                <w:sz w:val="21"/>
                <w:szCs w:val="18"/>
                <w:lang w:val="en-US" w:eastAsia="zh-CN"/>
              </w:rPr>
            </w:pPr>
            <w:r>
              <w:rPr>
                <w:rFonts w:hint="eastAsia" w:cs="Times New Roman"/>
                <w:kern w:val="21"/>
                <w:sz w:val="21"/>
                <w:szCs w:val="18"/>
                <w:lang w:val="en-US" w:eastAsia="zh-CN"/>
              </w:rPr>
              <w:t>0.0347</w:t>
            </w:r>
          </w:p>
        </w:tc>
        <w:tc>
          <w:tcPr>
            <w:tcW w:w="1761" w:type="dxa"/>
            <w:vAlign w:val="center"/>
          </w:tcPr>
          <w:p w14:paraId="46FB9DC4">
            <w:pPr>
              <w:pStyle w:val="12"/>
              <w:rPr>
                <w:rFonts w:cs="Times New Roman"/>
              </w:rPr>
            </w:pPr>
            <w:r>
              <w:rPr>
                <w:rFonts w:cs="Times New Roman"/>
                <w:snapToGrid w:val="0"/>
              </w:rPr>
              <w:t>/</w:t>
            </w:r>
          </w:p>
        </w:tc>
        <w:tc>
          <w:tcPr>
            <w:tcW w:w="1562" w:type="dxa"/>
            <w:vAlign w:val="center"/>
          </w:tcPr>
          <w:p w14:paraId="3DE039CD">
            <w:pPr>
              <w:widowControl/>
              <w:spacing w:line="240" w:lineRule="auto"/>
              <w:ind w:firstLine="0" w:firstLineChars="0"/>
              <w:jc w:val="center"/>
              <w:rPr>
                <w:rFonts w:hint="default" w:cs="Times New Roman"/>
                <w:kern w:val="21"/>
                <w:szCs w:val="21"/>
                <w:lang w:val="en-US"/>
              </w:rPr>
            </w:pPr>
            <w:r>
              <w:rPr>
                <w:rFonts w:hint="eastAsia" w:cs="Times New Roman"/>
                <w:kern w:val="21"/>
                <w:sz w:val="21"/>
                <w:szCs w:val="18"/>
                <w:lang w:val="en-US" w:eastAsia="zh-CN"/>
              </w:rPr>
              <w:t>0.0347</w:t>
            </w:r>
          </w:p>
        </w:tc>
        <w:tc>
          <w:tcPr>
            <w:tcW w:w="1223" w:type="dxa"/>
            <w:vAlign w:val="center"/>
          </w:tcPr>
          <w:p w14:paraId="5E163FE4">
            <w:pPr>
              <w:pStyle w:val="12"/>
              <w:ind w:firstLine="0" w:firstLineChars="0"/>
              <w:rPr>
                <w:rFonts w:cs="Times New Roman"/>
                <w:kern w:val="21"/>
                <w:szCs w:val="21"/>
              </w:rPr>
            </w:pPr>
            <w:r>
              <w:rPr>
                <w:rFonts w:cs="Times New Roman"/>
                <w:snapToGrid w:val="0"/>
              </w:rPr>
              <w:t>/</w:t>
            </w:r>
          </w:p>
        </w:tc>
      </w:tr>
      <w:tr w14:paraId="51AAC2E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588" w:type="dxa"/>
            <w:vMerge w:val="continue"/>
            <w:vAlign w:val="center"/>
          </w:tcPr>
          <w:p w14:paraId="3A8AF4A7">
            <w:pPr>
              <w:pStyle w:val="12"/>
              <w:rPr>
                <w:rFonts w:cs="Times New Roman"/>
                <w:snapToGrid w:val="0"/>
                <w:kern w:val="21"/>
                <w:sz w:val="24"/>
              </w:rPr>
            </w:pPr>
          </w:p>
        </w:tc>
        <w:tc>
          <w:tcPr>
            <w:tcW w:w="1520" w:type="dxa"/>
            <w:vAlign w:val="center"/>
          </w:tcPr>
          <w:p w14:paraId="4342908B">
            <w:pPr>
              <w:pStyle w:val="12"/>
              <w:rPr>
                <w:rFonts w:hint="eastAsia" w:eastAsia="宋体" w:cs="Times New Roman"/>
                <w:kern w:val="21"/>
                <w:szCs w:val="21"/>
                <w:lang w:val="en-US" w:eastAsia="zh-CN" w:bidi="ar"/>
              </w:rPr>
            </w:pPr>
            <w:r>
              <w:rPr>
                <w:rFonts w:hint="eastAsia" w:cs="Times New Roman"/>
                <w:kern w:val="21"/>
                <w:szCs w:val="21"/>
                <w:lang w:val="en-US" w:eastAsia="zh-CN" w:bidi="ar"/>
              </w:rPr>
              <w:t>总磷</w:t>
            </w:r>
          </w:p>
        </w:tc>
        <w:tc>
          <w:tcPr>
            <w:tcW w:w="1598" w:type="dxa"/>
            <w:vAlign w:val="center"/>
          </w:tcPr>
          <w:p w14:paraId="48DFCEC5">
            <w:pPr>
              <w:pStyle w:val="12"/>
              <w:rPr>
                <w:rFonts w:cs="Times New Roman"/>
                <w:snapToGrid w:val="0"/>
              </w:rPr>
            </w:pPr>
          </w:p>
        </w:tc>
        <w:tc>
          <w:tcPr>
            <w:tcW w:w="1276" w:type="dxa"/>
            <w:vAlign w:val="center"/>
          </w:tcPr>
          <w:p w14:paraId="662F8D2E">
            <w:pPr>
              <w:pStyle w:val="12"/>
              <w:rPr>
                <w:rFonts w:cs="Times New Roman"/>
                <w:snapToGrid w:val="0"/>
              </w:rPr>
            </w:pPr>
          </w:p>
        </w:tc>
        <w:tc>
          <w:tcPr>
            <w:tcW w:w="1701" w:type="dxa"/>
            <w:vAlign w:val="center"/>
          </w:tcPr>
          <w:p w14:paraId="10F04DC2">
            <w:pPr>
              <w:pStyle w:val="12"/>
              <w:rPr>
                <w:rFonts w:cs="Times New Roman"/>
                <w:snapToGrid w:val="0"/>
              </w:rPr>
            </w:pPr>
          </w:p>
        </w:tc>
        <w:tc>
          <w:tcPr>
            <w:tcW w:w="1559" w:type="dxa"/>
            <w:vAlign w:val="center"/>
          </w:tcPr>
          <w:p w14:paraId="072A545A">
            <w:pPr>
              <w:widowControl/>
              <w:spacing w:line="240" w:lineRule="auto"/>
              <w:ind w:firstLine="0" w:firstLineChars="0"/>
              <w:jc w:val="center"/>
              <w:rPr>
                <w:rFonts w:hint="default" w:eastAsia="等线" w:cs="Times New Roman"/>
                <w:color w:val="000000"/>
                <w:sz w:val="21"/>
                <w:szCs w:val="21"/>
                <w:lang w:val="en-US" w:eastAsia="zh-CN"/>
              </w:rPr>
            </w:pPr>
            <w:r>
              <w:rPr>
                <w:rFonts w:hint="eastAsia" w:eastAsia="等线" w:cs="Times New Roman"/>
                <w:color w:val="000000"/>
                <w:sz w:val="21"/>
                <w:szCs w:val="21"/>
                <w:lang w:val="en-US" w:eastAsia="zh-CN"/>
              </w:rPr>
              <w:t>0.0062</w:t>
            </w:r>
          </w:p>
        </w:tc>
        <w:tc>
          <w:tcPr>
            <w:tcW w:w="1761" w:type="dxa"/>
            <w:vAlign w:val="center"/>
          </w:tcPr>
          <w:p w14:paraId="2736AFD1">
            <w:pPr>
              <w:pStyle w:val="12"/>
              <w:rPr>
                <w:rFonts w:cs="Times New Roman"/>
                <w:snapToGrid w:val="0"/>
              </w:rPr>
            </w:pPr>
          </w:p>
        </w:tc>
        <w:tc>
          <w:tcPr>
            <w:tcW w:w="1562" w:type="dxa"/>
            <w:vAlign w:val="center"/>
          </w:tcPr>
          <w:p w14:paraId="17DEDABA">
            <w:pPr>
              <w:widowControl/>
              <w:spacing w:line="240" w:lineRule="auto"/>
              <w:ind w:firstLine="0" w:firstLineChars="0"/>
              <w:jc w:val="center"/>
              <w:rPr>
                <w:rFonts w:eastAsia="等线" w:cs="Times New Roman"/>
                <w:color w:val="000000"/>
                <w:szCs w:val="21"/>
              </w:rPr>
            </w:pPr>
            <w:r>
              <w:rPr>
                <w:rFonts w:hint="eastAsia" w:eastAsia="等线" w:cs="Times New Roman"/>
                <w:color w:val="000000"/>
                <w:sz w:val="21"/>
                <w:szCs w:val="21"/>
                <w:lang w:val="en-US" w:eastAsia="zh-CN"/>
              </w:rPr>
              <w:t>0.0062</w:t>
            </w:r>
          </w:p>
        </w:tc>
        <w:tc>
          <w:tcPr>
            <w:tcW w:w="1223" w:type="dxa"/>
            <w:vAlign w:val="center"/>
          </w:tcPr>
          <w:p w14:paraId="7BB7FCCE">
            <w:pPr>
              <w:pStyle w:val="12"/>
              <w:ind w:firstLine="0" w:firstLineChars="0"/>
              <w:rPr>
                <w:rFonts w:eastAsia="等线" w:cs="Times New Roman"/>
                <w:color w:val="000000"/>
                <w:szCs w:val="21"/>
              </w:rPr>
            </w:pPr>
          </w:p>
        </w:tc>
      </w:tr>
      <w:tr w14:paraId="37C698D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588" w:type="dxa"/>
            <w:vAlign w:val="center"/>
          </w:tcPr>
          <w:p w14:paraId="54C01C16">
            <w:pPr>
              <w:pStyle w:val="12"/>
              <w:ind w:firstLine="0" w:firstLineChars="0"/>
              <w:rPr>
                <w:rFonts w:hint="default" w:eastAsia="宋体" w:cs="Times New Roman"/>
                <w:snapToGrid w:val="0"/>
                <w:lang w:val="en-US" w:eastAsia="zh-CN"/>
              </w:rPr>
            </w:pPr>
            <w:r>
              <w:rPr>
                <w:rFonts w:hint="eastAsia" w:cs="Times New Roman"/>
                <w:snapToGrid w:val="0"/>
                <w:lang w:val="en-US" w:eastAsia="zh-CN"/>
              </w:rPr>
              <w:t>生活垃圾</w:t>
            </w:r>
          </w:p>
        </w:tc>
        <w:tc>
          <w:tcPr>
            <w:tcW w:w="1520" w:type="dxa"/>
            <w:shd w:val="clear" w:color="auto" w:fill="auto"/>
            <w:vAlign w:val="center"/>
          </w:tcPr>
          <w:p w14:paraId="69026D7A">
            <w:pPr>
              <w:pStyle w:val="12"/>
              <w:ind w:firstLine="0" w:firstLineChars="0"/>
              <w:rPr>
                <w:rFonts w:ascii="Times New Roman" w:hAnsi="Times New Roman" w:eastAsia="宋体" w:cs="Times New Roman"/>
                <w:bCs/>
                <w:kern w:val="0"/>
                <w:sz w:val="21"/>
                <w:szCs w:val="24"/>
                <w:lang w:val="zh-CN" w:eastAsia="zh-CN" w:bidi="ar-SA"/>
              </w:rPr>
            </w:pPr>
            <w:r>
              <w:rPr>
                <w:rFonts w:cs="Times New Roman"/>
                <w:bCs/>
              </w:rPr>
              <w:t>生活垃圾</w:t>
            </w:r>
          </w:p>
        </w:tc>
        <w:tc>
          <w:tcPr>
            <w:tcW w:w="1598" w:type="dxa"/>
            <w:vAlign w:val="center"/>
          </w:tcPr>
          <w:p w14:paraId="1D2EDA55">
            <w:pPr>
              <w:pStyle w:val="12"/>
              <w:rPr>
                <w:rFonts w:cs="Times New Roman"/>
                <w:lang w:val="zh-CN"/>
              </w:rPr>
            </w:pPr>
            <w:r>
              <w:rPr>
                <w:rFonts w:cs="Times New Roman"/>
                <w:snapToGrid w:val="0"/>
              </w:rPr>
              <w:t>/</w:t>
            </w:r>
          </w:p>
        </w:tc>
        <w:tc>
          <w:tcPr>
            <w:tcW w:w="1276" w:type="dxa"/>
            <w:vAlign w:val="center"/>
          </w:tcPr>
          <w:p w14:paraId="297AAFC5">
            <w:pPr>
              <w:pStyle w:val="12"/>
              <w:rPr>
                <w:rFonts w:cs="Times New Roman"/>
                <w:lang w:val="zh-CN"/>
              </w:rPr>
            </w:pPr>
            <w:r>
              <w:rPr>
                <w:rFonts w:cs="Times New Roman"/>
                <w:snapToGrid w:val="0"/>
              </w:rPr>
              <w:t>/</w:t>
            </w:r>
          </w:p>
        </w:tc>
        <w:tc>
          <w:tcPr>
            <w:tcW w:w="1701" w:type="dxa"/>
            <w:vAlign w:val="center"/>
          </w:tcPr>
          <w:p w14:paraId="62B5D794">
            <w:pPr>
              <w:pStyle w:val="12"/>
              <w:rPr>
                <w:rFonts w:cs="Times New Roman"/>
                <w:lang w:val="zh-CN"/>
              </w:rPr>
            </w:pPr>
            <w:r>
              <w:rPr>
                <w:rFonts w:cs="Times New Roman"/>
                <w:snapToGrid w:val="0"/>
              </w:rPr>
              <w:t>/</w:t>
            </w:r>
          </w:p>
        </w:tc>
        <w:tc>
          <w:tcPr>
            <w:tcW w:w="1559" w:type="dxa"/>
            <w:vAlign w:val="center"/>
          </w:tcPr>
          <w:p w14:paraId="751C3FC0">
            <w:pPr>
              <w:pStyle w:val="12"/>
              <w:rPr>
                <w:rFonts w:hint="default" w:eastAsia="宋体" w:cs="Times New Roman"/>
                <w:szCs w:val="21"/>
                <w:lang w:val="en-US" w:eastAsia="zh-CN"/>
              </w:rPr>
            </w:pPr>
            <w:r>
              <w:rPr>
                <w:rFonts w:hint="eastAsia" w:cs="Times New Roman"/>
                <w:szCs w:val="21"/>
                <w:lang w:val="en-US" w:eastAsia="zh-CN"/>
              </w:rPr>
              <w:t>3.3</w:t>
            </w:r>
          </w:p>
        </w:tc>
        <w:tc>
          <w:tcPr>
            <w:tcW w:w="1761" w:type="dxa"/>
            <w:vAlign w:val="center"/>
          </w:tcPr>
          <w:p w14:paraId="57C693AC">
            <w:pPr>
              <w:pStyle w:val="12"/>
              <w:rPr>
                <w:rFonts w:cs="Times New Roman"/>
                <w:lang w:val="zh-CN"/>
              </w:rPr>
            </w:pPr>
            <w:r>
              <w:rPr>
                <w:rFonts w:cs="Times New Roman"/>
                <w:snapToGrid w:val="0"/>
              </w:rPr>
              <w:t>/</w:t>
            </w:r>
          </w:p>
        </w:tc>
        <w:tc>
          <w:tcPr>
            <w:tcW w:w="1562" w:type="dxa"/>
            <w:vAlign w:val="center"/>
          </w:tcPr>
          <w:p w14:paraId="781C0F1D">
            <w:pPr>
              <w:pStyle w:val="12"/>
              <w:ind w:firstLine="0" w:firstLineChars="0"/>
              <w:rPr>
                <w:rFonts w:hint="default" w:cs="Times New Roman"/>
                <w:szCs w:val="21"/>
                <w:lang w:val="en-US"/>
              </w:rPr>
            </w:pPr>
            <w:r>
              <w:rPr>
                <w:rFonts w:hint="eastAsia" w:cs="Times New Roman"/>
                <w:szCs w:val="21"/>
                <w:lang w:val="en-US" w:eastAsia="zh-CN"/>
              </w:rPr>
              <w:t>3.3</w:t>
            </w:r>
          </w:p>
        </w:tc>
        <w:tc>
          <w:tcPr>
            <w:tcW w:w="1223" w:type="dxa"/>
            <w:vAlign w:val="center"/>
          </w:tcPr>
          <w:p w14:paraId="677CBF5F">
            <w:pPr>
              <w:pStyle w:val="12"/>
              <w:ind w:firstLine="0" w:firstLineChars="0"/>
              <w:rPr>
                <w:rFonts w:cs="Times New Roman"/>
                <w:szCs w:val="21"/>
                <w:lang w:val="zh-CN"/>
              </w:rPr>
            </w:pPr>
            <w:r>
              <w:rPr>
                <w:rFonts w:cs="Times New Roman"/>
                <w:snapToGrid w:val="0"/>
              </w:rPr>
              <w:t>/</w:t>
            </w:r>
          </w:p>
        </w:tc>
      </w:tr>
      <w:tr w14:paraId="55E9855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588" w:type="dxa"/>
            <w:vMerge w:val="restart"/>
            <w:vAlign w:val="center"/>
          </w:tcPr>
          <w:p w14:paraId="13E92D55">
            <w:pPr>
              <w:pStyle w:val="12"/>
              <w:rPr>
                <w:rFonts w:cs="Times New Roman"/>
                <w:snapToGrid w:val="0"/>
              </w:rPr>
            </w:pPr>
            <w:r>
              <w:rPr>
                <w:rFonts w:cs="Times New Roman"/>
                <w:snapToGrid w:val="0"/>
              </w:rPr>
              <w:t>一般工业</w:t>
            </w:r>
          </w:p>
          <w:p w14:paraId="3C8698D5">
            <w:pPr>
              <w:pStyle w:val="12"/>
              <w:rPr>
                <w:rFonts w:cs="Times New Roman"/>
                <w:snapToGrid w:val="0"/>
                <w:kern w:val="21"/>
                <w:sz w:val="24"/>
              </w:rPr>
            </w:pPr>
            <w:r>
              <w:rPr>
                <w:rFonts w:cs="Times New Roman"/>
                <w:snapToGrid w:val="0"/>
              </w:rPr>
              <w:t>固体</w:t>
            </w:r>
            <w:r>
              <w:rPr>
                <w:rFonts w:hint="eastAsia" w:ascii="Times New Roman" w:hAnsi="Times New Roman" w:eastAsia="宋体" w:cs="Times New Roman"/>
                <w:kern w:val="21"/>
                <w:lang w:val="en-US" w:eastAsia="zh-CN"/>
              </w:rPr>
              <w:t>废物</w:t>
            </w:r>
          </w:p>
        </w:tc>
        <w:tc>
          <w:tcPr>
            <w:tcW w:w="1520" w:type="dxa"/>
            <w:shd w:val="clear" w:color="auto" w:fill="auto"/>
            <w:vAlign w:val="center"/>
          </w:tcPr>
          <w:p w14:paraId="5FED009D">
            <w:pPr>
              <w:pStyle w:val="12"/>
              <w:ind w:firstLine="0" w:firstLineChars="0"/>
              <w:rPr>
                <w:rFonts w:hint="default" w:ascii="Times New Roman" w:hAnsi="Times New Roman" w:eastAsia="宋体" w:cs="Times New Roman"/>
                <w:kern w:val="0"/>
                <w:sz w:val="21"/>
                <w:szCs w:val="24"/>
                <w:lang w:val="en-US" w:eastAsia="zh-CN" w:bidi="ar-SA"/>
              </w:rPr>
            </w:pPr>
            <w:r>
              <w:rPr>
                <w:rFonts w:hint="eastAsia" w:cs="Times New Roman"/>
                <w:lang w:val="en-US" w:eastAsia="zh-CN"/>
              </w:rPr>
              <w:t>废包装</w:t>
            </w:r>
          </w:p>
        </w:tc>
        <w:tc>
          <w:tcPr>
            <w:tcW w:w="1598" w:type="dxa"/>
            <w:vAlign w:val="center"/>
          </w:tcPr>
          <w:p w14:paraId="223D7F86">
            <w:pPr>
              <w:pStyle w:val="12"/>
              <w:rPr>
                <w:rFonts w:cs="Times New Roman"/>
                <w:snapToGrid w:val="0"/>
              </w:rPr>
            </w:pPr>
            <w:r>
              <w:rPr>
                <w:rFonts w:cs="Times New Roman"/>
                <w:snapToGrid w:val="0"/>
              </w:rPr>
              <w:t>/</w:t>
            </w:r>
          </w:p>
        </w:tc>
        <w:tc>
          <w:tcPr>
            <w:tcW w:w="1276" w:type="dxa"/>
            <w:vAlign w:val="center"/>
          </w:tcPr>
          <w:p w14:paraId="2C51EE27">
            <w:pPr>
              <w:pStyle w:val="12"/>
              <w:rPr>
                <w:rFonts w:cs="Times New Roman"/>
                <w:snapToGrid w:val="0"/>
              </w:rPr>
            </w:pPr>
            <w:r>
              <w:rPr>
                <w:rFonts w:cs="Times New Roman"/>
                <w:snapToGrid w:val="0"/>
              </w:rPr>
              <w:t>/</w:t>
            </w:r>
          </w:p>
        </w:tc>
        <w:tc>
          <w:tcPr>
            <w:tcW w:w="1701" w:type="dxa"/>
            <w:vAlign w:val="center"/>
          </w:tcPr>
          <w:p w14:paraId="5E2A2A07">
            <w:pPr>
              <w:pStyle w:val="12"/>
              <w:rPr>
                <w:rFonts w:cs="Times New Roman"/>
                <w:snapToGrid w:val="0"/>
              </w:rPr>
            </w:pPr>
            <w:r>
              <w:rPr>
                <w:rFonts w:cs="Times New Roman"/>
                <w:snapToGrid w:val="0"/>
              </w:rPr>
              <w:t>/</w:t>
            </w:r>
          </w:p>
        </w:tc>
        <w:tc>
          <w:tcPr>
            <w:tcW w:w="1559" w:type="dxa"/>
            <w:vAlign w:val="center"/>
          </w:tcPr>
          <w:p w14:paraId="129B42E9">
            <w:pPr>
              <w:pStyle w:val="12"/>
              <w:rPr>
                <w:rFonts w:hint="default" w:eastAsia="宋体" w:cs="Times New Roman"/>
                <w:szCs w:val="21"/>
                <w:lang w:val="en-US" w:eastAsia="zh-CN"/>
              </w:rPr>
            </w:pPr>
            <w:r>
              <w:rPr>
                <w:rFonts w:hint="eastAsia" w:cs="Times New Roman"/>
                <w:szCs w:val="21"/>
                <w:lang w:val="en-US" w:eastAsia="zh-CN"/>
              </w:rPr>
              <w:t>10.54</w:t>
            </w:r>
          </w:p>
        </w:tc>
        <w:tc>
          <w:tcPr>
            <w:tcW w:w="1761" w:type="dxa"/>
            <w:vAlign w:val="center"/>
          </w:tcPr>
          <w:p w14:paraId="69629B7D">
            <w:pPr>
              <w:pStyle w:val="12"/>
              <w:rPr>
                <w:rFonts w:hint="default" w:eastAsia="黑体" w:cs="Times New Roman"/>
                <w:snapToGrid w:val="0"/>
                <w:kern w:val="21"/>
                <w:szCs w:val="21"/>
                <w:lang w:val="en-US" w:eastAsia="zh-CN"/>
              </w:rPr>
            </w:pPr>
            <w:r>
              <w:rPr>
                <w:rFonts w:hint="eastAsia" w:eastAsia="黑体" w:cs="Times New Roman"/>
                <w:snapToGrid w:val="0"/>
                <w:kern w:val="21"/>
                <w:szCs w:val="21"/>
                <w:lang w:val="en-US" w:eastAsia="zh-CN"/>
              </w:rPr>
              <w:t>/</w:t>
            </w:r>
          </w:p>
        </w:tc>
        <w:tc>
          <w:tcPr>
            <w:tcW w:w="1562" w:type="dxa"/>
            <w:vAlign w:val="center"/>
          </w:tcPr>
          <w:p w14:paraId="06F4091E">
            <w:pPr>
              <w:pStyle w:val="12"/>
              <w:ind w:firstLine="0" w:firstLineChars="0"/>
              <w:rPr>
                <w:rFonts w:cs="Times New Roman"/>
                <w:szCs w:val="21"/>
              </w:rPr>
            </w:pPr>
            <w:r>
              <w:rPr>
                <w:rFonts w:hint="eastAsia" w:cs="Times New Roman"/>
                <w:szCs w:val="21"/>
                <w:lang w:val="en-US" w:eastAsia="zh-CN"/>
              </w:rPr>
              <w:t>10.54</w:t>
            </w:r>
          </w:p>
        </w:tc>
        <w:tc>
          <w:tcPr>
            <w:tcW w:w="1223" w:type="dxa"/>
            <w:vAlign w:val="center"/>
          </w:tcPr>
          <w:p w14:paraId="5B0E7D4B">
            <w:pPr>
              <w:pStyle w:val="12"/>
              <w:ind w:firstLine="0" w:firstLineChars="0"/>
              <w:rPr>
                <w:rFonts w:eastAsia="黑体" w:cs="Times New Roman"/>
                <w:snapToGrid w:val="0"/>
                <w:kern w:val="21"/>
                <w:szCs w:val="21"/>
              </w:rPr>
            </w:pPr>
            <w:r>
              <w:rPr>
                <w:rFonts w:hint="eastAsia" w:eastAsia="黑体" w:cs="Times New Roman"/>
                <w:snapToGrid w:val="0"/>
                <w:kern w:val="21"/>
                <w:szCs w:val="21"/>
                <w:lang w:val="en-US" w:eastAsia="zh-CN"/>
              </w:rPr>
              <w:t>/</w:t>
            </w:r>
          </w:p>
        </w:tc>
      </w:tr>
      <w:tr w14:paraId="18F43F0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588" w:type="dxa"/>
            <w:vMerge w:val="continue"/>
            <w:vAlign w:val="center"/>
          </w:tcPr>
          <w:p w14:paraId="7AACD49C">
            <w:pPr>
              <w:pStyle w:val="12"/>
              <w:rPr>
                <w:rFonts w:cs="Times New Roman"/>
                <w:snapToGrid w:val="0"/>
                <w:kern w:val="21"/>
                <w:sz w:val="24"/>
              </w:rPr>
            </w:pPr>
          </w:p>
        </w:tc>
        <w:tc>
          <w:tcPr>
            <w:tcW w:w="1520" w:type="dxa"/>
            <w:shd w:val="clear" w:color="auto" w:fill="auto"/>
            <w:vAlign w:val="center"/>
          </w:tcPr>
          <w:p w14:paraId="5365507E">
            <w:pPr>
              <w:pStyle w:val="12"/>
              <w:ind w:firstLine="0" w:firstLineChars="0"/>
              <w:rPr>
                <w:rFonts w:hint="eastAsia" w:ascii="Times New Roman" w:hAnsi="Times New Roman" w:eastAsia="宋体" w:cs="Times New Roman"/>
                <w:bCs/>
                <w:kern w:val="0"/>
                <w:sz w:val="21"/>
                <w:szCs w:val="24"/>
                <w:lang w:val="zh-CN" w:eastAsia="zh-CN" w:bidi="ar-SA"/>
              </w:rPr>
            </w:pPr>
            <w:r>
              <w:rPr>
                <w:rFonts w:hint="eastAsia" w:cs="Times New Roman"/>
                <w:lang w:val="en-US" w:eastAsia="zh-CN"/>
              </w:rPr>
              <w:t>不合格品</w:t>
            </w:r>
          </w:p>
        </w:tc>
        <w:tc>
          <w:tcPr>
            <w:tcW w:w="1598" w:type="dxa"/>
            <w:vAlign w:val="center"/>
          </w:tcPr>
          <w:p w14:paraId="70CDDA4C">
            <w:pPr>
              <w:pStyle w:val="12"/>
              <w:rPr>
                <w:rFonts w:cs="Times New Roman"/>
                <w:lang w:val="zh-CN"/>
              </w:rPr>
            </w:pPr>
            <w:r>
              <w:rPr>
                <w:rFonts w:cs="Times New Roman"/>
                <w:snapToGrid w:val="0"/>
              </w:rPr>
              <w:t>/</w:t>
            </w:r>
          </w:p>
        </w:tc>
        <w:tc>
          <w:tcPr>
            <w:tcW w:w="1276" w:type="dxa"/>
            <w:vAlign w:val="center"/>
          </w:tcPr>
          <w:p w14:paraId="243C7E5C">
            <w:pPr>
              <w:pStyle w:val="12"/>
              <w:rPr>
                <w:rFonts w:cs="Times New Roman"/>
                <w:lang w:val="zh-CN"/>
              </w:rPr>
            </w:pPr>
            <w:r>
              <w:rPr>
                <w:rFonts w:cs="Times New Roman"/>
                <w:snapToGrid w:val="0"/>
              </w:rPr>
              <w:t>/</w:t>
            </w:r>
          </w:p>
        </w:tc>
        <w:tc>
          <w:tcPr>
            <w:tcW w:w="1701" w:type="dxa"/>
            <w:vAlign w:val="center"/>
          </w:tcPr>
          <w:p w14:paraId="3FC866DD">
            <w:pPr>
              <w:pStyle w:val="12"/>
              <w:rPr>
                <w:rFonts w:cs="Times New Roman"/>
                <w:lang w:val="zh-CN"/>
              </w:rPr>
            </w:pPr>
            <w:r>
              <w:rPr>
                <w:rFonts w:cs="Times New Roman"/>
                <w:snapToGrid w:val="0"/>
              </w:rPr>
              <w:t>/</w:t>
            </w:r>
          </w:p>
        </w:tc>
        <w:tc>
          <w:tcPr>
            <w:tcW w:w="1559" w:type="dxa"/>
            <w:vAlign w:val="center"/>
          </w:tcPr>
          <w:p w14:paraId="061F0527">
            <w:pPr>
              <w:pStyle w:val="12"/>
              <w:rPr>
                <w:rFonts w:hint="default" w:eastAsia="宋体" w:cs="Times New Roman"/>
                <w:szCs w:val="21"/>
                <w:lang w:val="en-US" w:eastAsia="zh-CN"/>
              </w:rPr>
            </w:pPr>
            <w:r>
              <w:rPr>
                <w:rFonts w:hint="eastAsia" w:cs="Times New Roman"/>
                <w:szCs w:val="21"/>
                <w:lang w:val="en-US" w:eastAsia="zh-CN"/>
              </w:rPr>
              <w:t>2200</w:t>
            </w:r>
          </w:p>
        </w:tc>
        <w:tc>
          <w:tcPr>
            <w:tcW w:w="1761" w:type="dxa"/>
            <w:vAlign w:val="center"/>
          </w:tcPr>
          <w:p w14:paraId="6F156CFA">
            <w:pPr>
              <w:pStyle w:val="12"/>
              <w:rPr>
                <w:rFonts w:cs="Times New Roman"/>
                <w:lang w:val="zh-CN"/>
              </w:rPr>
            </w:pPr>
            <w:r>
              <w:rPr>
                <w:rFonts w:cs="Times New Roman"/>
                <w:snapToGrid w:val="0"/>
              </w:rPr>
              <w:t>/</w:t>
            </w:r>
          </w:p>
        </w:tc>
        <w:tc>
          <w:tcPr>
            <w:tcW w:w="1562" w:type="dxa"/>
            <w:vAlign w:val="center"/>
          </w:tcPr>
          <w:p w14:paraId="24029B6C">
            <w:pPr>
              <w:pStyle w:val="12"/>
              <w:ind w:firstLine="0" w:firstLineChars="0"/>
              <w:rPr>
                <w:rFonts w:hint="default" w:cs="Times New Roman"/>
                <w:szCs w:val="21"/>
                <w:lang w:val="en-US"/>
              </w:rPr>
            </w:pPr>
            <w:r>
              <w:rPr>
                <w:rFonts w:hint="eastAsia" w:cs="Times New Roman"/>
                <w:szCs w:val="21"/>
                <w:lang w:val="en-US" w:eastAsia="zh-CN"/>
              </w:rPr>
              <w:t>2200</w:t>
            </w:r>
          </w:p>
        </w:tc>
        <w:tc>
          <w:tcPr>
            <w:tcW w:w="1223" w:type="dxa"/>
            <w:vAlign w:val="center"/>
          </w:tcPr>
          <w:p w14:paraId="13114798">
            <w:pPr>
              <w:pStyle w:val="12"/>
              <w:ind w:firstLine="0" w:firstLineChars="0"/>
              <w:rPr>
                <w:rFonts w:cs="Times New Roman"/>
                <w:szCs w:val="21"/>
                <w:lang w:val="zh-CN"/>
              </w:rPr>
            </w:pPr>
            <w:r>
              <w:rPr>
                <w:rFonts w:cs="Times New Roman"/>
                <w:snapToGrid w:val="0"/>
              </w:rPr>
              <w:t>/</w:t>
            </w:r>
          </w:p>
        </w:tc>
      </w:tr>
      <w:tr w14:paraId="75D1E54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588" w:type="dxa"/>
            <w:vMerge w:val="continue"/>
            <w:vAlign w:val="center"/>
          </w:tcPr>
          <w:p w14:paraId="6D22BAD8">
            <w:pPr>
              <w:pStyle w:val="12"/>
              <w:rPr>
                <w:rFonts w:cs="Times New Roman"/>
                <w:snapToGrid w:val="0"/>
                <w:kern w:val="21"/>
                <w:sz w:val="24"/>
              </w:rPr>
            </w:pPr>
          </w:p>
        </w:tc>
        <w:tc>
          <w:tcPr>
            <w:tcW w:w="1520" w:type="dxa"/>
            <w:shd w:val="clear" w:color="auto" w:fill="auto"/>
            <w:vAlign w:val="center"/>
          </w:tcPr>
          <w:p w14:paraId="6866DF5C">
            <w:pPr>
              <w:pStyle w:val="12"/>
              <w:ind w:firstLine="0" w:firstLineChars="0"/>
              <w:rPr>
                <w:rFonts w:hint="default" w:ascii="Times New Roman" w:hAnsi="Times New Roman" w:eastAsia="宋体" w:cs="Times New Roman"/>
                <w:kern w:val="0"/>
                <w:sz w:val="21"/>
                <w:szCs w:val="24"/>
                <w:lang w:val="en-US" w:eastAsia="zh-CN" w:bidi="ar-SA"/>
              </w:rPr>
            </w:pPr>
            <w:r>
              <w:rPr>
                <w:rFonts w:hint="eastAsia" w:cs="Times New Roman"/>
                <w:bCs/>
                <w:lang w:val="en-US" w:eastAsia="zh-CN"/>
              </w:rPr>
              <w:t>废模具</w:t>
            </w:r>
          </w:p>
        </w:tc>
        <w:tc>
          <w:tcPr>
            <w:tcW w:w="1598" w:type="dxa"/>
            <w:vAlign w:val="center"/>
          </w:tcPr>
          <w:p w14:paraId="4D93C608">
            <w:pPr>
              <w:pStyle w:val="12"/>
              <w:rPr>
                <w:rFonts w:cs="Times New Roman"/>
                <w:snapToGrid w:val="0"/>
              </w:rPr>
            </w:pPr>
            <w:r>
              <w:rPr>
                <w:rFonts w:cs="Times New Roman"/>
                <w:snapToGrid w:val="0"/>
              </w:rPr>
              <w:t>/</w:t>
            </w:r>
          </w:p>
        </w:tc>
        <w:tc>
          <w:tcPr>
            <w:tcW w:w="1276" w:type="dxa"/>
            <w:vAlign w:val="center"/>
          </w:tcPr>
          <w:p w14:paraId="3920F32E">
            <w:pPr>
              <w:pStyle w:val="12"/>
              <w:rPr>
                <w:rFonts w:cs="Times New Roman"/>
                <w:snapToGrid w:val="0"/>
              </w:rPr>
            </w:pPr>
            <w:r>
              <w:rPr>
                <w:rFonts w:cs="Times New Roman"/>
                <w:snapToGrid w:val="0"/>
              </w:rPr>
              <w:t>/</w:t>
            </w:r>
          </w:p>
        </w:tc>
        <w:tc>
          <w:tcPr>
            <w:tcW w:w="1701" w:type="dxa"/>
            <w:vAlign w:val="center"/>
          </w:tcPr>
          <w:p w14:paraId="401DF01F">
            <w:pPr>
              <w:pStyle w:val="12"/>
              <w:rPr>
                <w:rFonts w:cs="Times New Roman"/>
                <w:snapToGrid w:val="0"/>
              </w:rPr>
            </w:pPr>
            <w:r>
              <w:rPr>
                <w:rFonts w:cs="Times New Roman"/>
                <w:snapToGrid w:val="0"/>
              </w:rPr>
              <w:t>/</w:t>
            </w:r>
          </w:p>
        </w:tc>
        <w:tc>
          <w:tcPr>
            <w:tcW w:w="1559" w:type="dxa"/>
            <w:vAlign w:val="center"/>
          </w:tcPr>
          <w:p w14:paraId="5791A8E1">
            <w:pPr>
              <w:pStyle w:val="12"/>
              <w:rPr>
                <w:rFonts w:hint="eastAsia" w:eastAsia="宋体" w:cs="Times New Roman"/>
                <w:szCs w:val="21"/>
                <w:lang w:val="en-US" w:eastAsia="zh-CN"/>
              </w:rPr>
            </w:pPr>
            <w:r>
              <w:rPr>
                <w:rFonts w:hint="eastAsia" w:cs="Times New Roman"/>
                <w:szCs w:val="21"/>
                <w:lang w:val="en-US" w:eastAsia="zh-CN"/>
              </w:rPr>
              <w:t>1</w:t>
            </w:r>
          </w:p>
        </w:tc>
        <w:tc>
          <w:tcPr>
            <w:tcW w:w="1761" w:type="dxa"/>
            <w:vAlign w:val="center"/>
          </w:tcPr>
          <w:p w14:paraId="0A08B4DB">
            <w:pPr>
              <w:pStyle w:val="12"/>
              <w:rPr>
                <w:rFonts w:cs="Times New Roman"/>
                <w:snapToGrid w:val="0"/>
              </w:rPr>
            </w:pPr>
            <w:r>
              <w:rPr>
                <w:rFonts w:cs="Times New Roman"/>
                <w:snapToGrid w:val="0"/>
              </w:rPr>
              <w:t>/</w:t>
            </w:r>
          </w:p>
        </w:tc>
        <w:tc>
          <w:tcPr>
            <w:tcW w:w="1562" w:type="dxa"/>
            <w:vAlign w:val="center"/>
          </w:tcPr>
          <w:p w14:paraId="0B0EE55E">
            <w:pPr>
              <w:pStyle w:val="12"/>
              <w:ind w:firstLine="0" w:firstLineChars="0"/>
              <w:rPr>
                <w:rFonts w:cs="Times New Roman"/>
                <w:szCs w:val="21"/>
              </w:rPr>
            </w:pPr>
            <w:r>
              <w:rPr>
                <w:rFonts w:hint="eastAsia" w:cs="Times New Roman"/>
                <w:szCs w:val="21"/>
                <w:lang w:val="en-US" w:eastAsia="zh-CN"/>
              </w:rPr>
              <w:t>1</w:t>
            </w:r>
          </w:p>
        </w:tc>
        <w:tc>
          <w:tcPr>
            <w:tcW w:w="1223" w:type="dxa"/>
            <w:vAlign w:val="center"/>
          </w:tcPr>
          <w:p w14:paraId="5581F647">
            <w:pPr>
              <w:pStyle w:val="12"/>
              <w:ind w:firstLine="0" w:firstLineChars="0"/>
              <w:rPr>
                <w:rFonts w:eastAsia="黑体" w:cs="Times New Roman"/>
                <w:snapToGrid w:val="0"/>
                <w:kern w:val="21"/>
                <w:szCs w:val="21"/>
              </w:rPr>
            </w:pPr>
            <w:r>
              <w:rPr>
                <w:rFonts w:cs="Times New Roman"/>
                <w:snapToGrid w:val="0"/>
              </w:rPr>
              <w:t>/</w:t>
            </w:r>
          </w:p>
        </w:tc>
      </w:tr>
      <w:tr w14:paraId="64309FF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588" w:type="dxa"/>
            <w:vMerge w:val="continue"/>
            <w:vAlign w:val="center"/>
          </w:tcPr>
          <w:p w14:paraId="105676D8">
            <w:pPr>
              <w:pStyle w:val="12"/>
              <w:rPr>
                <w:rFonts w:cs="Times New Roman"/>
                <w:snapToGrid w:val="0"/>
                <w:kern w:val="21"/>
                <w:sz w:val="24"/>
              </w:rPr>
            </w:pPr>
          </w:p>
        </w:tc>
        <w:tc>
          <w:tcPr>
            <w:tcW w:w="1520" w:type="dxa"/>
            <w:shd w:val="clear" w:color="auto" w:fill="auto"/>
            <w:vAlign w:val="center"/>
          </w:tcPr>
          <w:p w14:paraId="6019F50A">
            <w:pPr>
              <w:pStyle w:val="12"/>
              <w:ind w:firstLine="0" w:firstLineChars="0"/>
              <w:rPr>
                <w:rFonts w:hint="default" w:ascii="Times New Roman" w:hAnsi="Times New Roman" w:eastAsia="宋体" w:cs="Times New Roman"/>
                <w:kern w:val="0"/>
                <w:sz w:val="21"/>
                <w:szCs w:val="24"/>
                <w:lang w:val="zh-CN" w:eastAsia="zh-CN" w:bidi="ar-SA"/>
              </w:rPr>
            </w:pPr>
            <w:r>
              <w:rPr>
                <w:rFonts w:hint="eastAsia" w:cs="Times New Roman"/>
                <w:lang w:val="en-US" w:eastAsia="zh-CN"/>
              </w:rPr>
              <w:t>旋风除尘器集尘+布袋除尘器1#集尘</w:t>
            </w:r>
          </w:p>
        </w:tc>
        <w:tc>
          <w:tcPr>
            <w:tcW w:w="1598" w:type="dxa"/>
            <w:vAlign w:val="center"/>
          </w:tcPr>
          <w:p w14:paraId="5EDA5FCA">
            <w:pPr>
              <w:pStyle w:val="12"/>
              <w:rPr>
                <w:rFonts w:cs="Times New Roman"/>
                <w:lang w:val="zh-CN"/>
              </w:rPr>
            </w:pPr>
            <w:r>
              <w:rPr>
                <w:rFonts w:cs="Times New Roman"/>
                <w:snapToGrid w:val="0"/>
              </w:rPr>
              <w:t>/</w:t>
            </w:r>
          </w:p>
        </w:tc>
        <w:tc>
          <w:tcPr>
            <w:tcW w:w="1276" w:type="dxa"/>
            <w:vAlign w:val="center"/>
          </w:tcPr>
          <w:p w14:paraId="7A99BC72">
            <w:pPr>
              <w:pStyle w:val="12"/>
              <w:rPr>
                <w:rFonts w:cs="Times New Roman"/>
                <w:lang w:val="zh-CN"/>
              </w:rPr>
            </w:pPr>
            <w:r>
              <w:rPr>
                <w:rFonts w:cs="Times New Roman"/>
                <w:snapToGrid w:val="0"/>
              </w:rPr>
              <w:t>/</w:t>
            </w:r>
          </w:p>
        </w:tc>
        <w:tc>
          <w:tcPr>
            <w:tcW w:w="1701" w:type="dxa"/>
            <w:vAlign w:val="center"/>
          </w:tcPr>
          <w:p w14:paraId="76DF491D">
            <w:pPr>
              <w:pStyle w:val="12"/>
              <w:rPr>
                <w:rFonts w:cs="Times New Roman"/>
                <w:lang w:val="zh-CN"/>
              </w:rPr>
            </w:pPr>
            <w:r>
              <w:rPr>
                <w:rFonts w:cs="Times New Roman"/>
                <w:snapToGrid w:val="0"/>
              </w:rPr>
              <w:t>/</w:t>
            </w:r>
          </w:p>
        </w:tc>
        <w:tc>
          <w:tcPr>
            <w:tcW w:w="1559" w:type="dxa"/>
            <w:vAlign w:val="center"/>
          </w:tcPr>
          <w:p w14:paraId="6F04C65B">
            <w:pPr>
              <w:pStyle w:val="12"/>
              <w:rPr>
                <w:rFonts w:hint="default" w:eastAsia="宋体" w:cs="Times New Roman"/>
                <w:szCs w:val="21"/>
                <w:lang w:val="en-US" w:eastAsia="zh-CN"/>
              </w:rPr>
            </w:pPr>
            <w:r>
              <w:rPr>
                <w:rFonts w:hint="eastAsia" w:cs="Times New Roman"/>
                <w:szCs w:val="21"/>
                <w:lang w:val="en-US" w:eastAsia="zh-CN"/>
              </w:rPr>
              <w:t>48.4353</w:t>
            </w:r>
          </w:p>
        </w:tc>
        <w:tc>
          <w:tcPr>
            <w:tcW w:w="1761" w:type="dxa"/>
            <w:vAlign w:val="center"/>
          </w:tcPr>
          <w:p w14:paraId="253A95C2">
            <w:pPr>
              <w:pStyle w:val="12"/>
              <w:rPr>
                <w:rFonts w:cs="Times New Roman"/>
                <w:lang w:val="zh-CN"/>
              </w:rPr>
            </w:pPr>
            <w:r>
              <w:rPr>
                <w:rFonts w:cs="Times New Roman"/>
                <w:snapToGrid w:val="0"/>
              </w:rPr>
              <w:t>/</w:t>
            </w:r>
          </w:p>
        </w:tc>
        <w:tc>
          <w:tcPr>
            <w:tcW w:w="1562" w:type="dxa"/>
            <w:vAlign w:val="center"/>
          </w:tcPr>
          <w:p w14:paraId="53900154">
            <w:pPr>
              <w:pStyle w:val="12"/>
              <w:ind w:firstLine="0" w:firstLineChars="0"/>
              <w:rPr>
                <w:rFonts w:cs="Times New Roman"/>
                <w:szCs w:val="21"/>
                <w:lang w:val="zh-CN"/>
              </w:rPr>
            </w:pPr>
            <w:r>
              <w:rPr>
                <w:rFonts w:hint="eastAsia" w:cs="Times New Roman"/>
                <w:szCs w:val="21"/>
                <w:lang w:val="en-US" w:eastAsia="zh-CN"/>
              </w:rPr>
              <w:t>48.4353</w:t>
            </w:r>
          </w:p>
        </w:tc>
        <w:tc>
          <w:tcPr>
            <w:tcW w:w="1223" w:type="dxa"/>
            <w:vAlign w:val="center"/>
          </w:tcPr>
          <w:p w14:paraId="568FC2CA">
            <w:pPr>
              <w:pStyle w:val="12"/>
              <w:ind w:firstLine="0" w:firstLineChars="0"/>
              <w:rPr>
                <w:rFonts w:cs="Times New Roman"/>
                <w:szCs w:val="21"/>
                <w:lang w:val="zh-CN"/>
              </w:rPr>
            </w:pPr>
            <w:r>
              <w:rPr>
                <w:rFonts w:cs="Times New Roman"/>
                <w:snapToGrid w:val="0"/>
              </w:rPr>
              <w:t>/</w:t>
            </w:r>
          </w:p>
        </w:tc>
      </w:tr>
      <w:tr w14:paraId="16E888C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588" w:type="dxa"/>
            <w:vMerge w:val="continue"/>
            <w:vAlign w:val="center"/>
          </w:tcPr>
          <w:p w14:paraId="3875A5BE">
            <w:pPr>
              <w:pStyle w:val="12"/>
              <w:rPr>
                <w:rFonts w:cs="Times New Roman"/>
                <w:snapToGrid w:val="0"/>
                <w:kern w:val="21"/>
                <w:sz w:val="24"/>
              </w:rPr>
            </w:pPr>
          </w:p>
        </w:tc>
        <w:tc>
          <w:tcPr>
            <w:tcW w:w="1520" w:type="dxa"/>
            <w:shd w:val="clear" w:color="auto" w:fill="auto"/>
            <w:vAlign w:val="center"/>
          </w:tcPr>
          <w:p w14:paraId="146429CA">
            <w:pPr>
              <w:pStyle w:val="12"/>
              <w:ind w:firstLine="0" w:firstLineChars="0"/>
              <w:rPr>
                <w:rFonts w:hint="default" w:ascii="Times New Roman" w:hAnsi="Times New Roman" w:eastAsia="宋体" w:cs="Times New Roman"/>
                <w:kern w:val="0"/>
                <w:sz w:val="21"/>
                <w:szCs w:val="24"/>
                <w:lang w:val="en-US" w:eastAsia="zh-CN" w:bidi="ar-SA"/>
              </w:rPr>
            </w:pPr>
            <w:r>
              <w:rPr>
                <w:rFonts w:hint="eastAsia" w:cs="Times New Roman"/>
                <w:lang w:val="en-US" w:eastAsia="zh-CN"/>
              </w:rPr>
              <w:t>初期雨水池污泥</w:t>
            </w:r>
          </w:p>
        </w:tc>
        <w:tc>
          <w:tcPr>
            <w:tcW w:w="1598" w:type="dxa"/>
            <w:vAlign w:val="center"/>
          </w:tcPr>
          <w:p w14:paraId="61A3F3F6">
            <w:pPr>
              <w:pStyle w:val="12"/>
              <w:rPr>
                <w:rFonts w:cs="Times New Roman"/>
                <w:lang w:val="zh-CN"/>
              </w:rPr>
            </w:pPr>
            <w:r>
              <w:rPr>
                <w:rFonts w:cs="Times New Roman"/>
                <w:snapToGrid w:val="0"/>
              </w:rPr>
              <w:t>/</w:t>
            </w:r>
          </w:p>
        </w:tc>
        <w:tc>
          <w:tcPr>
            <w:tcW w:w="1276" w:type="dxa"/>
            <w:vAlign w:val="center"/>
          </w:tcPr>
          <w:p w14:paraId="69D30C71">
            <w:pPr>
              <w:pStyle w:val="12"/>
              <w:rPr>
                <w:rFonts w:cs="Times New Roman"/>
              </w:rPr>
            </w:pPr>
            <w:r>
              <w:rPr>
                <w:rFonts w:cs="Times New Roman"/>
                <w:snapToGrid w:val="0"/>
              </w:rPr>
              <w:t>/</w:t>
            </w:r>
          </w:p>
        </w:tc>
        <w:tc>
          <w:tcPr>
            <w:tcW w:w="1701" w:type="dxa"/>
            <w:vAlign w:val="center"/>
          </w:tcPr>
          <w:p w14:paraId="6091305A">
            <w:pPr>
              <w:pStyle w:val="12"/>
              <w:rPr>
                <w:rFonts w:cs="Times New Roman"/>
              </w:rPr>
            </w:pPr>
            <w:r>
              <w:rPr>
                <w:rFonts w:cs="Times New Roman"/>
                <w:snapToGrid w:val="0"/>
              </w:rPr>
              <w:t>/</w:t>
            </w:r>
          </w:p>
        </w:tc>
        <w:tc>
          <w:tcPr>
            <w:tcW w:w="1559" w:type="dxa"/>
            <w:vAlign w:val="center"/>
          </w:tcPr>
          <w:p w14:paraId="3CF8DCB7">
            <w:pPr>
              <w:pStyle w:val="12"/>
              <w:rPr>
                <w:rFonts w:hint="default" w:eastAsia="宋体" w:cs="Times New Roman"/>
                <w:szCs w:val="21"/>
                <w:lang w:val="en-US" w:eastAsia="zh-CN"/>
              </w:rPr>
            </w:pPr>
            <w:r>
              <w:rPr>
                <w:rFonts w:hint="eastAsia" w:cs="Times New Roman"/>
                <w:szCs w:val="21"/>
                <w:lang w:val="en-US" w:eastAsia="zh-CN"/>
              </w:rPr>
              <w:t>0.01</w:t>
            </w:r>
          </w:p>
        </w:tc>
        <w:tc>
          <w:tcPr>
            <w:tcW w:w="1761" w:type="dxa"/>
            <w:vAlign w:val="center"/>
          </w:tcPr>
          <w:p w14:paraId="32382129">
            <w:pPr>
              <w:pStyle w:val="12"/>
              <w:rPr>
                <w:rFonts w:cs="Times New Roman"/>
              </w:rPr>
            </w:pPr>
            <w:r>
              <w:rPr>
                <w:rFonts w:cs="Times New Roman"/>
                <w:snapToGrid w:val="0"/>
              </w:rPr>
              <w:t>/</w:t>
            </w:r>
          </w:p>
        </w:tc>
        <w:tc>
          <w:tcPr>
            <w:tcW w:w="1562" w:type="dxa"/>
            <w:vAlign w:val="center"/>
          </w:tcPr>
          <w:p w14:paraId="2E5D0314">
            <w:pPr>
              <w:pStyle w:val="12"/>
              <w:ind w:firstLine="0" w:firstLineChars="0"/>
              <w:rPr>
                <w:rFonts w:hint="default" w:cs="Times New Roman"/>
                <w:szCs w:val="21"/>
                <w:lang w:val="en-US"/>
              </w:rPr>
            </w:pPr>
            <w:r>
              <w:rPr>
                <w:rFonts w:hint="eastAsia" w:cs="Times New Roman"/>
                <w:szCs w:val="21"/>
                <w:lang w:val="en-US" w:eastAsia="zh-CN"/>
              </w:rPr>
              <w:t>0.01</w:t>
            </w:r>
          </w:p>
        </w:tc>
        <w:tc>
          <w:tcPr>
            <w:tcW w:w="1223" w:type="dxa"/>
            <w:vAlign w:val="center"/>
          </w:tcPr>
          <w:p w14:paraId="414BE04C">
            <w:pPr>
              <w:pStyle w:val="12"/>
              <w:ind w:firstLine="0" w:firstLineChars="0"/>
              <w:rPr>
                <w:rFonts w:cs="Times New Roman"/>
                <w:szCs w:val="21"/>
              </w:rPr>
            </w:pPr>
            <w:r>
              <w:rPr>
                <w:rFonts w:cs="Times New Roman"/>
                <w:snapToGrid w:val="0"/>
              </w:rPr>
              <w:t>/</w:t>
            </w:r>
          </w:p>
        </w:tc>
      </w:tr>
      <w:tr w14:paraId="6E49689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588" w:type="dxa"/>
            <w:vMerge w:val="continue"/>
            <w:vAlign w:val="center"/>
          </w:tcPr>
          <w:p w14:paraId="11FB845F">
            <w:pPr>
              <w:pStyle w:val="12"/>
              <w:rPr>
                <w:rFonts w:cs="Times New Roman"/>
                <w:snapToGrid w:val="0"/>
                <w:kern w:val="21"/>
                <w:sz w:val="24"/>
              </w:rPr>
            </w:pPr>
          </w:p>
        </w:tc>
        <w:tc>
          <w:tcPr>
            <w:tcW w:w="1520" w:type="dxa"/>
            <w:shd w:val="clear" w:color="auto" w:fill="auto"/>
            <w:vAlign w:val="center"/>
          </w:tcPr>
          <w:p w14:paraId="7911DF90">
            <w:pPr>
              <w:pStyle w:val="12"/>
              <w:ind w:firstLine="0" w:firstLineChars="0"/>
              <w:rPr>
                <w:rFonts w:ascii="Times New Roman" w:hAnsi="Times New Roman" w:eastAsia="宋体" w:cs="Times New Roman"/>
                <w:kern w:val="0"/>
                <w:sz w:val="21"/>
                <w:szCs w:val="24"/>
                <w:lang w:val="en-US" w:eastAsia="zh-CN" w:bidi="ar-SA"/>
              </w:rPr>
            </w:pPr>
            <w:r>
              <w:rPr>
                <w:rFonts w:hint="eastAsia" w:cs="Times New Roman"/>
                <w:lang w:val="en-US" w:eastAsia="zh-CN"/>
              </w:rPr>
              <w:t>废布袋</w:t>
            </w:r>
          </w:p>
        </w:tc>
        <w:tc>
          <w:tcPr>
            <w:tcW w:w="1598" w:type="dxa"/>
            <w:vAlign w:val="center"/>
          </w:tcPr>
          <w:p w14:paraId="3DBA9A36">
            <w:pPr>
              <w:pStyle w:val="12"/>
              <w:rPr>
                <w:rFonts w:cs="Times New Roman"/>
                <w:snapToGrid w:val="0"/>
              </w:rPr>
            </w:pPr>
            <w:r>
              <w:rPr>
                <w:rFonts w:cs="Times New Roman"/>
                <w:snapToGrid w:val="0"/>
              </w:rPr>
              <w:t>/</w:t>
            </w:r>
          </w:p>
        </w:tc>
        <w:tc>
          <w:tcPr>
            <w:tcW w:w="1276" w:type="dxa"/>
            <w:vAlign w:val="center"/>
          </w:tcPr>
          <w:p w14:paraId="3ABAF00B">
            <w:pPr>
              <w:pStyle w:val="12"/>
              <w:rPr>
                <w:rFonts w:cs="Times New Roman"/>
                <w:snapToGrid w:val="0"/>
              </w:rPr>
            </w:pPr>
            <w:r>
              <w:rPr>
                <w:rFonts w:cs="Times New Roman"/>
                <w:snapToGrid w:val="0"/>
              </w:rPr>
              <w:t>/</w:t>
            </w:r>
          </w:p>
        </w:tc>
        <w:tc>
          <w:tcPr>
            <w:tcW w:w="1701" w:type="dxa"/>
            <w:vAlign w:val="center"/>
          </w:tcPr>
          <w:p w14:paraId="3097BB73">
            <w:pPr>
              <w:pStyle w:val="12"/>
              <w:rPr>
                <w:rFonts w:cs="Times New Roman"/>
                <w:snapToGrid w:val="0"/>
              </w:rPr>
            </w:pPr>
            <w:r>
              <w:rPr>
                <w:rFonts w:cs="Times New Roman"/>
                <w:snapToGrid w:val="0"/>
              </w:rPr>
              <w:t>/</w:t>
            </w:r>
          </w:p>
        </w:tc>
        <w:tc>
          <w:tcPr>
            <w:tcW w:w="1559" w:type="dxa"/>
            <w:vAlign w:val="center"/>
          </w:tcPr>
          <w:p w14:paraId="47FF025E">
            <w:pPr>
              <w:pStyle w:val="12"/>
              <w:rPr>
                <w:rFonts w:hint="default" w:eastAsia="宋体" w:cs="Times New Roman"/>
                <w:szCs w:val="21"/>
                <w:lang w:val="en-US" w:eastAsia="zh-CN"/>
              </w:rPr>
            </w:pPr>
            <w:r>
              <w:rPr>
                <w:rFonts w:hint="eastAsia" w:cs="Times New Roman"/>
                <w:szCs w:val="21"/>
                <w:lang w:val="en-US" w:eastAsia="zh-CN"/>
              </w:rPr>
              <w:t>0.3</w:t>
            </w:r>
          </w:p>
        </w:tc>
        <w:tc>
          <w:tcPr>
            <w:tcW w:w="1761" w:type="dxa"/>
            <w:vAlign w:val="center"/>
          </w:tcPr>
          <w:p w14:paraId="1D0AB6F4">
            <w:pPr>
              <w:pStyle w:val="12"/>
              <w:rPr>
                <w:rFonts w:cs="Times New Roman"/>
                <w:snapToGrid w:val="0"/>
              </w:rPr>
            </w:pPr>
            <w:r>
              <w:rPr>
                <w:rFonts w:cs="Times New Roman"/>
                <w:snapToGrid w:val="0"/>
              </w:rPr>
              <w:t>/</w:t>
            </w:r>
          </w:p>
        </w:tc>
        <w:tc>
          <w:tcPr>
            <w:tcW w:w="1562" w:type="dxa"/>
            <w:vAlign w:val="center"/>
          </w:tcPr>
          <w:p w14:paraId="3F196A36">
            <w:pPr>
              <w:pStyle w:val="12"/>
              <w:ind w:firstLine="0" w:firstLineChars="0"/>
              <w:rPr>
                <w:rFonts w:cs="Times New Roman"/>
                <w:szCs w:val="21"/>
              </w:rPr>
            </w:pPr>
            <w:r>
              <w:rPr>
                <w:rFonts w:hint="eastAsia" w:cs="Times New Roman"/>
                <w:szCs w:val="21"/>
                <w:lang w:val="en-US" w:eastAsia="zh-CN"/>
              </w:rPr>
              <w:t>0.3</w:t>
            </w:r>
          </w:p>
        </w:tc>
        <w:tc>
          <w:tcPr>
            <w:tcW w:w="1223" w:type="dxa"/>
            <w:vAlign w:val="center"/>
          </w:tcPr>
          <w:p w14:paraId="4D0C5C9A">
            <w:pPr>
              <w:pStyle w:val="12"/>
              <w:ind w:firstLine="0" w:firstLineChars="0"/>
              <w:rPr>
                <w:rFonts w:cs="Times New Roman"/>
                <w:szCs w:val="21"/>
              </w:rPr>
            </w:pPr>
            <w:r>
              <w:rPr>
                <w:rFonts w:cs="Times New Roman"/>
                <w:snapToGrid w:val="0"/>
              </w:rPr>
              <w:t>/</w:t>
            </w:r>
          </w:p>
        </w:tc>
      </w:tr>
      <w:tr w14:paraId="0901C07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588" w:type="dxa"/>
            <w:vMerge w:val="continue"/>
            <w:vAlign w:val="center"/>
          </w:tcPr>
          <w:p w14:paraId="113F6C17">
            <w:pPr>
              <w:pStyle w:val="12"/>
              <w:rPr>
                <w:rFonts w:cs="Times New Roman"/>
                <w:snapToGrid w:val="0"/>
                <w:kern w:val="21"/>
                <w:sz w:val="24"/>
              </w:rPr>
            </w:pPr>
          </w:p>
        </w:tc>
        <w:tc>
          <w:tcPr>
            <w:tcW w:w="1520" w:type="dxa"/>
            <w:shd w:val="clear" w:color="auto" w:fill="auto"/>
            <w:vAlign w:val="center"/>
          </w:tcPr>
          <w:p w14:paraId="4922570B">
            <w:pPr>
              <w:pStyle w:val="12"/>
              <w:ind w:firstLine="0" w:firstLineChars="0"/>
              <w:rPr>
                <w:rFonts w:hint="eastAsia" w:ascii="Times New Roman" w:hAnsi="Times New Roman" w:eastAsia="宋体" w:cs="Times New Roman"/>
                <w:kern w:val="0"/>
                <w:sz w:val="21"/>
                <w:szCs w:val="24"/>
                <w:lang w:val="en-US" w:eastAsia="zh-CN" w:bidi="ar-SA"/>
              </w:rPr>
            </w:pPr>
            <w:r>
              <w:rPr>
                <w:rFonts w:hint="eastAsia" w:cs="Times New Roman"/>
                <w:lang w:val="en-US" w:eastAsia="zh-CN"/>
              </w:rPr>
              <w:t>氟化钙污泥</w:t>
            </w:r>
          </w:p>
        </w:tc>
        <w:tc>
          <w:tcPr>
            <w:tcW w:w="1598" w:type="dxa"/>
            <w:vAlign w:val="center"/>
          </w:tcPr>
          <w:p w14:paraId="45720CAC">
            <w:pPr>
              <w:pStyle w:val="12"/>
              <w:rPr>
                <w:rFonts w:cs="Times New Roman"/>
                <w:snapToGrid w:val="0"/>
              </w:rPr>
            </w:pPr>
            <w:r>
              <w:rPr>
                <w:rFonts w:cs="Times New Roman"/>
                <w:snapToGrid w:val="0"/>
              </w:rPr>
              <w:t>/</w:t>
            </w:r>
          </w:p>
        </w:tc>
        <w:tc>
          <w:tcPr>
            <w:tcW w:w="1276" w:type="dxa"/>
            <w:vAlign w:val="center"/>
          </w:tcPr>
          <w:p w14:paraId="435D0DDB">
            <w:pPr>
              <w:pStyle w:val="12"/>
              <w:rPr>
                <w:rFonts w:cs="Times New Roman"/>
                <w:snapToGrid w:val="0"/>
              </w:rPr>
            </w:pPr>
            <w:r>
              <w:rPr>
                <w:rFonts w:cs="Times New Roman"/>
                <w:snapToGrid w:val="0"/>
              </w:rPr>
              <w:t>/</w:t>
            </w:r>
          </w:p>
        </w:tc>
        <w:tc>
          <w:tcPr>
            <w:tcW w:w="1701" w:type="dxa"/>
            <w:vAlign w:val="center"/>
          </w:tcPr>
          <w:p w14:paraId="63E96F8F">
            <w:pPr>
              <w:pStyle w:val="12"/>
              <w:rPr>
                <w:rFonts w:cs="Times New Roman"/>
                <w:snapToGrid w:val="0"/>
              </w:rPr>
            </w:pPr>
            <w:r>
              <w:rPr>
                <w:rFonts w:cs="Times New Roman"/>
                <w:snapToGrid w:val="0"/>
              </w:rPr>
              <w:t>/</w:t>
            </w:r>
          </w:p>
        </w:tc>
        <w:tc>
          <w:tcPr>
            <w:tcW w:w="1559" w:type="dxa"/>
            <w:vAlign w:val="center"/>
          </w:tcPr>
          <w:p w14:paraId="0D69BB76">
            <w:pPr>
              <w:pStyle w:val="12"/>
              <w:rPr>
                <w:rFonts w:hint="default" w:eastAsia="宋体" w:cs="Times New Roman"/>
                <w:szCs w:val="21"/>
                <w:lang w:val="en-US" w:eastAsia="zh-CN"/>
              </w:rPr>
            </w:pPr>
            <w:r>
              <w:rPr>
                <w:rFonts w:hint="eastAsia" w:cs="Times New Roman"/>
                <w:szCs w:val="21"/>
                <w:lang w:val="en-US" w:eastAsia="zh-CN"/>
              </w:rPr>
              <w:t>1172</w:t>
            </w:r>
          </w:p>
        </w:tc>
        <w:tc>
          <w:tcPr>
            <w:tcW w:w="1761" w:type="dxa"/>
            <w:vAlign w:val="center"/>
          </w:tcPr>
          <w:p w14:paraId="2C4950AC">
            <w:pPr>
              <w:pStyle w:val="12"/>
              <w:rPr>
                <w:rFonts w:cs="Times New Roman"/>
                <w:snapToGrid w:val="0"/>
              </w:rPr>
            </w:pPr>
            <w:r>
              <w:rPr>
                <w:rFonts w:cs="Times New Roman"/>
                <w:snapToGrid w:val="0"/>
              </w:rPr>
              <w:t>/</w:t>
            </w:r>
          </w:p>
        </w:tc>
        <w:tc>
          <w:tcPr>
            <w:tcW w:w="1562" w:type="dxa"/>
            <w:vAlign w:val="center"/>
          </w:tcPr>
          <w:p w14:paraId="13A88FCF">
            <w:pPr>
              <w:pStyle w:val="12"/>
              <w:ind w:firstLine="0" w:firstLineChars="0"/>
              <w:rPr>
                <w:rFonts w:cs="Times New Roman"/>
                <w:szCs w:val="21"/>
              </w:rPr>
            </w:pPr>
            <w:r>
              <w:rPr>
                <w:rFonts w:hint="eastAsia" w:cs="Times New Roman"/>
                <w:szCs w:val="21"/>
                <w:lang w:val="en-US" w:eastAsia="zh-CN"/>
              </w:rPr>
              <w:t>1172</w:t>
            </w:r>
          </w:p>
        </w:tc>
        <w:tc>
          <w:tcPr>
            <w:tcW w:w="1223" w:type="dxa"/>
            <w:vAlign w:val="center"/>
          </w:tcPr>
          <w:p w14:paraId="44A1A9F4">
            <w:pPr>
              <w:pStyle w:val="12"/>
              <w:ind w:firstLine="0" w:firstLineChars="0"/>
              <w:rPr>
                <w:rFonts w:cs="Times New Roman"/>
                <w:szCs w:val="21"/>
              </w:rPr>
            </w:pPr>
            <w:r>
              <w:rPr>
                <w:rFonts w:cs="Times New Roman"/>
                <w:snapToGrid w:val="0"/>
              </w:rPr>
              <w:t>/</w:t>
            </w:r>
          </w:p>
        </w:tc>
      </w:tr>
      <w:tr w14:paraId="014F1B4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588" w:type="dxa"/>
            <w:vMerge w:val="restart"/>
            <w:vAlign w:val="center"/>
          </w:tcPr>
          <w:p w14:paraId="0DA5C8AE">
            <w:pPr>
              <w:pStyle w:val="12"/>
              <w:rPr>
                <w:rFonts w:cs="Times New Roman"/>
                <w:snapToGrid w:val="0"/>
              </w:rPr>
            </w:pPr>
            <w:r>
              <w:rPr>
                <w:rFonts w:cs="Times New Roman"/>
                <w:snapToGrid w:val="0"/>
              </w:rPr>
              <w:t>危险废物</w:t>
            </w:r>
          </w:p>
        </w:tc>
        <w:tc>
          <w:tcPr>
            <w:tcW w:w="1520" w:type="dxa"/>
            <w:shd w:val="clear" w:color="auto" w:fill="auto"/>
            <w:vAlign w:val="center"/>
          </w:tcPr>
          <w:p w14:paraId="6F36CD80">
            <w:pPr>
              <w:pStyle w:val="12"/>
              <w:ind w:firstLine="0" w:firstLineChars="0"/>
              <w:rPr>
                <w:rFonts w:hint="eastAsia" w:ascii="Times New Roman" w:hAnsi="Times New Roman" w:eastAsia="宋体" w:cs="Times New Roman"/>
                <w:kern w:val="0"/>
                <w:sz w:val="21"/>
                <w:szCs w:val="24"/>
                <w:lang w:val="en-US" w:eastAsia="zh-CN" w:bidi="ar-SA"/>
              </w:rPr>
            </w:pPr>
            <w:r>
              <w:rPr>
                <w:rFonts w:hint="eastAsia" w:cs="Times New Roman"/>
                <w:lang w:val="en-US" w:eastAsia="zh-CN"/>
              </w:rPr>
              <w:t>废液压油</w:t>
            </w:r>
          </w:p>
        </w:tc>
        <w:tc>
          <w:tcPr>
            <w:tcW w:w="1598" w:type="dxa"/>
            <w:vAlign w:val="center"/>
          </w:tcPr>
          <w:p w14:paraId="24768756">
            <w:pPr>
              <w:pStyle w:val="12"/>
              <w:rPr>
                <w:rFonts w:cs="Times New Roman"/>
                <w:snapToGrid w:val="0"/>
              </w:rPr>
            </w:pPr>
            <w:r>
              <w:rPr>
                <w:rFonts w:cs="Times New Roman"/>
                <w:snapToGrid w:val="0"/>
              </w:rPr>
              <w:t>/</w:t>
            </w:r>
          </w:p>
        </w:tc>
        <w:tc>
          <w:tcPr>
            <w:tcW w:w="1276" w:type="dxa"/>
            <w:vAlign w:val="center"/>
          </w:tcPr>
          <w:p w14:paraId="7232AE01">
            <w:pPr>
              <w:pStyle w:val="12"/>
              <w:rPr>
                <w:rFonts w:cs="Times New Roman"/>
                <w:snapToGrid w:val="0"/>
              </w:rPr>
            </w:pPr>
            <w:r>
              <w:rPr>
                <w:rFonts w:cs="Times New Roman"/>
                <w:snapToGrid w:val="0"/>
              </w:rPr>
              <w:t>/</w:t>
            </w:r>
          </w:p>
        </w:tc>
        <w:tc>
          <w:tcPr>
            <w:tcW w:w="1701" w:type="dxa"/>
            <w:vAlign w:val="center"/>
          </w:tcPr>
          <w:p w14:paraId="1D4A4C4F">
            <w:pPr>
              <w:pStyle w:val="12"/>
              <w:rPr>
                <w:rFonts w:cs="Times New Roman"/>
                <w:snapToGrid w:val="0"/>
              </w:rPr>
            </w:pPr>
            <w:r>
              <w:rPr>
                <w:rFonts w:cs="Times New Roman"/>
                <w:snapToGrid w:val="0"/>
              </w:rPr>
              <w:t>/</w:t>
            </w:r>
          </w:p>
        </w:tc>
        <w:tc>
          <w:tcPr>
            <w:tcW w:w="1559" w:type="dxa"/>
            <w:vAlign w:val="center"/>
          </w:tcPr>
          <w:p w14:paraId="465E3490">
            <w:pPr>
              <w:pStyle w:val="12"/>
              <w:rPr>
                <w:rFonts w:hint="default" w:eastAsia="宋体" w:cs="Times New Roman"/>
                <w:lang w:val="en-US" w:eastAsia="zh-CN"/>
              </w:rPr>
            </w:pPr>
            <w:r>
              <w:rPr>
                <w:rFonts w:hint="eastAsia" w:cs="Times New Roman"/>
                <w:lang w:val="en-US" w:eastAsia="zh-CN"/>
              </w:rPr>
              <w:t>0.34</w:t>
            </w:r>
          </w:p>
        </w:tc>
        <w:tc>
          <w:tcPr>
            <w:tcW w:w="1761" w:type="dxa"/>
            <w:vAlign w:val="center"/>
          </w:tcPr>
          <w:p w14:paraId="27134531">
            <w:pPr>
              <w:pStyle w:val="12"/>
              <w:rPr>
                <w:rFonts w:cs="Times New Roman"/>
                <w:snapToGrid w:val="0"/>
              </w:rPr>
            </w:pPr>
            <w:r>
              <w:rPr>
                <w:rFonts w:cs="Times New Roman"/>
                <w:snapToGrid w:val="0"/>
              </w:rPr>
              <w:t>/</w:t>
            </w:r>
          </w:p>
        </w:tc>
        <w:tc>
          <w:tcPr>
            <w:tcW w:w="1562" w:type="dxa"/>
            <w:vAlign w:val="center"/>
          </w:tcPr>
          <w:p w14:paraId="29522A37">
            <w:pPr>
              <w:pStyle w:val="12"/>
              <w:ind w:firstLine="0" w:firstLineChars="0"/>
              <w:rPr>
                <w:rFonts w:cs="Times New Roman"/>
              </w:rPr>
            </w:pPr>
            <w:r>
              <w:rPr>
                <w:rFonts w:hint="eastAsia" w:cs="Times New Roman"/>
                <w:lang w:val="en-US" w:eastAsia="zh-CN"/>
              </w:rPr>
              <w:t>0.34</w:t>
            </w:r>
          </w:p>
        </w:tc>
        <w:tc>
          <w:tcPr>
            <w:tcW w:w="1223" w:type="dxa"/>
            <w:vAlign w:val="center"/>
          </w:tcPr>
          <w:p w14:paraId="502A4969">
            <w:pPr>
              <w:pStyle w:val="12"/>
              <w:ind w:firstLine="0" w:firstLineChars="0"/>
              <w:rPr>
                <w:rFonts w:cs="Times New Roman"/>
              </w:rPr>
            </w:pPr>
            <w:r>
              <w:rPr>
                <w:rFonts w:cs="Times New Roman"/>
                <w:snapToGrid w:val="0"/>
              </w:rPr>
              <w:t>/</w:t>
            </w:r>
          </w:p>
        </w:tc>
      </w:tr>
      <w:tr w14:paraId="1F7E4D7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588" w:type="dxa"/>
            <w:vMerge w:val="continue"/>
            <w:vAlign w:val="center"/>
          </w:tcPr>
          <w:p w14:paraId="52D686B3">
            <w:pPr>
              <w:pStyle w:val="12"/>
              <w:rPr>
                <w:rFonts w:cs="Times New Roman"/>
                <w:snapToGrid w:val="0"/>
                <w:kern w:val="21"/>
                <w:sz w:val="24"/>
              </w:rPr>
            </w:pPr>
          </w:p>
        </w:tc>
        <w:tc>
          <w:tcPr>
            <w:tcW w:w="1520" w:type="dxa"/>
            <w:shd w:val="clear" w:color="auto" w:fill="auto"/>
            <w:vAlign w:val="center"/>
          </w:tcPr>
          <w:p w14:paraId="0AFA704D">
            <w:pPr>
              <w:pStyle w:val="12"/>
              <w:ind w:firstLine="0" w:firstLineChars="0"/>
              <w:rPr>
                <w:rFonts w:hint="eastAsia" w:ascii="Times New Roman" w:hAnsi="Times New Roman" w:eastAsia="宋体" w:cs="Times New Roman"/>
                <w:kern w:val="0"/>
                <w:sz w:val="21"/>
                <w:szCs w:val="24"/>
                <w:lang w:val="en-US" w:eastAsia="zh-CN" w:bidi="ar-SA"/>
              </w:rPr>
            </w:pPr>
            <w:r>
              <w:rPr>
                <w:rFonts w:hint="eastAsia" w:cs="Times New Roman"/>
                <w:lang w:val="en-US" w:eastAsia="zh-CN"/>
              </w:rPr>
              <w:t>废机油</w:t>
            </w:r>
          </w:p>
        </w:tc>
        <w:tc>
          <w:tcPr>
            <w:tcW w:w="1598" w:type="dxa"/>
            <w:vAlign w:val="center"/>
          </w:tcPr>
          <w:p w14:paraId="44B2EECC">
            <w:pPr>
              <w:pStyle w:val="12"/>
              <w:rPr>
                <w:rFonts w:cs="Times New Roman"/>
                <w:snapToGrid w:val="0"/>
              </w:rPr>
            </w:pPr>
            <w:r>
              <w:rPr>
                <w:rFonts w:cs="Times New Roman"/>
                <w:snapToGrid w:val="0"/>
              </w:rPr>
              <w:t>/</w:t>
            </w:r>
          </w:p>
        </w:tc>
        <w:tc>
          <w:tcPr>
            <w:tcW w:w="1276" w:type="dxa"/>
            <w:vAlign w:val="center"/>
          </w:tcPr>
          <w:p w14:paraId="1F7FE420">
            <w:pPr>
              <w:pStyle w:val="12"/>
              <w:rPr>
                <w:rFonts w:cs="Times New Roman"/>
                <w:snapToGrid w:val="0"/>
              </w:rPr>
            </w:pPr>
            <w:r>
              <w:rPr>
                <w:rFonts w:cs="Times New Roman"/>
                <w:snapToGrid w:val="0"/>
              </w:rPr>
              <w:t>/</w:t>
            </w:r>
          </w:p>
        </w:tc>
        <w:tc>
          <w:tcPr>
            <w:tcW w:w="1701" w:type="dxa"/>
            <w:vAlign w:val="center"/>
          </w:tcPr>
          <w:p w14:paraId="085F5534">
            <w:pPr>
              <w:pStyle w:val="12"/>
              <w:rPr>
                <w:rFonts w:cs="Times New Roman"/>
                <w:snapToGrid w:val="0"/>
              </w:rPr>
            </w:pPr>
            <w:r>
              <w:rPr>
                <w:rFonts w:cs="Times New Roman"/>
                <w:snapToGrid w:val="0"/>
              </w:rPr>
              <w:t>/</w:t>
            </w:r>
          </w:p>
        </w:tc>
        <w:tc>
          <w:tcPr>
            <w:tcW w:w="1559" w:type="dxa"/>
            <w:vAlign w:val="center"/>
          </w:tcPr>
          <w:p w14:paraId="4C545A7F">
            <w:pPr>
              <w:pStyle w:val="12"/>
              <w:rPr>
                <w:rFonts w:hint="default" w:eastAsia="宋体" w:cs="Times New Roman"/>
                <w:lang w:val="en-US" w:eastAsia="zh-CN"/>
              </w:rPr>
            </w:pPr>
            <w:r>
              <w:rPr>
                <w:rFonts w:hint="eastAsia" w:cs="Times New Roman"/>
                <w:lang w:val="en-US" w:eastAsia="zh-CN"/>
              </w:rPr>
              <w:t>0.4</w:t>
            </w:r>
          </w:p>
        </w:tc>
        <w:tc>
          <w:tcPr>
            <w:tcW w:w="1761" w:type="dxa"/>
            <w:vAlign w:val="center"/>
          </w:tcPr>
          <w:p w14:paraId="5B20933A">
            <w:pPr>
              <w:pStyle w:val="12"/>
              <w:rPr>
                <w:rFonts w:cs="Times New Roman"/>
                <w:snapToGrid w:val="0"/>
              </w:rPr>
            </w:pPr>
            <w:r>
              <w:rPr>
                <w:rFonts w:cs="Times New Roman"/>
                <w:snapToGrid w:val="0"/>
              </w:rPr>
              <w:t>/</w:t>
            </w:r>
          </w:p>
        </w:tc>
        <w:tc>
          <w:tcPr>
            <w:tcW w:w="1562" w:type="dxa"/>
            <w:vAlign w:val="center"/>
          </w:tcPr>
          <w:p w14:paraId="0BBCF0CA">
            <w:pPr>
              <w:pStyle w:val="12"/>
              <w:ind w:firstLine="0" w:firstLineChars="0"/>
              <w:rPr>
                <w:rFonts w:cs="Times New Roman"/>
              </w:rPr>
            </w:pPr>
            <w:r>
              <w:rPr>
                <w:rFonts w:hint="eastAsia" w:cs="Times New Roman"/>
                <w:lang w:val="en-US" w:eastAsia="zh-CN"/>
              </w:rPr>
              <w:t>0.4</w:t>
            </w:r>
          </w:p>
        </w:tc>
        <w:tc>
          <w:tcPr>
            <w:tcW w:w="1223" w:type="dxa"/>
            <w:vAlign w:val="center"/>
          </w:tcPr>
          <w:p w14:paraId="6A6E2B41">
            <w:pPr>
              <w:pStyle w:val="12"/>
              <w:ind w:firstLine="0" w:firstLineChars="0"/>
              <w:rPr>
                <w:rFonts w:cs="Times New Roman"/>
              </w:rPr>
            </w:pPr>
            <w:r>
              <w:rPr>
                <w:rFonts w:cs="Times New Roman"/>
                <w:snapToGrid w:val="0"/>
              </w:rPr>
              <w:t>/</w:t>
            </w:r>
          </w:p>
        </w:tc>
      </w:tr>
      <w:tr w14:paraId="5268E6C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588" w:type="dxa"/>
            <w:vMerge w:val="continue"/>
            <w:vAlign w:val="center"/>
          </w:tcPr>
          <w:p w14:paraId="71D3BA24">
            <w:pPr>
              <w:pStyle w:val="12"/>
              <w:rPr>
                <w:rFonts w:cs="Times New Roman"/>
                <w:snapToGrid w:val="0"/>
              </w:rPr>
            </w:pPr>
          </w:p>
        </w:tc>
        <w:tc>
          <w:tcPr>
            <w:tcW w:w="1520" w:type="dxa"/>
            <w:shd w:val="clear" w:color="auto" w:fill="auto"/>
            <w:vAlign w:val="center"/>
          </w:tcPr>
          <w:p w14:paraId="6298E958">
            <w:pPr>
              <w:pStyle w:val="12"/>
              <w:ind w:firstLine="0" w:firstLineChars="0"/>
              <w:rPr>
                <w:rFonts w:hint="default" w:ascii="Times New Roman" w:hAnsi="Times New Roman" w:eastAsia="宋体" w:cs="Times New Roman"/>
                <w:kern w:val="21"/>
                <w:sz w:val="21"/>
                <w:szCs w:val="24"/>
                <w:lang w:val="zh-CN" w:eastAsia="zh-CN" w:bidi="ar-SA"/>
              </w:rPr>
            </w:pPr>
            <w:r>
              <w:rPr>
                <w:rFonts w:hint="eastAsia" w:cs="Times New Roman"/>
                <w:kern w:val="21"/>
                <w:lang w:val="en-US" w:eastAsia="zh-CN"/>
              </w:rPr>
              <w:t>废机油桶</w:t>
            </w:r>
          </w:p>
        </w:tc>
        <w:tc>
          <w:tcPr>
            <w:tcW w:w="1598" w:type="dxa"/>
            <w:vAlign w:val="center"/>
          </w:tcPr>
          <w:p w14:paraId="1F3CAEF6">
            <w:pPr>
              <w:pStyle w:val="12"/>
              <w:rPr>
                <w:rFonts w:cs="Times New Roman"/>
                <w:lang w:val="zh-CN"/>
              </w:rPr>
            </w:pPr>
            <w:r>
              <w:rPr>
                <w:rFonts w:cs="Times New Roman"/>
                <w:snapToGrid w:val="0"/>
              </w:rPr>
              <w:t>/</w:t>
            </w:r>
          </w:p>
        </w:tc>
        <w:tc>
          <w:tcPr>
            <w:tcW w:w="1276" w:type="dxa"/>
            <w:vAlign w:val="center"/>
          </w:tcPr>
          <w:p w14:paraId="7610CC9C">
            <w:pPr>
              <w:pStyle w:val="12"/>
              <w:rPr>
                <w:rFonts w:cs="Times New Roman"/>
                <w:lang w:val="zh-CN"/>
              </w:rPr>
            </w:pPr>
            <w:r>
              <w:rPr>
                <w:rFonts w:cs="Times New Roman"/>
                <w:snapToGrid w:val="0"/>
              </w:rPr>
              <w:t>/</w:t>
            </w:r>
          </w:p>
        </w:tc>
        <w:tc>
          <w:tcPr>
            <w:tcW w:w="1701" w:type="dxa"/>
            <w:vAlign w:val="center"/>
          </w:tcPr>
          <w:p w14:paraId="7D86742E">
            <w:pPr>
              <w:pStyle w:val="12"/>
              <w:rPr>
                <w:rFonts w:cs="Times New Roman"/>
                <w:lang w:val="zh-CN"/>
              </w:rPr>
            </w:pPr>
            <w:r>
              <w:rPr>
                <w:rFonts w:cs="Times New Roman"/>
                <w:snapToGrid w:val="0"/>
              </w:rPr>
              <w:t>/</w:t>
            </w:r>
          </w:p>
        </w:tc>
        <w:tc>
          <w:tcPr>
            <w:tcW w:w="1559" w:type="dxa"/>
            <w:vAlign w:val="center"/>
          </w:tcPr>
          <w:p w14:paraId="2A23FE20">
            <w:pPr>
              <w:pStyle w:val="12"/>
              <w:rPr>
                <w:rFonts w:hint="default" w:eastAsia="宋体" w:cs="Times New Roman"/>
                <w:szCs w:val="21"/>
                <w:lang w:val="en-US" w:eastAsia="zh-CN"/>
              </w:rPr>
            </w:pPr>
            <w:r>
              <w:rPr>
                <w:rFonts w:hint="eastAsia" w:cs="Times New Roman"/>
                <w:szCs w:val="21"/>
                <w:lang w:val="en-US" w:eastAsia="zh-CN"/>
              </w:rPr>
              <w:t>0.02</w:t>
            </w:r>
          </w:p>
        </w:tc>
        <w:tc>
          <w:tcPr>
            <w:tcW w:w="1761" w:type="dxa"/>
            <w:vAlign w:val="center"/>
          </w:tcPr>
          <w:p w14:paraId="41D8DD61">
            <w:pPr>
              <w:pStyle w:val="12"/>
              <w:rPr>
                <w:rFonts w:cs="Times New Roman"/>
                <w:lang w:val="zh-CN"/>
              </w:rPr>
            </w:pPr>
            <w:r>
              <w:rPr>
                <w:rFonts w:cs="Times New Roman"/>
                <w:snapToGrid w:val="0"/>
              </w:rPr>
              <w:t>/</w:t>
            </w:r>
          </w:p>
        </w:tc>
        <w:tc>
          <w:tcPr>
            <w:tcW w:w="1562" w:type="dxa"/>
            <w:vAlign w:val="center"/>
          </w:tcPr>
          <w:p w14:paraId="37B19E37">
            <w:pPr>
              <w:pStyle w:val="12"/>
              <w:ind w:firstLine="0" w:firstLineChars="0"/>
              <w:rPr>
                <w:rFonts w:cs="Times New Roman"/>
                <w:szCs w:val="21"/>
                <w:lang w:val="zh-CN"/>
              </w:rPr>
            </w:pPr>
            <w:r>
              <w:rPr>
                <w:rFonts w:hint="eastAsia" w:cs="Times New Roman"/>
                <w:szCs w:val="21"/>
                <w:lang w:val="en-US" w:eastAsia="zh-CN"/>
              </w:rPr>
              <w:t>0.02</w:t>
            </w:r>
          </w:p>
        </w:tc>
        <w:tc>
          <w:tcPr>
            <w:tcW w:w="1223" w:type="dxa"/>
            <w:vAlign w:val="center"/>
          </w:tcPr>
          <w:p w14:paraId="340F84DD">
            <w:pPr>
              <w:pStyle w:val="12"/>
              <w:ind w:firstLine="0" w:firstLineChars="0"/>
              <w:rPr>
                <w:rFonts w:cs="Times New Roman"/>
                <w:szCs w:val="21"/>
                <w:lang w:val="zh-CN"/>
              </w:rPr>
            </w:pPr>
            <w:r>
              <w:rPr>
                <w:rFonts w:cs="Times New Roman"/>
                <w:snapToGrid w:val="0"/>
              </w:rPr>
              <w:t>/</w:t>
            </w:r>
          </w:p>
        </w:tc>
      </w:tr>
      <w:tr w14:paraId="2C1C6E0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588" w:type="dxa"/>
            <w:vMerge w:val="continue"/>
            <w:vAlign w:val="center"/>
          </w:tcPr>
          <w:p w14:paraId="43E3DB40">
            <w:pPr>
              <w:pStyle w:val="12"/>
              <w:rPr>
                <w:rFonts w:cs="Times New Roman"/>
                <w:snapToGrid w:val="0"/>
              </w:rPr>
            </w:pPr>
          </w:p>
        </w:tc>
        <w:tc>
          <w:tcPr>
            <w:tcW w:w="1520" w:type="dxa"/>
            <w:shd w:val="clear" w:color="auto" w:fill="auto"/>
            <w:vAlign w:val="center"/>
          </w:tcPr>
          <w:p w14:paraId="2520295E">
            <w:pPr>
              <w:pStyle w:val="12"/>
              <w:ind w:firstLine="0" w:firstLineChars="0"/>
              <w:rPr>
                <w:rFonts w:hint="default" w:cs="Times New Roman"/>
                <w:kern w:val="21"/>
                <w:lang w:val="en-US" w:eastAsia="zh-CN"/>
              </w:rPr>
            </w:pPr>
            <w:r>
              <w:rPr>
                <w:rFonts w:hint="eastAsia" w:cs="Times New Roman"/>
                <w:kern w:val="21"/>
                <w:lang w:val="en-US" w:eastAsia="zh-CN"/>
              </w:rPr>
              <w:t>废活性炭</w:t>
            </w:r>
          </w:p>
        </w:tc>
        <w:tc>
          <w:tcPr>
            <w:tcW w:w="1598" w:type="dxa"/>
            <w:vAlign w:val="center"/>
          </w:tcPr>
          <w:p w14:paraId="78494DC2">
            <w:pPr>
              <w:pStyle w:val="12"/>
              <w:rPr>
                <w:rFonts w:hint="eastAsia" w:eastAsia="宋体" w:cs="Times New Roman"/>
                <w:snapToGrid w:val="0"/>
                <w:lang w:val="en-US" w:eastAsia="zh-CN"/>
              </w:rPr>
            </w:pPr>
            <w:r>
              <w:rPr>
                <w:rFonts w:hint="eastAsia" w:cs="Times New Roman"/>
                <w:snapToGrid w:val="0"/>
                <w:lang w:val="en-US" w:eastAsia="zh-CN"/>
              </w:rPr>
              <w:t>/</w:t>
            </w:r>
          </w:p>
        </w:tc>
        <w:tc>
          <w:tcPr>
            <w:tcW w:w="1276" w:type="dxa"/>
            <w:vAlign w:val="center"/>
          </w:tcPr>
          <w:p w14:paraId="5ED3FBE9">
            <w:pPr>
              <w:pStyle w:val="12"/>
              <w:rPr>
                <w:rFonts w:hint="eastAsia" w:eastAsia="宋体" w:cs="Times New Roman"/>
                <w:snapToGrid w:val="0"/>
                <w:lang w:val="en-US" w:eastAsia="zh-CN"/>
              </w:rPr>
            </w:pPr>
            <w:r>
              <w:rPr>
                <w:rFonts w:hint="eastAsia" w:cs="Times New Roman"/>
                <w:snapToGrid w:val="0"/>
                <w:lang w:val="en-US" w:eastAsia="zh-CN"/>
              </w:rPr>
              <w:t>/</w:t>
            </w:r>
          </w:p>
        </w:tc>
        <w:tc>
          <w:tcPr>
            <w:tcW w:w="1701" w:type="dxa"/>
            <w:vAlign w:val="center"/>
          </w:tcPr>
          <w:p w14:paraId="21D50FA6">
            <w:pPr>
              <w:pStyle w:val="12"/>
              <w:rPr>
                <w:rFonts w:hint="eastAsia" w:eastAsia="宋体" w:cs="Times New Roman"/>
                <w:snapToGrid w:val="0"/>
                <w:lang w:val="en-US" w:eastAsia="zh-CN"/>
              </w:rPr>
            </w:pPr>
            <w:r>
              <w:rPr>
                <w:rFonts w:hint="eastAsia" w:cs="Times New Roman"/>
                <w:snapToGrid w:val="0"/>
                <w:lang w:val="en-US" w:eastAsia="zh-CN"/>
              </w:rPr>
              <w:t>/</w:t>
            </w:r>
          </w:p>
        </w:tc>
        <w:tc>
          <w:tcPr>
            <w:tcW w:w="1559" w:type="dxa"/>
            <w:vAlign w:val="center"/>
          </w:tcPr>
          <w:p w14:paraId="6E6233DC">
            <w:pPr>
              <w:pStyle w:val="12"/>
              <w:rPr>
                <w:rFonts w:hint="default" w:cs="Times New Roman"/>
                <w:szCs w:val="21"/>
                <w:lang w:val="en-US" w:eastAsia="zh-CN"/>
              </w:rPr>
            </w:pPr>
            <w:r>
              <w:rPr>
                <w:rFonts w:hint="eastAsia" w:cs="Times New Roman"/>
                <w:szCs w:val="21"/>
                <w:lang w:val="en-US" w:eastAsia="zh-CN"/>
              </w:rPr>
              <w:t>39.3966</w:t>
            </w:r>
          </w:p>
        </w:tc>
        <w:tc>
          <w:tcPr>
            <w:tcW w:w="1761" w:type="dxa"/>
            <w:vAlign w:val="center"/>
          </w:tcPr>
          <w:p w14:paraId="4D544FBD">
            <w:pPr>
              <w:pStyle w:val="12"/>
              <w:rPr>
                <w:rFonts w:hint="eastAsia" w:eastAsia="宋体" w:cs="Times New Roman"/>
                <w:snapToGrid w:val="0"/>
                <w:lang w:val="en-US" w:eastAsia="zh-CN"/>
              </w:rPr>
            </w:pPr>
            <w:r>
              <w:rPr>
                <w:rFonts w:hint="eastAsia" w:cs="Times New Roman"/>
                <w:snapToGrid w:val="0"/>
                <w:lang w:val="en-US" w:eastAsia="zh-CN"/>
              </w:rPr>
              <w:t>/</w:t>
            </w:r>
          </w:p>
        </w:tc>
        <w:tc>
          <w:tcPr>
            <w:tcW w:w="1562" w:type="dxa"/>
            <w:vAlign w:val="center"/>
          </w:tcPr>
          <w:p w14:paraId="42E43A57">
            <w:pPr>
              <w:pStyle w:val="12"/>
              <w:ind w:firstLine="0" w:firstLineChars="0"/>
              <w:rPr>
                <w:rFonts w:hint="default" w:cs="Times New Roman"/>
                <w:szCs w:val="21"/>
                <w:lang w:val="en-US" w:eastAsia="zh-CN"/>
              </w:rPr>
            </w:pPr>
            <w:r>
              <w:rPr>
                <w:rFonts w:hint="eastAsia" w:cs="Times New Roman"/>
                <w:szCs w:val="21"/>
                <w:lang w:val="en-US" w:eastAsia="zh-CN"/>
              </w:rPr>
              <w:t>39.3966</w:t>
            </w:r>
          </w:p>
        </w:tc>
        <w:tc>
          <w:tcPr>
            <w:tcW w:w="1223" w:type="dxa"/>
            <w:vAlign w:val="center"/>
          </w:tcPr>
          <w:p w14:paraId="6B5A0257">
            <w:pPr>
              <w:pStyle w:val="12"/>
              <w:ind w:firstLine="0" w:firstLineChars="0"/>
              <w:rPr>
                <w:rFonts w:hint="eastAsia" w:eastAsia="宋体" w:cs="Times New Roman"/>
                <w:snapToGrid w:val="0"/>
                <w:lang w:val="en-US" w:eastAsia="zh-CN"/>
              </w:rPr>
            </w:pPr>
            <w:r>
              <w:rPr>
                <w:rFonts w:hint="eastAsia" w:cs="Times New Roman"/>
                <w:snapToGrid w:val="0"/>
                <w:lang w:val="en-US" w:eastAsia="zh-CN"/>
              </w:rPr>
              <w:t>/</w:t>
            </w:r>
          </w:p>
        </w:tc>
      </w:tr>
      <w:tr w14:paraId="79034CF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588" w:type="dxa"/>
            <w:vMerge w:val="continue"/>
            <w:vAlign w:val="center"/>
          </w:tcPr>
          <w:p w14:paraId="14E3E48E">
            <w:pPr>
              <w:pStyle w:val="12"/>
              <w:rPr>
                <w:rFonts w:cs="Times New Roman"/>
                <w:snapToGrid w:val="0"/>
                <w:kern w:val="21"/>
                <w:sz w:val="24"/>
              </w:rPr>
            </w:pPr>
          </w:p>
        </w:tc>
        <w:tc>
          <w:tcPr>
            <w:tcW w:w="1520" w:type="dxa"/>
            <w:shd w:val="clear" w:color="auto" w:fill="auto"/>
            <w:vAlign w:val="center"/>
          </w:tcPr>
          <w:p w14:paraId="36E233C3">
            <w:pPr>
              <w:pStyle w:val="12"/>
              <w:ind w:firstLine="0" w:firstLineChars="0"/>
              <w:rPr>
                <w:rFonts w:hint="default" w:ascii="Times New Roman" w:hAnsi="Times New Roman" w:eastAsia="宋体" w:cs="Times New Roman"/>
                <w:kern w:val="21"/>
                <w:sz w:val="21"/>
                <w:szCs w:val="24"/>
                <w:lang w:val="en-US" w:eastAsia="zh-CN" w:bidi="ar-SA"/>
              </w:rPr>
            </w:pPr>
            <w:r>
              <w:rPr>
                <w:rFonts w:hint="eastAsia" w:cs="Times New Roman"/>
                <w:kern w:val="21"/>
                <w:lang w:val="en-US" w:eastAsia="zh-CN"/>
              </w:rPr>
              <w:t>沾油废物</w:t>
            </w:r>
          </w:p>
        </w:tc>
        <w:tc>
          <w:tcPr>
            <w:tcW w:w="1598" w:type="dxa"/>
            <w:vAlign w:val="center"/>
          </w:tcPr>
          <w:p w14:paraId="1EE899D5">
            <w:pPr>
              <w:pStyle w:val="12"/>
              <w:rPr>
                <w:rFonts w:cs="Times New Roman"/>
                <w:snapToGrid w:val="0"/>
              </w:rPr>
            </w:pPr>
            <w:r>
              <w:rPr>
                <w:rFonts w:cs="Times New Roman"/>
                <w:snapToGrid w:val="0"/>
              </w:rPr>
              <w:t>/</w:t>
            </w:r>
          </w:p>
        </w:tc>
        <w:tc>
          <w:tcPr>
            <w:tcW w:w="1276" w:type="dxa"/>
            <w:vAlign w:val="center"/>
          </w:tcPr>
          <w:p w14:paraId="5C62399F">
            <w:pPr>
              <w:pStyle w:val="12"/>
              <w:rPr>
                <w:rFonts w:cs="Times New Roman"/>
                <w:snapToGrid w:val="0"/>
              </w:rPr>
            </w:pPr>
            <w:r>
              <w:rPr>
                <w:rFonts w:cs="Times New Roman"/>
                <w:snapToGrid w:val="0"/>
              </w:rPr>
              <w:t>/</w:t>
            </w:r>
          </w:p>
        </w:tc>
        <w:tc>
          <w:tcPr>
            <w:tcW w:w="1701" w:type="dxa"/>
            <w:vAlign w:val="center"/>
          </w:tcPr>
          <w:p w14:paraId="3F498046">
            <w:pPr>
              <w:pStyle w:val="12"/>
              <w:rPr>
                <w:rFonts w:cs="Times New Roman"/>
                <w:snapToGrid w:val="0"/>
              </w:rPr>
            </w:pPr>
            <w:r>
              <w:rPr>
                <w:rFonts w:cs="Times New Roman"/>
                <w:snapToGrid w:val="0"/>
              </w:rPr>
              <w:t>/</w:t>
            </w:r>
          </w:p>
        </w:tc>
        <w:tc>
          <w:tcPr>
            <w:tcW w:w="1559" w:type="dxa"/>
            <w:vAlign w:val="center"/>
          </w:tcPr>
          <w:p w14:paraId="01CACC69">
            <w:pPr>
              <w:pStyle w:val="12"/>
              <w:rPr>
                <w:rFonts w:hint="default" w:eastAsia="宋体" w:cs="Times New Roman"/>
                <w:szCs w:val="21"/>
                <w:lang w:val="en-US" w:eastAsia="zh-CN"/>
              </w:rPr>
            </w:pPr>
            <w:r>
              <w:rPr>
                <w:rFonts w:hint="eastAsia" w:cs="Times New Roman"/>
                <w:szCs w:val="21"/>
                <w:lang w:val="en-US" w:eastAsia="zh-CN"/>
              </w:rPr>
              <w:t>0.02</w:t>
            </w:r>
          </w:p>
        </w:tc>
        <w:tc>
          <w:tcPr>
            <w:tcW w:w="1761" w:type="dxa"/>
            <w:vAlign w:val="center"/>
          </w:tcPr>
          <w:p w14:paraId="5C10767D">
            <w:pPr>
              <w:pStyle w:val="12"/>
              <w:rPr>
                <w:rFonts w:cs="Times New Roman"/>
                <w:snapToGrid w:val="0"/>
              </w:rPr>
            </w:pPr>
            <w:r>
              <w:rPr>
                <w:rFonts w:cs="Times New Roman"/>
                <w:snapToGrid w:val="0"/>
              </w:rPr>
              <w:t>/</w:t>
            </w:r>
          </w:p>
        </w:tc>
        <w:tc>
          <w:tcPr>
            <w:tcW w:w="1562" w:type="dxa"/>
            <w:vAlign w:val="center"/>
          </w:tcPr>
          <w:p w14:paraId="7E9E88E7">
            <w:pPr>
              <w:pStyle w:val="12"/>
              <w:ind w:firstLine="0" w:firstLineChars="0"/>
              <w:rPr>
                <w:rFonts w:cs="Times New Roman"/>
                <w:szCs w:val="21"/>
              </w:rPr>
            </w:pPr>
            <w:r>
              <w:rPr>
                <w:rFonts w:hint="eastAsia" w:cs="Times New Roman"/>
                <w:szCs w:val="21"/>
                <w:lang w:val="en-US" w:eastAsia="zh-CN"/>
              </w:rPr>
              <w:t>0.02</w:t>
            </w:r>
          </w:p>
        </w:tc>
        <w:tc>
          <w:tcPr>
            <w:tcW w:w="1223" w:type="dxa"/>
            <w:vAlign w:val="center"/>
          </w:tcPr>
          <w:p w14:paraId="22F7018D">
            <w:pPr>
              <w:pStyle w:val="12"/>
              <w:ind w:firstLine="0" w:firstLineChars="0"/>
              <w:rPr>
                <w:rFonts w:cs="Times New Roman"/>
                <w:szCs w:val="21"/>
              </w:rPr>
            </w:pPr>
            <w:r>
              <w:rPr>
                <w:rFonts w:cs="Times New Roman"/>
                <w:snapToGrid w:val="0"/>
              </w:rPr>
              <w:t>/</w:t>
            </w:r>
          </w:p>
        </w:tc>
      </w:tr>
    </w:tbl>
    <w:p w14:paraId="52FBE221">
      <w:pPr>
        <w:pStyle w:val="12"/>
        <w:jc w:val="left"/>
        <w:rPr>
          <w:rFonts w:cs="Times New Roman"/>
          <w:snapToGrid w:val="0"/>
        </w:rPr>
      </w:pPr>
      <w:r>
        <w:rPr>
          <w:rFonts w:cs="Times New Roman"/>
          <w:snapToGrid w:val="0"/>
        </w:rPr>
        <w:t>注：</w:t>
      </w:r>
      <w:r>
        <w:rPr>
          <w:rFonts w:cs="Times New Roman"/>
          <w:snapToGrid w:val="0"/>
          <w:spacing w:val="-16"/>
        </w:rPr>
        <w:fldChar w:fldCharType="begin"/>
      </w:r>
      <w:r>
        <w:rPr>
          <w:rFonts w:cs="Times New Roman"/>
          <w:snapToGrid w:val="0"/>
          <w:spacing w:val="-16"/>
        </w:rPr>
        <w:instrText xml:space="preserve"> = 6 \* GB3 \* MERGEFORMAT </w:instrText>
      </w:r>
      <w:r>
        <w:rPr>
          <w:rFonts w:cs="Times New Roman"/>
          <w:snapToGrid w:val="0"/>
          <w:spacing w:val="-16"/>
        </w:rPr>
        <w:fldChar w:fldCharType="separate"/>
      </w:r>
      <w:r>
        <w:rPr>
          <w:rFonts w:hint="eastAsia" w:ascii="宋体" w:hAnsi="宋体" w:cs="宋体"/>
        </w:rPr>
        <w:t>⑥</w:t>
      </w:r>
      <w:r>
        <w:rPr>
          <w:rFonts w:cs="Times New Roman"/>
          <w:snapToGrid w:val="0"/>
          <w:spacing w:val="-16"/>
        </w:rPr>
        <w:fldChar w:fldCharType="end"/>
      </w:r>
      <w:r>
        <w:rPr>
          <w:rFonts w:cs="Times New Roman"/>
          <w:snapToGrid w:val="0"/>
          <w:spacing w:val="-16"/>
        </w:rPr>
        <w:t>=</w:t>
      </w:r>
      <w:r>
        <w:rPr>
          <w:rFonts w:cs="Times New Roman"/>
          <w:snapToGrid w:val="0"/>
        </w:rPr>
        <w:fldChar w:fldCharType="begin"/>
      </w:r>
      <w:r>
        <w:rPr>
          <w:rFonts w:cs="Times New Roman"/>
          <w:snapToGrid w:val="0"/>
        </w:rPr>
        <w:instrText xml:space="preserve"> = 1 \* GB3 \* MERGEFORMAT </w:instrText>
      </w:r>
      <w:r>
        <w:rPr>
          <w:rFonts w:cs="Times New Roman"/>
          <w:snapToGrid w:val="0"/>
        </w:rPr>
        <w:fldChar w:fldCharType="separate"/>
      </w:r>
      <w:r>
        <w:rPr>
          <w:rFonts w:hint="eastAsia" w:ascii="宋体" w:hAnsi="宋体" w:cs="宋体"/>
        </w:rPr>
        <w:t>①</w:t>
      </w:r>
      <w:r>
        <w:rPr>
          <w:rFonts w:cs="Times New Roman"/>
          <w:snapToGrid w:val="0"/>
        </w:rPr>
        <w:fldChar w:fldCharType="end"/>
      </w:r>
      <w:r>
        <w:rPr>
          <w:rFonts w:cs="Times New Roman"/>
          <w:snapToGrid w:val="0"/>
        </w:rPr>
        <w:t>+</w:t>
      </w:r>
      <w:r>
        <w:rPr>
          <w:rFonts w:cs="Times New Roman"/>
          <w:snapToGrid w:val="0"/>
        </w:rPr>
        <w:fldChar w:fldCharType="begin"/>
      </w:r>
      <w:r>
        <w:rPr>
          <w:rFonts w:cs="Times New Roman"/>
          <w:snapToGrid w:val="0"/>
        </w:rPr>
        <w:instrText xml:space="preserve"> = 3 \* GB3 \* MERGEFORMAT </w:instrText>
      </w:r>
      <w:r>
        <w:rPr>
          <w:rFonts w:cs="Times New Roman"/>
          <w:snapToGrid w:val="0"/>
        </w:rPr>
        <w:fldChar w:fldCharType="separate"/>
      </w:r>
      <w:r>
        <w:rPr>
          <w:rFonts w:hint="eastAsia" w:ascii="宋体" w:hAnsi="宋体" w:cs="宋体"/>
        </w:rPr>
        <w:t>③</w:t>
      </w:r>
      <w:r>
        <w:rPr>
          <w:rFonts w:cs="Times New Roman"/>
          <w:snapToGrid w:val="0"/>
        </w:rPr>
        <w:fldChar w:fldCharType="end"/>
      </w:r>
      <w:r>
        <w:rPr>
          <w:rFonts w:cs="Times New Roman"/>
          <w:snapToGrid w:val="0"/>
        </w:rPr>
        <w:t>+</w:t>
      </w:r>
      <w:r>
        <w:rPr>
          <w:rFonts w:cs="Times New Roman"/>
          <w:snapToGrid w:val="0"/>
        </w:rPr>
        <w:fldChar w:fldCharType="begin"/>
      </w:r>
      <w:r>
        <w:rPr>
          <w:rFonts w:cs="Times New Roman"/>
          <w:snapToGrid w:val="0"/>
        </w:rPr>
        <w:instrText xml:space="preserve"> = 4 \* GB3 \* MERGEFORMAT </w:instrText>
      </w:r>
      <w:r>
        <w:rPr>
          <w:rFonts w:cs="Times New Roman"/>
          <w:snapToGrid w:val="0"/>
        </w:rPr>
        <w:fldChar w:fldCharType="separate"/>
      </w:r>
      <w:r>
        <w:rPr>
          <w:rFonts w:hint="eastAsia" w:ascii="宋体" w:hAnsi="宋体" w:cs="宋体"/>
        </w:rPr>
        <w:t>④</w:t>
      </w:r>
      <w:r>
        <w:rPr>
          <w:rFonts w:cs="Times New Roman"/>
          <w:snapToGrid w:val="0"/>
        </w:rPr>
        <w:fldChar w:fldCharType="end"/>
      </w:r>
      <w:r>
        <w:rPr>
          <w:rFonts w:cs="Times New Roman"/>
          <w:snapToGrid w:val="0"/>
        </w:rPr>
        <w:t>-</w:t>
      </w:r>
      <w:r>
        <w:rPr>
          <w:rFonts w:cs="Times New Roman"/>
          <w:snapToGrid w:val="0"/>
          <w:spacing w:val="-16"/>
        </w:rPr>
        <w:fldChar w:fldCharType="begin"/>
      </w:r>
      <w:r>
        <w:rPr>
          <w:rFonts w:cs="Times New Roman"/>
          <w:snapToGrid w:val="0"/>
          <w:spacing w:val="-16"/>
        </w:rPr>
        <w:instrText xml:space="preserve"> = 5 \* GB3 \* MERGEFORMAT </w:instrText>
      </w:r>
      <w:r>
        <w:rPr>
          <w:rFonts w:cs="Times New Roman"/>
          <w:snapToGrid w:val="0"/>
          <w:spacing w:val="-16"/>
        </w:rPr>
        <w:fldChar w:fldCharType="separate"/>
      </w:r>
      <w:r>
        <w:rPr>
          <w:rFonts w:hint="eastAsia" w:ascii="宋体" w:hAnsi="宋体" w:cs="宋体"/>
        </w:rPr>
        <w:t>⑤</w:t>
      </w:r>
      <w:r>
        <w:rPr>
          <w:rFonts w:cs="Times New Roman"/>
          <w:snapToGrid w:val="0"/>
          <w:spacing w:val="-16"/>
        </w:rPr>
        <w:fldChar w:fldCharType="end"/>
      </w:r>
      <w:r>
        <w:rPr>
          <w:rFonts w:cs="Times New Roman"/>
          <w:snapToGrid w:val="0"/>
          <w:spacing w:val="-16"/>
        </w:rPr>
        <w:t>；</w:t>
      </w:r>
      <w:r>
        <w:rPr>
          <w:rFonts w:cs="Times New Roman"/>
          <w:snapToGrid w:val="0"/>
        </w:rPr>
        <w:fldChar w:fldCharType="begin"/>
      </w:r>
      <w:r>
        <w:rPr>
          <w:rFonts w:cs="Times New Roman"/>
          <w:snapToGrid w:val="0"/>
        </w:rPr>
        <w:instrText xml:space="preserve"> = 7 \* GB3 \* MERGEFORMAT </w:instrText>
      </w:r>
      <w:r>
        <w:rPr>
          <w:rFonts w:cs="Times New Roman"/>
          <w:snapToGrid w:val="0"/>
        </w:rPr>
        <w:fldChar w:fldCharType="separate"/>
      </w:r>
      <w:r>
        <w:rPr>
          <w:rFonts w:hint="eastAsia" w:ascii="宋体" w:hAnsi="宋体" w:cs="宋体"/>
        </w:rPr>
        <w:t>⑦</w:t>
      </w:r>
      <w:r>
        <w:rPr>
          <w:rFonts w:cs="Times New Roman"/>
          <w:snapToGrid w:val="0"/>
        </w:rPr>
        <w:fldChar w:fldCharType="end"/>
      </w:r>
      <w:r>
        <w:rPr>
          <w:rFonts w:cs="Times New Roman"/>
          <w:snapToGrid w:val="0"/>
        </w:rPr>
        <w:t>=</w:t>
      </w:r>
      <w:r>
        <w:rPr>
          <w:rFonts w:cs="Times New Roman"/>
          <w:snapToGrid w:val="0"/>
          <w:spacing w:val="-16"/>
        </w:rPr>
        <w:fldChar w:fldCharType="begin"/>
      </w:r>
      <w:r>
        <w:rPr>
          <w:rFonts w:cs="Times New Roman"/>
          <w:snapToGrid w:val="0"/>
          <w:spacing w:val="-16"/>
        </w:rPr>
        <w:instrText xml:space="preserve"> = 6 \* GB3 \* MERGEFORMAT </w:instrText>
      </w:r>
      <w:r>
        <w:rPr>
          <w:rFonts w:cs="Times New Roman"/>
          <w:snapToGrid w:val="0"/>
          <w:spacing w:val="-16"/>
        </w:rPr>
        <w:fldChar w:fldCharType="separate"/>
      </w:r>
      <w:r>
        <w:rPr>
          <w:rFonts w:hint="eastAsia" w:ascii="宋体" w:hAnsi="宋体" w:cs="宋体"/>
        </w:rPr>
        <w:t>⑥</w:t>
      </w:r>
      <w:r>
        <w:rPr>
          <w:rFonts w:cs="Times New Roman"/>
          <w:snapToGrid w:val="0"/>
          <w:spacing w:val="-16"/>
        </w:rPr>
        <w:fldChar w:fldCharType="end"/>
      </w:r>
      <w:r>
        <w:rPr>
          <w:rFonts w:cs="Times New Roman"/>
          <w:snapToGrid w:val="0"/>
          <w:spacing w:val="-16"/>
        </w:rPr>
        <w:t>-</w:t>
      </w:r>
      <w:r>
        <w:rPr>
          <w:rFonts w:cs="Times New Roman"/>
          <w:snapToGrid w:val="0"/>
        </w:rPr>
        <w:fldChar w:fldCharType="begin"/>
      </w:r>
      <w:r>
        <w:rPr>
          <w:rFonts w:cs="Times New Roman"/>
          <w:snapToGrid w:val="0"/>
        </w:rPr>
        <w:instrText xml:space="preserve"> = 1 \* GB3 \* MERGEFORMAT </w:instrText>
      </w:r>
      <w:r>
        <w:rPr>
          <w:rFonts w:cs="Times New Roman"/>
          <w:snapToGrid w:val="0"/>
        </w:rPr>
        <w:fldChar w:fldCharType="separate"/>
      </w:r>
      <w:r>
        <w:rPr>
          <w:rFonts w:hint="eastAsia" w:ascii="宋体" w:hAnsi="宋体" w:cs="宋体"/>
        </w:rPr>
        <w:t>①</w:t>
      </w:r>
      <w:r>
        <w:rPr>
          <w:rFonts w:cs="Times New Roman"/>
          <w:snapToGrid w:val="0"/>
        </w:rPr>
        <w:fldChar w:fldCharType="end"/>
      </w:r>
      <w:bookmarkEnd w:id="88"/>
      <w:r>
        <w:rPr>
          <w:rFonts w:cs="Times New Roman"/>
          <w:snapToGrid w:val="0"/>
        </w:rPr>
        <w:t>。</w:t>
      </w:r>
      <w:r>
        <w:rPr>
          <w:rFonts w:cs="Times New Roman"/>
          <w:snapToGrid w:val="0"/>
          <w:color w:val="000000"/>
          <w:spacing w:val="-6"/>
          <w:kern w:val="21"/>
          <w:szCs w:val="21"/>
        </w:rPr>
        <w:t>废气单位均为t/a；废水污染物除废水量单位为m</w:t>
      </w:r>
      <w:r>
        <w:rPr>
          <w:rFonts w:cs="Times New Roman"/>
          <w:snapToGrid w:val="0"/>
          <w:color w:val="000000"/>
          <w:spacing w:val="-6"/>
          <w:kern w:val="21"/>
          <w:szCs w:val="21"/>
          <w:vertAlign w:val="superscript"/>
        </w:rPr>
        <w:t>3</w:t>
      </w:r>
      <w:r>
        <w:rPr>
          <w:rFonts w:cs="Times New Roman"/>
          <w:snapToGrid w:val="0"/>
          <w:color w:val="000000"/>
          <w:spacing w:val="-6"/>
          <w:kern w:val="21"/>
          <w:szCs w:val="21"/>
        </w:rPr>
        <w:t>/a外，单位均为t/a；固废单位均为t/a。</w:t>
      </w:r>
    </w:p>
    <w:p w14:paraId="1D884996">
      <w:pPr>
        <w:ind w:firstLine="480"/>
        <w:rPr>
          <w:rFonts w:cs="Times New Roman"/>
        </w:rPr>
      </w:pPr>
    </w:p>
    <w:p w14:paraId="492E3A4F"/>
    <w:p w14:paraId="237FB02A"/>
    <w:sectPr>
      <w:footerReference r:id="rId12" w:type="default"/>
      <w:pgSz w:w="16838" w:h="11906" w:orient="landscape"/>
      <w:pgMar w:top="1474" w:right="1531" w:bottom="1474" w:left="1531" w:header="851" w:footer="850" w:gutter="0"/>
      <w:cols w:space="720" w:num="1"/>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Light">
    <w:altName w:val="宋体"/>
    <w:panose1 w:val="02010600030101010101"/>
    <w:charset w:val="86"/>
    <w:family w:val="auto"/>
    <w:pitch w:val="default"/>
    <w:sig w:usb0="00000000" w:usb1="00000000" w:usb2="00000016" w:usb3="00000000" w:csb0="0004000F" w:csb1="00000000"/>
  </w:font>
  <w:font w:name="Constantia">
    <w:panose1 w:val="02030602050306030303"/>
    <w:charset w:val="00"/>
    <w:family w:val="auto"/>
    <w:pitch w:val="default"/>
    <w:sig w:usb0="A00002EF" w:usb1="4000204B" w:usb2="00000000" w:usb3="00000000" w:csb0="2000019F" w:csb1="00000000"/>
  </w:font>
  <w:font w:name="方正小标宋_GBK">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Wingdings 2">
    <w:altName w:val="Wingdings"/>
    <w:panose1 w:val="05020102010507070707"/>
    <w:charset w:val="02"/>
    <w:family w:val="roman"/>
    <w:pitch w:val="default"/>
    <w:sig w:usb0="00000000" w:usb1="00000000" w:usb2="00000000" w:usb3="00000000" w:csb0="80000000" w:csb1="00000000"/>
  </w:font>
  <w:font w:name="等线">
    <w:altName w:val="微软雅黑"/>
    <w:panose1 w:val="02010600030101010101"/>
    <w:charset w:val="86"/>
    <w:family w:val="auto"/>
    <w:pitch w:val="default"/>
    <w:sig w:usb0="00000000" w:usb1="00000000" w:usb2="00000016" w:usb3="00000000" w:csb0="0004000F" w:csb1="00000000"/>
  </w:font>
  <w:font w:name="TimesNewRomanPSMT">
    <w:altName w:val="黑体"/>
    <w:panose1 w:val="00000000000000000000"/>
    <w:charset w:val="00"/>
    <w:family w:val="roman"/>
    <w:pitch w:val="default"/>
    <w:sig w:usb0="00000000" w:usb1="00000000" w:usb2="00000010" w:usb3="00000000" w:csb0="00060001" w:csb1="00000000"/>
  </w:font>
  <w:font w:name="Segoe UI">
    <w:panose1 w:val="020B0502040204020203"/>
    <w:charset w:val="00"/>
    <w:family w:val="auto"/>
    <w:pitch w:val="default"/>
    <w:sig w:usb0="E10022FF" w:usb1="C000E47F" w:usb2="00000029" w:usb3="00000000" w:csb0="200001DF" w:csb1="20000000"/>
  </w:font>
  <w:font w:name="新宋体">
    <w:panose1 w:val="02010609030101010101"/>
    <w:charset w:val="86"/>
    <w:family w:val="modern"/>
    <w:pitch w:val="default"/>
    <w:sig w:usb0="00000003" w:usb1="288F0000" w:usb2="00000006" w:usb3="00000000" w:csb0="00040001" w:csb1="00000000"/>
  </w:font>
  <w:font w:name="等线 Ligh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Wingdings">
    <w:panose1 w:val="05000000000000000000"/>
    <w:charset w:val="00"/>
    <w:family w:val="auto"/>
    <w:pitch w:val="default"/>
    <w:sig w:usb0="00000000" w:usb1="00000000" w:usb2="00000000" w:usb3="00000000" w:csb0="80000000" w:csb1="00000000"/>
  </w:font>
  <w:font w:name="Kingsoft UE">
    <w:panose1 w:val="02000100010000000000"/>
    <w:charset w:val="00"/>
    <w:family w:val="auto"/>
    <w:pitch w:val="default"/>
    <w:sig w:usb0="00000001" w:usb1="00004000" w:usb2="00000000" w:usb3="00000000" w:csb0="00000001" w:csb1="00000000"/>
  </w:font>
  <w:font w:name="MS PGothic">
    <w:panose1 w:val="020B0600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603953922"/>
      <w:docPartObj>
        <w:docPartGallery w:val="autotext"/>
      </w:docPartObj>
    </w:sdtPr>
    <w:sdtContent>
      <w:p w14:paraId="03600DCB">
        <w:pPr>
          <w:tabs>
            <w:tab w:val="center" w:pos="4153"/>
            <w:tab w:val="right" w:pos="8306"/>
          </w:tabs>
          <w:ind w:firstLine="360"/>
          <w:jc w:val="center"/>
        </w:pPr>
      </w:p>
    </w:sdtContent>
  </w:sdt>
  <w:p w14:paraId="30F37A5B">
    <w:pPr>
      <w:ind w:firstLine="48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987D39">
    <w:pPr>
      <w:ind w:firstLine="48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994BE1">
    <w:pPr>
      <w:ind w:firstLine="48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76996022"/>
      <w:docPartObj>
        <w:docPartGallery w:val="autotext"/>
      </w:docPartObj>
    </w:sdtPr>
    <w:sdtContent>
      <w:p w14:paraId="6A2BBE7A">
        <w:pPr>
          <w:tabs>
            <w:tab w:val="center" w:pos="4153"/>
            <w:tab w:val="right" w:pos="8306"/>
          </w:tabs>
          <w:ind w:firstLine="360"/>
          <w:jc w:val="center"/>
        </w:pPr>
        <w:r>
          <w:fldChar w:fldCharType="begin"/>
        </w:r>
        <w:r>
          <w:instrText xml:space="preserve">PAGE   \* MERGEFORMAT</w:instrText>
        </w:r>
        <w:r>
          <w:fldChar w:fldCharType="separate"/>
        </w:r>
        <w:r>
          <w:rPr>
            <w:lang w:val="zh-CN"/>
          </w:rPr>
          <w:t>2</w:t>
        </w:r>
        <w:r>
          <w:fldChar w:fldCharType="end"/>
        </w:r>
      </w:p>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83549627"/>
      <w:docPartObj>
        <w:docPartGallery w:val="autotext"/>
      </w:docPartObj>
    </w:sdtPr>
    <w:sdtContent>
      <w:p w14:paraId="3B7E2B65">
        <w:pPr>
          <w:tabs>
            <w:tab w:val="center" w:pos="4153"/>
            <w:tab w:val="right" w:pos="8306"/>
          </w:tabs>
          <w:ind w:firstLine="360"/>
          <w:jc w:val="center"/>
        </w:pPr>
        <w:r>
          <w:fldChar w:fldCharType="begin"/>
        </w:r>
        <w:r>
          <w:instrText xml:space="preserve">PAGE   \* MERGEFORMAT</w:instrText>
        </w:r>
        <w:r>
          <w:fldChar w:fldCharType="separate"/>
        </w:r>
        <w:r>
          <w:rPr>
            <w:lang w:val="zh-CN"/>
          </w:rPr>
          <w:t>2</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E3554C">
    <w:pPr>
      <w:ind w:firstLine="48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637574">
    <w:pPr>
      <w:ind w:firstLine="48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570E90">
    <w:pPr>
      <w:ind w:firstLine="48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2F87CEE"/>
    <w:multiLevelType w:val="singleLevel"/>
    <w:tmpl w:val="D2F87CEE"/>
    <w:lvl w:ilvl="0" w:tentative="0">
      <w:start w:val="10"/>
      <w:numFmt w:val="decimal"/>
      <w:suff w:val="nothing"/>
      <w:lvlText w:val="%1、"/>
      <w:lvlJc w:val="left"/>
    </w:lvl>
  </w:abstractNum>
  <w:abstractNum w:abstractNumId="1">
    <w:nsid w:val="03CDD6CF"/>
    <w:multiLevelType w:val="singleLevel"/>
    <w:tmpl w:val="03CDD6CF"/>
    <w:lvl w:ilvl="0" w:tentative="0">
      <w:start w:val="2"/>
      <w:numFmt w:val="decimal"/>
      <w:suff w:val="nothing"/>
      <w:lvlText w:val="%1）"/>
      <w:lvlJc w:val="left"/>
    </w:lvl>
  </w:abstractNum>
  <w:abstractNum w:abstractNumId="2">
    <w:nsid w:val="15B0369C"/>
    <w:multiLevelType w:val="multilevel"/>
    <w:tmpl w:val="15B0369C"/>
    <w:lvl w:ilvl="0" w:tentative="0">
      <w:start w:val="1"/>
      <w:numFmt w:val="chineseCountingThousand"/>
      <w:pStyle w:val="2"/>
      <w:suff w:val="nothing"/>
      <w:lvlText w:val="%1、"/>
      <w:lvlJc w:val="left"/>
      <w:pPr>
        <w:ind w:left="0" w:firstLine="0"/>
      </w:pPr>
      <w:rPr>
        <w:rFonts w:hint="eastAsia"/>
      </w:rPr>
    </w:lvl>
    <w:lvl w:ilvl="1" w:tentative="0">
      <w:start w:val="1"/>
      <w:numFmt w:val="none"/>
      <w:suff w:val="nothing"/>
      <w:lvlText w:val=""/>
      <w:lvlJc w:val="left"/>
      <w:pPr>
        <w:ind w:left="0" w:firstLine="0"/>
      </w:pPr>
      <w:rPr>
        <w:rFonts w:hint="eastAsia"/>
      </w:rPr>
    </w:lvl>
    <w:lvl w:ilvl="2" w:tentative="0">
      <w:start w:val="1"/>
      <w:numFmt w:val="none"/>
      <w:pStyle w:val="4"/>
      <w:suff w:val="nothing"/>
      <w:lvlText w:val=""/>
      <w:lvlJc w:val="left"/>
      <w:pPr>
        <w:ind w:left="0" w:firstLine="0"/>
      </w:pPr>
      <w:rPr>
        <w:rFonts w:hint="eastAsia"/>
      </w:rPr>
    </w:lvl>
    <w:lvl w:ilvl="3" w:tentative="0">
      <w:start w:val="1"/>
      <w:numFmt w:val="none"/>
      <w:pStyle w:val="5"/>
      <w:suff w:val="nothing"/>
      <w:lvlText w:val=""/>
      <w:lvlJc w:val="left"/>
      <w:pPr>
        <w:ind w:left="0" w:firstLine="0"/>
      </w:pPr>
      <w:rPr>
        <w:rFonts w:hint="eastAsia"/>
      </w:rPr>
    </w:lvl>
    <w:lvl w:ilvl="4" w:tentative="0">
      <w:start w:val="1"/>
      <w:numFmt w:val="none"/>
      <w:pStyle w:val="6"/>
      <w:suff w:val="nothing"/>
      <w:lvlText w:val=""/>
      <w:lvlJc w:val="left"/>
      <w:pPr>
        <w:ind w:left="0" w:firstLine="0"/>
      </w:pPr>
      <w:rPr>
        <w:rFonts w:hint="eastAsia"/>
      </w:rPr>
    </w:lvl>
    <w:lvl w:ilvl="5" w:tentative="0">
      <w:start w:val="1"/>
      <w:numFmt w:val="none"/>
      <w:pStyle w:val="7"/>
      <w:suff w:val="nothing"/>
      <w:lvlText w:val=""/>
      <w:lvlJc w:val="left"/>
      <w:pPr>
        <w:ind w:left="0" w:firstLine="0"/>
      </w:pPr>
      <w:rPr>
        <w:rFonts w:hint="eastAsia"/>
      </w:rPr>
    </w:lvl>
    <w:lvl w:ilvl="6" w:tentative="0">
      <w:start w:val="1"/>
      <w:numFmt w:val="none"/>
      <w:pStyle w:val="8"/>
      <w:suff w:val="nothing"/>
      <w:lvlText w:val=""/>
      <w:lvlJc w:val="left"/>
      <w:pPr>
        <w:ind w:left="0" w:firstLine="0"/>
      </w:pPr>
      <w:rPr>
        <w:rFonts w:hint="eastAsia"/>
      </w:rPr>
    </w:lvl>
    <w:lvl w:ilvl="7" w:tentative="0">
      <w:start w:val="1"/>
      <w:numFmt w:val="none"/>
      <w:pStyle w:val="9"/>
      <w:suff w:val="nothing"/>
      <w:lvlText w:val=""/>
      <w:lvlJc w:val="left"/>
      <w:pPr>
        <w:ind w:left="0" w:firstLine="0"/>
      </w:pPr>
      <w:rPr>
        <w:rFonts w:hint="eastAsia"/>
      </w:rPr>
    </w:lvl>
    <w:lvl w:ilvl="8" w:tentative="0">
      <w:start w:val="1"/>
      <w:numFmt w:val="none"/>
      <w:pStyle w:val="10"/>
      <w:suff w:val="nothing"/>
      <w:lvlText w:val=""/>
      <w:lvlJc w:val="left"/>
      <w:pPr>
        <w:ind w:left="0" w:firstLine="0"/>
      </w:pPr>
      <w:rPr>
        <w:rFonts w:hint="eastAsia"/>
      </w:rPr>
    </w:lvl>
  </w:abstractNum>
  <w:abstractNum w:abstractNumId="3">
    <w:nsid w:val="19644C76"/>
    <w:multiLevelType w:val="multilevel"/>
    <w:tmpl w:val="19644C76"/>
    <w:lvl w:ilvl="0" w:tentative="0">
      <w:start w:val="1"/>
      <w:numFmt w:val="decimal"/>
      <w:pStyle w:val="58"/>
      <w:suff w:val="space"/>
      <w:lvlText w:val="表1-%1"/>
      <w:lvlJc w:val="left"/>
      <w:pPr>
        <w:ind w:left="4111" w:firstLine="0"/>
      </w:pPr>
      <w:rPr>
        <w:rFonts w:hint="default" w:ascii="Times New Roman" w:hAnsi="Times New Roman" w:eastAsia="宋体"/>
        <w:b/>
        <w:i w:val="0"/>
        <w:sz w:val="21"/>
        <w:lang w:val="en-US"/>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4">
    <w:nsid w:val="33E0575E"/>
    <w:multiLevelType w:val="multilevel"/>
    <w:tmpl w:val="33E0575E"/>
    <w:lvl w:ilvl="0" w:tentative="0">
      <w:start w:val="1"/>
      <w:numFmt w:val="decimal"/>
      <w:pStyle w:val="57"/>
      <w:suff w:val="space"/>
      <w:lvlText w:val="表3-%1"/>
      <w:lvlJc w:val="left"/>
      <w:pPr>
        <w:ind w:left="0" w:firstLine="0"/>
      </w:pPr>
      <w:rPr>
        <w:rFonts w:hint="default" w:ascii="Times New Roman" w:hAnsi="Times New Roman" w:eastAsia="宋体"/>
        <w:b/>
        <w:i w:val="0"/>
        <w:sz w:val="21"/>
        <w:vertAlign w:val="baseline"/>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40A5336D"/>
    <w:multiLevelType w:val="multilevel"/>
    <w:tmpl w:val="40A5336D"/>
    <w:lvl w:ilvl="0" w:tentative="0">
      <w:start w:val="1"/>
      <w:numFmt w:val="decimal"/>
      <w:pStyle w:val="56"/>
      <w:suff w:val="space"/>
      <w:lvlText w:val="表4-%1"/>
      <w:lvlJc w:val="left"/>
      <w:pPr>
        <w:ind w:left="3360" w:firstLine="0"/>
      </w:pPr>
    </w:lvl>
    <w:lvl w:ilvl="1" w:tentative="0">
      <w:start w:val="1"/>
      <w:numFmt w:val="lowerLetter"/>
      <w:lvlText w:val="%2)"/>
      <w:lvlJc w:val="left"/>
      <w:pPr>
        <w:ind w:left="4200" w:hanging="420"/>
      </w:pPr>
    </w:lvl>
    <w:lvl w:ilvl="2" w:tentative="0">
      <w:start w:val="1"/>
      <w:numFmt w:val="lowerRoman"/>
      <w:lvlText w:val="%3."/>
      <w:lvlJc w:val="right"/>
      <w:pPr>
        <w:ind w:left="4620" w:hanging="420"/>
      </w:pPr>
    </w:lvl>
    <w:lvl w:ilvl="3" w:tentative="0">
      <w:start w:val="1"/>
      <w:numFmt w:val="decimal"/>
      <w:lvlText w:val="%4."/>
      <w:lvlJc w:val="left"/>
      <w:pPr>
        <w:ind w:left="5040" w:hanging="420"/>
      </w:pPr>
    </w:lvl>
    <w:lvl w:ilvl="4" w:tentative="0">
      <w:start w:val="1"/>
      <w:numFmt w:val="lowerLetter"/>
      <w:lvlText w:val="%5)"/>
      <w:lvlJc w:val="left"/>
      <w:pPr>
        <w:ind w:left="5460" w:hanging="420"/>
      </w:pPr>
    </w:lvl>
    <w:lvl w:ilvl="5" w:tentative="0">
      <w:start w:val="1"/>
      <w:numFmt w:val="lowerRoman"/>
      <w:lvlText w:val="%6."/>
      <w:lvlJc w:val="right"/>
      <w:pPr>
        <w:ind w:left="5880" w:hanging="420"/>
      </w:pPr>
    </w:lvl>
    <w:lvl w:ilvl="6" w:tentative="0">
      <w:start w:val="1"/>
      <w:numFmt w:val="decimal"/>
      <w:lvlText w:val="%7."/>
      <w:lvlJc w:val="left"/>
      <w:pPr>
        <w:ind w:left="6300" w:hanging="420"/>
      </w:pPr>
    </w:lvl>
    <w:lvl w:ilvl="7" w:tentative="0">
      <w:start w:val="1"/>
      <w:numFmt w:val="lowerLetter"/>
      <w:lvlText w:val="%8)"/>
      <w:lvlJc w:val="left"/>
      <w:pPr>
        <w:ind w:left="6720" w:hanging="420"/>
      </w:pPr>
    </w:lvl>
    <w:lvl w:ilvl="8" w:tentative="0">
      <w:start w:val="1"/>
      <w:numFmt w:val="lowerRoman"/>
      <w:lvlText w:val="%9."/>
      <w:lvlJc w:val="right"/>
      <w:pPr>
        <w:ind w:left="7140" w:hanging="420"/>
      </w:pPr>
    </w:lvl>
  </w:abstractNum>
  <w:abstractNum w:abstractNumId="6">
    <w:nsid w:val="470E3631"/>
    <w:multiLevelType w:val="multilevel"/>
    <w:tmpl w:val="470E3631"/>
    <w:lvl w:ilvl="0" w:tentative="0">
      <w:start w:val="1"/>
      <w:numFmt w:val="decimal"/>
      <w:pStyle w:val="53"/>
      <w:suff w:val="space"/>
      <w:lvlText w:val="图4-%1"/>
      <w:lvlJc w:val="left"/>
      <w:pPr>
        <w:ind w:left="0" w:firstLine="0"/>
      </w:pPr>
      <w:rPr>
        <w:rFonts w:hint="default" w:ascii="Times New Roman" w:hAnsi="Times New Roman" w:eastAsia="宋体"/>
        <w:sz w:val="21"/>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7">
    <w:nsid w:val="5C3E7623"/>
    <w:multiLevelType w:val="multilevel"/>
    <w:tmpl w:val="5C3E7623"/>
    <w:lvl w:ilvl="0" w:tentative="0">
      <w:start w:val="1"/>
      <w:numFmt w:val="decimal"/>
      <w:pStyle w:val="54"/>
      <w:suff w:val="space"/>
      <w:lvlText w:val="图3-%1"/>
      <w:lvlJc w:val="left"/>
      <w:pPr>
        <w:ind w:left="0" w:firstLine="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7EF5483F"/>
    <w:multiLevelType w:val="multilevel"/>
    <w:tmpl w:val="7EF5483F"/>
    <w:lvl w:ilvl="0" w:tentative="0">
      <w:start w:val="1"/>
      <w:numFmt w:val="decimal"/>
      <w:pStyle w:val="55"/>
      <w:suff w:val="space"/>
      <w:lvlText w:val="图1-%1"/>
      <w:lvlJc w:val="left"/>
      <w:pPr>
        <w:ind w:left="0" w:firstLine="0"/>
      </w:pPr>
      <w:rPr>
        <w:rFonts w:hint="default" w:ascii="Times New Roman" w:hAnsi="Times New Roman" w:eastAsia="宋体"/>
        <w:b/>
        <w:i w:val="0"/>
        <w:sz w:val="21"/>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2"/>
  </w:num>
  <w:num w:numId="2">
    <w:abstractNumId w:val="6"/>
  </w:num>
  <w:num w:numId="3">
    <w:abstractNumId w:val="7"/>
  </w:num>
  <w:num w:numId="4">
    <w:abstractNumId w:val="8"/>
  </w:num>
  <w:num w:numId="5">
    <w:abstractNumId w:val="5"/>
  </w:num>
  <w:num w:numId="6">
    <w:abstractNumId w:val="4"/>
  </w:num>
  <w:num w:numId="7">
    <w:abstractNumId w:val="3"/>
  </w:num>
  <w:num w:numId="8">
    <w:abstractNumId w:val="0"/>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hideSpellingErrors/>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1B24"/>
    <w:rsid w:val="00002E31"/>
    <w:rsid w:val="00005CBD"/>
    <w:rsid w:val="000100BB"/>
    <w:rsid w:val="000109D0"/>
    <w:rsid w:val="00011204"/>
    <w:rsid w:val="00011C23"/>
    <w:rsid w:val="00014AFA"/>
    <w:rsid w:val="00014CEA"/>
    <w:rsid w:val="00015531"/>
    <w:rsid w:val="00015C55"/>
    <w:rsid w:val="000160E2"/>
    <w:rsid w:val="00016A32"/>
    <w:rsid w:val="00016F29"/>
    <w:rsid w:val="000205C2"/>
    <w:rsid w:val="00020E8C"/>
    <w:rsid w:val="00022B26"/>
    <w:rsid w:val="0002395C"/>
    <w:rsid w:val="0002436D"/>
    <w:rsid w:val="0002460F"/>
    <w:rsid w:val="000246B1"/>
    <w:rsid w:val="000253A2"/>
    <w:rsid w:val="00025932"/>
    <w:rsid w:val="0002632F"/>
    <w:rsid w:val="00031A94"/>
    <w:rsid w:val="00033B2D"/>
    <w:rsid w:val="00034A36"/>
    <w:rsid w:val="00034CD2"/>
    <w:rsid w:val="0003722F"/>
    <w:rsid w:val="000376C9"/>
    <w:rsid w:val="00037A11"/>
    <w:rsid w:val="00037A55"/>
    <w:rsid w:val="00040D2D"/>
    <w:rsid w:val="00041489"/>
    <w:rsid w:val="000424D4"/>
    <w:rsid w:val="00043243"/>
    <w:rsid w:val="00044D12"/>
    <w:rsid w:val="00044D5C"/>
    <w:rsid w:val="00046172"/>
    <w:rsid w:val="00046F43"/>
    <w:rsid w:val="00047767"/>
    <w:rsid w:val="00047A3E"/>
    <w:rsid w:val="00050829"/>
    <w:rsid w:val="0005202E"/>
    <w:rsid w:val="00052759"/>
    <w:rsid w:val="00053732"/>
    <w:rsid w:val="000544BD"/>
    <w:rsid w:val="000548BF"/>
    <w:rsid w:val="0005530D"/>
    <w:rsid w:val="000553B3"/>
    <w:rsid w:val="00055882"/>
    <w:rsid w:val="000561A1"/>
    <w:rsid w:val="00062030"/>
    <w:rsid w:val="0006255E"/>
    <w:rsid w:val="000626C4"/>
    <w:rsid w:val="00062CDA"/>
    <w:rsid w:val="00062DC3"/>
    <w:rsid w:val="00063908"/>
    <w:rsid w:val="00065603"/>
    <w:rsid w:val="00065D7D"/>
    <w:rsid w:val="000662D8"/>
    <w:rsid w:val="00066536"/>
    <w:rsid w:val="000668AA"/>
    <w:rsid w:val="000675C3"/>
    <w:rsid w:val="000700D7"/>
    <w:rsid w:val="00076A2D"/>
    <w:rsid w:val="00076D8B"/>
    <w:rsid w:val="00077647"/>
    <w:rsid w:val="00077E13"/>
    <w:rsid w:val="0008142E"/>
    <w:rsid w:val="00082FEF"/>
    <w:rsid w:val="000837CB"/>
    <w:rsid w:val="00083E48"/>
    <w:rsid w:val="00084051"/>
    <w:rsid w:val="000857FE"/>
    <w:rsid w:val="00085CA2"/>
    <w:rsid w:val="000860C1"/>
    <w:rsid w:val="00086A3A"/>
    <w:rsid w:val="00087584"/>
    <w:rsid w:val="00090535"/>
    <w:rsid w:val="00090DB7"/>
    <w:rsid w:val="00092BA2"/>
    <w:rsid w:val="00092BBB"/>
    <w:rsid w:val="00092BEF"/>
    <w:rsid w:val="00095B29"/>
    <w:rsid w:val="00095CD2"/>
    <w:rsid w:val="00095D50"/>
    <w:rsid w:val="0009613F"/>
    <w:rsid w:val="0009629B"/>
    <w:rsid w:val="0009792F"/>
    <w:rsid w:val="00097D1B"/>
    <w:rsid w:val="00097F97"/>
    <w:rsid w:val="000A02F1"/>
    <w:rsid w:val="000A07DD"/>
    <w:rsid w:val="000A0BBE"/>
    <w:rsid w:val="000A24ED"/>
    <w:rsid w:val="000A350C"/>
    <w:rsid w:val="000A4AFD"/>
    <w:rsid w:val="000A4B7B"/>
    <w:rsid w:val="000A5903"/>
    <w:rsid w:val="000A5A36"/>
    <w:rsid w:val="000A6796"/>
    <w:rsid w:val="000A67E8"/>
    <w:rsid w:val="000A7099"/>
    <w:rsid w:val="000A7CC3"/>
    <w:rsid w:val="000B0B2E"/>
    <w:rsid w:val="000B1BC8"/>
    <w:rsid w:val="000B316E"/>
    <w:rsid w:val="000B386D"/>
    <w:rsid w:val="000B3D6E"/>
    <w:rsid w:val="000B48E4"/>
    <w:rsid w:val="000B5707"/>
    <w:rsid w:val="000B5F05"/>
    <w:rsid w:val="000B6C58"/>
    <w:rsid w:val="000C0BAB"/>
    <w:rsid w:val="000C1CF7"/>
    <w:rsid w:val="000C1CFF"/>
    <w:rsid w:val="000C2126"/>
    <w:rsid w:val="000C2A56"/>
    <w:rsid w:val="000C403D"/>
    <w:rsid w:val="000C4E54"/>
    <w:rsid w:val="000D16D9"/>
    <w:rsid w:val="000D18E0"/>
    <w:rsid w:val="000D1DF8"/>
    <w:rsid w:val="000D2C5D"/>
    <w:rsid w:val="000D3A5C"/>
    <w:rsid w:val="000D4713"/>
    <w:rsid w:val="000D676D"/>
    <w:rsid w:val="000D791E"/>
    <w:rsid w:val="000E05A7"/>
    <w:rsid w:val="000E0A70"/>
    <w:rsid w:val="000E2663"/>
    <w:rsid w:val="000E32C7"/>
    <w:rsid w:val="000E41B7"/>
    <w:rsid w:val="000E4438"/>
    <w:rsid w:val="000E49D2"/>
    <w:rsid w:val="000E510A"/>
    <w:rsid w:val="000E56C0"/>
    <w:rsid w:val="000E5E72"/>
    <w:rsid w:val="000E614C"/>
    <w:rsid w:val="000E75EC"/>
    <w:rsid w:val="000F20EA"/>
    <w:rsid w:val="000F2325"/>
    <w:rsid w:val="000F3D04"/>
    <w:rsid w:val="000F55A6"/>
    <w:rsid w:val="000F64D4"/>
    <w:rsid w:val="000F704F"/>
    <w:rsid w:val="000F7E0F"/>
    <w:rsid w:val="00104E82"/>
    <w:rsid w:val="00104F7E"/>
    <w:rsid w:val="001054F0"/>
    <w:rsid w:val="001055B8"/>
    <w:rsid w:val="00107EB5"/>
    <w:rsid w:val="00110122"/>
    <w:rsid w:val="00110771"/>
    <w:rsid w:val="001108F5"/>
    <w:rsid w:val="0011131E"/>
    <w:rsid w:val="00111879"/>
    <w:rsid w:val="00111D7E"/>
    <w:rsid w:val="00112425"/>
    <w:rsid w:val="00112D82"/>
    <w:rsid w:val="00112EA9"/>
    <w:rsid w:val="00114208"/>
    <w:rsid w:val="001145B3"/>
    <w:rsid w:val="0011468F"/>
    <w:rsid w:val="00115437"/>
    <w:rsid w:val="00116C78"/>
    <w:rsid w:val="00117B75"/>
    <w:rsid w:val="00117FB9"/>
    <w:rsid w:val="00120909"/>
    <w:rsid w:val="001218CA"/>
    <w:rsid w:val="001229DC"/>
    <w:rsid w:val="00123BF3"/>
    <w:rsid w:val="0012467E"/>
    <w:rsid w:val="00124D5D"/>
    <w:rsid w:val="0012597C"/>
    <w:rsid w:val="0012661B"/>
    <w:rsid w:val="001315A5"/>
    <w:rsid w:val="00131806"/>
    <w:rsid w:val="00131A09"/>
    <w:rsid w:val="001326C8"/>
    <w:rsid w:val="0013369A"/>
    <w:rsid w:val="001339D4"/>
    <w:rsid w:val="001346C1"/>
    <w:rsid w:val="00134C76"/>
    <w:rsid w:val="001359E8"/>
    <w:rsid w:val="00135DD7"/>
    <w:rsid w:val="00136D42"/>
    <w:rsid w:val="00137779"/>
    <w:rsid w:val="001409FD"/>
    <w:rsid w:val="00141243"/>
    <w:rsid w:val="00141D95"/>
    <w:rsid w:val="001420CE"/>
    <w:rsid w:val="001430BC"/>
    <w:rsid w:val="00143C46"/>
    <w:rsid w:val="001445EE"/>
    <w:rsid w:val="00145A60"/>
    <w:rsid w:val="001463C7"/>
    <w:rsid w:val="00146741"/>
    <w:rsid w:val="00150B01"/>
    <w:rsid w:val="0015119D"/>
    <w:rsid w:val="0015233B"/>
    <w:rsid w:val="001533F2"/>
    <w:rsid w:val="00153AE1"/>
    <w:rsid w:val="00155172"/>
    <w:rsid w:val="00155977"/>
    <w:rsid w:val="00156769"/>
    <w:rsid w:val="001570B7"/>
    <w:rsid w:val="0015751F"/>
    <w:rsid w:val="001602D0"/>
    <w:rsid w:val="00162C44"/>
    <w:rsid w:val="00163373"/>
    <w:rsid w:val="00163A46"/>
    <w:rsid w:val="0016461E"/>
    <w:rsid w:val="00170871"/>
    <w:rsid w:val="00170E4D"/>
    <w:rsid w:val="00171DFA"/>
    <w:rsid w:val="00172369"/>
    <w:rsid w:val="001723F5"/>
    <w:rsid w:val="001729B4"/>
    <w:rsid w:val="001734EF"/>
    <w:rsid w:val="00173796"/>
    <w:rsid w:val="00173A28"/>
    <w:rsid w:val="00177038"/>
    <w:rsid w:val="001770D0"/>
    <w:rsid w:val="001778BE"/>
    <w:rsid w:val="00180330"/>
    <w:rsid w:val="001803A7"/>
    <w:rsid w:val="00180462"/>
    <w:rsid w:val="00182AC9"/>
    <w:rsid w:val="0018474E"/>
    <w:rsid w:val="001877F4"/>
    <w:rsid w:val="0019163E"/>
    <w:rsid w:val="00191A82"/>
    <w:rsid w:val="00193F81"/>
    <w:rsid w:val="001942EA"/>
    <w:rsid w:val="00195C11"/>
    <w:rsid w:val="00195EB6"/>
    <w:rsid w:val="00195F29"/>
    <w:rsid w:val="00196E7B"/>
    <w:rsid w:val="001A2D03"/>
    <w:rsid w:val="001A5600"/>
    <w:rsid w:val="001A58DA"/>
    <w:rsid w:val="001A7D4E"/>
    <w:rsid w:val="001B1B88"/>
    <w:rsid w:val="001B2759"/>
    <w:rsid w:val="001B3B42"/>
    <w:rsid w:val="001B53C3"/>
    <w:rsid w:val="001B55B0"/>
    <w:rsid w:val="001B58BF"/>
    <w:rsid w:val="001B635A"/>
    <w:rsid w:val="001B6871"/>
    <w:rsid w:val="001B6FEB"/>
    <w:rsid w:val="001C268A"/>
    <w:rsid w:val="001C2A0B"/>
    <w:rsid w:val="001C2E0F"/>
    <w:rsid w:val="001C5E5F"/>
    <w:rsid w:val="001C6E8A"/>
    <w:rsid w:val="001D0158"/>
    <w:rsid w:val="001D08B3"/>
    <w:rsid w:val="001D28F0"/>
    <w:rsid w:val="001D2C26"/>
    <w:rsid w:val="001D2C34"/>
    <w:rsid w:val="001D365D"/>
    <w:rsid w:val="001D5AB4"/>
    <w:rsid w:val="001D5C4D"/>
    <w:rsid w:val="001E2387"/>
    <w:rsid w:val="001E2EE5"/>
    <w:rsid w:val="001E3C88"/>
    <w:rsid w:val="001E4389"/>
    <w:rsid w:val="001E567A"/>
    <w:rsid w:val="001E580E"/>
    <w:rsid w:val="001E701C"/>
    <w:rsid w:val="001E7103"/>
    <w:rsid w:val="001E7503"/>
    <w:rsid w:val="001F12D9"/>
    <w:rsid w:val="001F1E6D"/>
    <w:rsid w:val="001F2AA0"/>
    <w:rsid w:val="001F2CA8"/>
    <w:rsid w:val="001F446F"/>
    <w:rsid w:val="001F5B8D"/>
    <w:rsid w:val="001F69FB"/>
    <w:rsid w:val="001F756D"/>
    <w:rsid w:val="001F7C58"/>
    <w:rsid w:val="001F7CE7"/>
    <w:rsid w:val="001F7DF2"/>
    <w:rsid w:val="00200961"/>
    <w:rsid w:val="00202FCC"/>
    <w:rsid w:val="00204C3B"/>
    <w:rsid w:val="00205765"/>
    <w:rsid w:val="00206ABD"/>
    <w:rsid w:val="0021103C"/>
    <w:rsid w:val="00212291"/>
    <w:rsid w:val="00212779"/>
    <w:rsid w:val="00213030"/>
    <w:rsid w:val="002142BE"/>
    <w:rsid w:val="00214361"/>
    <w:rsid w:val="0021592C"/>
    <w:rsid w:val="00217488"/>
    <w:rsid w:val="00220821"/>
    <w:rsid w:val="002215DB"/>
    <w:rsid w:val="002238F0"/>
    <w:rsid w:val="00225019"/>
    <w:rsid w:val="00225B93"/>
    <w:rsid w:val="00227698"/>
    <w:rsid w:val="00230F57"/>
    <w:rsid w:val="00234531"/>
    <w:rsid w:val="002348C5"/>
    <w:rsid w:val="0023544A"/>
    <w:rsid w:val="00236435"/>
    <w:rsid w:val="00242382"/>
    <w:rsid w:val="0024291D"/>
    <w:rsid w:val="00243D7C"/>
    <w:rsid w:val="0024516F"/>
    <w:rsid w:val="002451B2"/>
    <w:rsid w:val="0024537E"/>
    <w:rsid w:val="00245B9C"/>
    <w:rsid w:val="0024687B"/>
    <w:rsid w:val="002468BB"/>
    <w:rsid w:val="0024752A"/>
    <w:rsid w:val="00250426"/>
    <w:rsid w:val="00250DCF"/>
    <w:rsid w:val="002511C7"/>
    <w:rsid w:val="00251954"/>
    <w:rsid w:val="00252123"/>
    <w:rsid w:val="00252A35"/>
    <w:rsid w:val="00253276"/>
    <w:rsid w:val="00255700"/>
    <w:rsid w:val="00255C1A"/>
    <w:rsid w:val="0025776C"/>
    <w:rsid w:val="002577EA"/>
    <w:rsid w:val="002627DD"/>
    <w:rsid w:val="00263CDE"/>
    <w:rsid w:val="0026413B"/>
    <w:rsid w:val="002643B9"/>
    <w:rsid w:val="00264A39"/>
    <w:rsid w:val="00264D18"/>
    <w:rsid w:val="002669A7"/>
    <w:rsid w:val="00266ACC"/>
    <w:rsid w:val="00267808"/>
    <w:rsid w:val="00267935"/>
    <w:rsid w:val="00267BDC"/>
    <w:rsid w:val="00271903"/>
    <w:rsid w:val="00271A9C"/>
    <w:rsid w:val="002723B4"/>
    <w:rsid w:val="00277108"/>
    <w:rsid w:val="002773CD"/>
    <w:rsid w:val="0028020A"/>
    <w:rsid w:val="002812C5"/>
    <w:rsid w:val="002825C2"/>
    <w:rsid w:val="002853B1"/>
    <w:rsid w:val="00286B38"/>
    <w:rsid w:val="00287005"/>
    <w:rsid w:val="00290652"/>
    <w:rsid w:val="00290E42"/>
    <w:rsid w:val="002912C8"/>
    <w:rsid w:val="002922B8"/>
    <w:rsid w:val="00293B19"/>
    <w:rsid w:val="002973DD"/>
    <w:rsid w:val="00297A1F"/>
    <w:rsid w:val="00297A25"/>
    <w:rsid w:val="002A2970"/>
    <w:rsid w:val="002A3347"/>
    <w:rsid w:val="002A43B3"/>
    <w:rsid w:val="002A69B4"/>
    <w:rsid w:val="002A7C9A"/>
    <w:rsid w:val="002B0891"/>
    <w:rsid w:val="002B12EE"/>
    <w:rsid w:val="002B15CF"/>
    <w:rsid w:val="002B253B"/>
    <w:rsid w:val="002B3583"/>
    <w:rsid w:val="002B3823"/>
    <w:rsid w:val="002B40CC"/>
    <w:rsid w:val="002B56CE"/>
    <w:rsid w:val="002B5CF1"/>
    <w:rsid w:val="002B6FBA"/>
    <w:rsid w:val="002C1FB0"/>
    <w:rsid w:val="002C2BDA"/>
    <w:rsid w:val="002C2E37"/>
    <w:rsid w:val="002C3FA9"/>
    <w:rsid w:val="002C429F"/>
    <w:rsid w:val="002C5531"/>
    <w:rsid w:val="002C5573"/>
    <w:rsid w:val="002C5917"/>
    <w:rsid w:val="002C609E"/>
    <w:rsid w:val="002C6950"/>
    <w:rsid w:val="002D0134"/>
    <w:rsid w:val="002D10F7"/>
    <w:rsid w:val="002D1F33"/>
    <w:rsid w:val="002D20CB"/>
    <w:rsid w:val="002D21B8"/>
    <w:rsid w:val="002D4BF5"/>
    <w:rsid w:val="002D5F4E"/>
    <w:rsid w:val="002D64E4"/>
    <w:rsid w:val="002D6661"/>
    <w:rsid w:val="002D68A1"/>
    <w:rsid w:val="002D6B73"/>
    <w:rsid w:val="002D703A"/>
    <w:rsid w:val="002D7F63"/>
    <w:rsid w:val="002E2027"/>
    <w:rsid w:val="002E2E72"/>
    <w:rsid w:val="002E3B94"/>
    <w:rsid w:val="002E3D1D"/>
    <w:rsid w:val="002E4626"/>
    <w:rsid w:val="002E5329"/>
    <w:rsid w:val="002E612B"/>
    <w:rsid w:val="002F0897"/>
    <w:rsid w:val="002F4EB5"/>
    <w:rsid w:val="002F668E"/>
    <w:rsid w:val="002F6744"/>
    <w:rsid w:val="00300506"/>
    <w:rsid w:val="003010BA"/>
    <w:rsid w:val="003011E3"/>
    <w:rsid w:val="003031BE"/>
    <w:rsid w:val="0030382E"/>
    <w:rsid w:val="00305C99"/>
    <w:rsid w:val="00305CA6"/>
    <w:rsid w:val="00306E8E"/>
    <w:rsid w:val="0030747E"/>
    <w:rsid w:val="00307D2C"/>
    <w:rsid w:val="0031237C"/>
    <w:rsid w:val="0031333E"/>
    <w:rsid w:val="0031372E"/>
    <w:rsid w:val="00313B27"/>
    <w:rsid w:val="00315401"/>
    <w:rsid w:val="00315687"/>
    <w:rsid w:val="00315CD2"/>
    <w:rsid w:val="00316216"/>
    <w:rsid w:val="00317C4E"/>
    <w:rsid w:val="00317E96"/>
    <w:rsid w:val="0032197F"/>
    <w:rsid w:val="00322EF4"/>
    <w:rsid w:val="00326892"/>
    <w:rsid w:val="0032769C"/>
    <w:rsid w:val="00330183"/>
    <w:rsid w:val="00330562"/>
    <w:rsid w:val="003305F5"/>
    <w:rsid w:val="00330C16"/>
    <w:rsid w:val="003339BF"/>
    <w:rsid w:val="00335396"/>
    <w:rsid w:val="00335D21"/>
    <w:rsid w:val="00336247"/>
    <w:rsid w:val="00336762"/>
    <w:rsid w:val="00336D5B"/>
    <w:rsid w:val="00337358"/>
    <w:rsid w:val="0033782A"/>
    <w:rsid w:val="00340696"/>
    <w:rsid w:val="00340BD2"/>
    <w:rsid w:val="0034187D"/>
    <w:rsid w:val="00344EA8"/>
    <w:rsid w:val="00346019"/>
    <w:rsid w:val="00347225"/>
    <w:rsid w:val="00350590"/>
    <w:rsid w:val="0035210B"/>
    <w:rsid w:val="0035445C"/>
    <w:rsid w:val="003555F5"/>
    <w:rsid w:val="00356A73"/>
    <w:rsid w:val="00361314"/>
    <w:rsid w:val="00363493"/>
    <w:rsid w:val="00364A27"/>
    <w:rsid w:val="00364A2C"/>
    <w:rsid w:val="00364E49"/>
    <w:rsid w:val="0036640C"/>
    <w:rsid w:val="00367A65"/>
    <w:rsid w:val="00370265"/>
    <w:rsid w:val="00370394"/>
    <w:rsid w:val="0037148B"/>
    <w:rsid w:val="00373002"/>
    <w:rsid w:val="0037369D"/>
    <w:rsid w:val="00374390"/>
    <w:rsid w:val="003765F0"/>
    <w:rsid w:val="00377ACB"/>
    <w:rsid w:val="00377D04"/>
    <w:rsid w:val="00377EAA"/>
    <w:rsid w:val="003803CB"/>
    <w:rsid w:val="00383283"/>
    <w:rsid w:val="003851CC"/>
    <w:rsid w:val="0038797A"/>
    <w:rsid w:val="00387C45"/>
    <w:rsid w:val="0039103A"/>
    <w:rsid w:val="00391250"/>
    <w:rsid w:val="00393644"/>
    <w:rsid w:val="0039496D"/>
    <w:rsid w:val="00396157"/>
    <w:rsid w:val="003978B8"/>
    <w:rsid w:val="003A0FA7"/>
    <w:rsid w:val="003A1BDF"/>
    <w:rsid w:val="003A24EE"/>
    <w:rsid w:val="003A5B60"/>
    <w:rsid w:val="003A6EB9"/>
    <w:rsid w:val="003B0891"/>
    <w:rsid w:val="003B0A34"/>
    <w:rsid w:val="003B3F3D"/>
    <w:rsid w:val="003B5853"/>
    <w:rsid w:val="003B5BF8"/>
    <w:rsid w:val="003B7243"/>
    <w:rsid w:val="003B75EC"/>
    <w:rsid w:val="003C0D6F"/>
    <w:rsid w:val="003C3573"/>
    <w:rsid w:val="003C3985"/>
    <w:rsid w:val="003C4380"/>
    <w:rsid w:val="003C4F93"/>
    <w:rsid w:val="003C50F5"/>
    <w:rsid w:val="003C5AFB"/>
    <w:rsid w:val="003C6B0D"/>
    <w:rsid w:val="003C6B51"/>
    <w:rsid w:val="003D1AD1"/>
    <w:rsid w:val="003D1F64"/>
    <w:rsid w:val="003D45F9"/>
    <w:rsid w:val="003D4CC5"/>
    <w:rsid w:val="003D61B0"/>
    <w:rsid w:val="003D6989"/>
    <w:rsid w:val="003D7340"/>
    <w:rsid w:val="003E4DEC"/>
    <w:rsid w:val="003E564B"/>
    <w:rsid w:val="003E5A3D"/>
    <w:rsid w:val="003E64EF"/>
    <w:rsid w:val="003E7823"/>
    <w:rsid w:val="003E7CAE"/>
    <w:rsid w:val="003E7D87"/>
    <w:rsid w:val="003F246D"/>
    <w:rsid w:val="003F40E6"/>
    <w:rsid w:val="003F5115"/>
    <w:rsid w:val="003F5842"/>
    <w:rsid w:val="003F666A"/>
    <w:rsid w:val="003F7800"/>
    <w:rsid w:val="003F7D2E"/>
    <w:rsid w:val="00400F91"/>
    <w:rsid w:val="0040292B"/>
    <w:rsid w:val="00402B12"/>
    <w:rsid w:val="00404A3E"/>
    <w:rsid w:val="00410280"/>
    <w:rsid w:val="00410D8A"/>
    <w:rsid w:val="00412BFD"/>
    <w:rsid w:val="004133C1"/>
    <w:rsid w:val="00413E6D"/>
    <w:rsid w:val="00413FB8"/>
    <w:rsid w:val="00417789"/>
    <w:rsid w:val="004179C8"/>
    <w:rsid w:val="00417A87"/>
    <w:rsid w:val="00417AE5"/>
    <w:rsid w:val="004201D3"/>
    <w:rsid w:val="00421015"/>
    <w:rsid w:val="004221BC"/>
    <w:rsid w:val="004223BE"/>
    <w:rsid w:val="00423A8F"/>
    <w:rsid w:val="0042448D"/>
    <w:rsid w:val="004316AE"/>
    <w:rsid w:val="004328DA"/>
    <w:rsid w:val="004331C0"/>
    <w:rsid w:val="004335B1"/>
    <w:rsid w:val="004344DF"/>
    <w:rsid w:val="00434CC5"/>
    <w:rsid w:val="004366A5"/>
    <w:rsid w:val="0044061E"/>
    <w:rsid w:val="00441D65"/>
    <w:rsid w:val="00444ACE"/>
    <w:rsid w:val="00446445"/>
    <w:rsid w:val="0044777E"/>
    <w:rsid w:val="00450BD3"/>
    <w:rsid w:val="00452DEB"/>
    <w:rsid w:val="00453105"/>
    <w:rsid w:val="00454584"/>
    <w:rsid w:val="0045476C"/>
    <w:rsid w:val="00454896"/>
    <w:rsid w:val="00454A9F"/>
    <w:rsid w:val="00455FFB"/>
    <w:rsid w:val="004561A6"/>
    <w:rsid w:val="0045641B"/>
    <w:rsid w:val="00456B72"/>
    <w:rsid w:val="00456D16"/>
    <w:rsid w:val="00456DDE"/>
    <w:rsid w:val="004571B1"/>
    <w:rsid w:val="0046003F"/>
    <w:rsid w:val="004604B9"/>
    <w:rsid w:val="004604CA"/>
    <w:rsid w:val="0046359A"/>
    <w:rsid w:val="004644A0"/>
    <w:rsid w:val="00466E5C"/>
    <w:rsid w:val="00467223"/>
    <w:rsid w:val="00470183"/>
    <w:rsid w:val="004701A6"/>
    <w:rsid w:val="00470B6C"/>
    <w:rsid w:val="0047103F"/>
    <w:rsid w:val="00471A12"/>
    <w:rsid w:val="00471F5D"/>
    <w:rsid w:val="00472DF8"/>
    <w:rsid w:val="004733F2"/>
    <w:rsid w:val="004734C1"/>
    <w:rsid w:val="00473AB4"/>
    <w:rsid w:val="00474287"/>
    <w:rsid w:val="0047453D"/>
    <w:rsid w:val="00474A1F"/>
    <w:rsid w:val="00474E32"/>
    <w:rsid w:val="00477721"/>
    <w:rsid w:val="00477C3D"/>
    <w:rsid w:val="00480CFA"/>
    <w:rsid w:val="00481266"/>
    <w:rsid w:val="004820B3"/>
    <w:rsid w:val="00482112"/>
    <w:rsid w:val="00483468"/>
    <w:rsid w:val="0048363A"/>
    <w:rsid w:val="00484C78"/>
    <w:rsid w:val="00485441"/>
    <w:rsid w:val="00486216"/>
    <w:rsid w:val="00486718"/>
    <w:rsid w:val="004877E9"/>
    <w:rsid w:val="0049048E"/>
    <w:rsid w:val="00490503"/>
    <w:rsid w:val="00490518"/>
    <w:rsid w:val="0049248C"/>
    <w:rsid w:val="00494585"/>
    <w:rsid w:val="00495A91"/>
    <w:rsid w:val="00497CED"/>
    <w:rsid w:val="004A24C1"/>
    <w:rsid w:val="004A2961"/>
    <w:rsid w:val="004A2B73"/>
    <w:rsid w:val="004A2D3D"/>
    <w:rsid w:val="004A32BC"/>
    <w:rsid w:val="004A43E8"/>
    <w:rsid w:val="004A51E4"/>
    <w:rsid w:val="004A5D42"/>
    <w:rsid w:val="004A6A02"/>
    <w:rsid w:val="004B0773"/>
    <w:rsid w:val="004B0EE5"/>
    <w:rsid w:val="004B18B2"/>
    <w:rsid w:val="004B3E96"/>
    <w:rsid w:val="004B543F"/>
    <w:rsid w:val="004C00BA"/>
    <w:rsid w:val="004C11ED"/>
    <w:rsid w:val="004C2E1A"/>
    <w:rsid w:val="004C376B"/>
    <w:rsid w:val="004C393C"/>
    <w:rsid w:val="004C5F1C"/>
    <w:rsid w:val="004C6B4C"/>
    <w:rsid w:val="004C72DA"/>
    <w:rsid w:val="004D0DB0"/>
    <w:rsid w:val="004D18DF"/>
    <w:rsid w:val="004D2001"/>
    <w:rsid w:val="004D5F4C"/>
    <w:rsid w:val="004D7194"/>
    <w:rsid w:val="004D7B5A"/>
    <w:rsid w:val="004E1F41"/>
    <w:rsid w:val="004E2DDD"/>
    <w:rsid w:val="004E41A4"/>
    <w:rsid w:val="004E4872"/>
    <w:rsid w:val="004F13B4"/>
    <w:rsid w:val="004F19B4"/>
    <w:rsid w:val="004F1AA7"/>
    <w:rsid w:val="004F38BB"/>
    <w:rsid w:val="004F4671"/>
    <w:rsid w:val="004F6EE3"/>
    <w:rsid w:val="004F708E"/>
    <w:rsid w:val="00500902"/>
    <w:rsid w:val="00500F19"/>
    <w:rsid w:val="00501E5F"/>
    <w:rsid w:val="0050352B"/>
    <w:rsid w:val="00503B44"/>
    <w:rsid w:val="005040D7"/>
    <w:rsid w:val="005048CC"/>
    <w:rsid w:val="00505FB1"/>
    <w:rsid w:val="0050698E"/>
    <w:rsid w:val="005105A0"/>
    <w:rsid w:val="005118B3"/>
    <w:rsid w:val="00515405"/>
    <w:rsid w:val="005161CD"/>
    <w:rsid w:val="00516F8B"/>
    <w:rsid w:val="00517BBA"/>
    <w:rsid w:val="00520307"/>
    <w:rsid w:val="00520635"/>
    <w:rsid w:val="00521668"/>
    <w:rsid w:val="005217C7"/>
    <w:rsid w:val="00522489"/>
    <w:rsid w:val="00523148"/>
    <w:rsid w:val="00523AF2"/>
    <w:rsid w:val="00524508"/>
    <w:rsid w:val="00524FCE"/>
    <w:rsid w:val="00525732"/>
    <w:rsid w:val="00525C02"/>
    <w:rsid w:val="00526DC0"/>
    <w:rsid w:val="005270CF"/>
    <w:rsid w:val="00527FBB"/>
    <w:rsid w:val="00530592"/>
    <w:rsid w:val="00531279"/>
    <w:rsid w:val="00531390"/>
    <w:rsid w:val="00532790"/>
    <w:rsid w:val="00533EC4"/>
    <w:rsid w:val="00534CDF"/>
    <w:rsid w:val="005368BA"/>
    <w:rsid w:val="00540917"/>
    <w:rsid w:val="00540E64"/>
    <w:rsid w:val="00542AA5"/>
    <w:rsid w:val="005444E2"/>
    <w:rsid w:val="00546705"/>
    <w:rsid w:val="00547716"/>
    <w:rsid w:val="00551FAB"/>
    <w:rsid w:val="00553D36"/>
    <w:rsid w:val="0055469E"/>
    <w:rsid w:val="005547FC"/>
    <w:rsid w:val="00555C28"/>
    <w:rsid w:val="00556864"/>
    <w:rsid w:val="00557660"/>
    <w:rsid w:val="00557C73"/>
    <w:rsid w:val="005619F1"/>
    <w:rsid w:val="00561A29"/>
    <w:rsid w:val="005622A5"/>
    <w:rsid w:val="005650D0"/>
    <w:rsid w:val="00570197"/>
    <w:rsid w:val="005710EF"/>
    <w:rsid w:val="005712F1"/>
    <w:rsid w:val="00571C1E"/>
    <w:rsid w:val="00571F7D"/>
    <w:rsid w:val="00571FEC"/>
    <w:rsid w:val="00573692"/>
    <w:rsid w:val="005739B7"/>
    <w:rsid w:val="00574EDF"/>
    <w:rsid w:val="005753B9"/>
    <w:rsid w:val="00575582"/>
    <w:rsid w:val="005766CF"/>
    <w:rsid w:val="00576E8B"/>
    <w:rsid w:val="0057711B"/>
    <w:rsid w:val="00580D48"/>
    <w:rsid w:val="00585A93"/>
    <w:rsid w:val="00586EA7"/>
    <w:rsid w:val="00587709"/>
    <w:rsid w:val="00590F62"/>
    <w:rsid w:val="005910F6"/>
    <w:rsid w:val="005917FC"/>
    <w:rsid w:val="00592059"/>
    <w:rsid w:val="00594628"/>
    <w:rsid w:val="005953F6"/>
    <w:rsid w:val="005A0F8C"/>
    <w:rsid w:val="005A14E9"/>
    <w:rsid w:val="005A2AC8"/>
    <w:rsid w:val="005A3AEB"/>
    <w:rsid w:val="005A3C24"/>
    <w:rsid w:val="005A3D64"/>
    <w:rsid w:val="005A3F31"/>
    <w:rsid w:val="005A6A28"/>
    <w:rsid w:val="005A7840"/>
    <w:rsid w:val="005B094B"/>
    <w:rsid w:val="005B0EFB"/>
    <w:rsid w:val="005B0FA3"/>
    <w:rsid w:val="005B2F6B"/>
    <w:rsid w:val="005B3D94"/>
    <w:rsid w:val="005B6384"/>
    <w:rsid w:val="005B63F2"/>
    <w:rsid w:val="005B705E"/>
    <w:rsid w:val="005C096E"/>
    <w:rsid w:val="005C0B19"/>
    <w:rsid w:val="005C14DA"/>
    <w:rsid w:val="005C2119"/>
    <w:rsid w:val="005C4C81"/>
    <w:rsid w:val="005C687A"/>
    <w:rsid w:val="005C7EF2"/>
    <w:rsid w:val="005D16DE"/>
    <w:rsid w:val="005D2B59"/>
    <w:rsid w:val="005D4A51"/>
    <w:rsid w:val="005D4C59"/>
    <w:rsid w:val="005D5F1C"/>
    <w:rsid w:val="005D61A7"/>
    <w:rsid w:val="005D638C"/>
    <w:rsid w:val="005D7A15"/>
    <w:rsid w:val="005D7DAF"/>
    <w:rsid w:val="005D7DF7"/>
    <w:rsid w:val="005D7FBB"/>
    <w:rsid w:val="005E6A72"/>
    <w:rsid w:val="005E7671"/>
    <w:rsid w:val="005E784B"/>
    <w:rsid w:val="005F035D"/>
    <w:rsid w:val="005F25E9"/>
    <w:rsid w:val="005F3FC9"/>
    <w:rsid w:val="005F4CB9"/>
    <w:rsid w:val="005F4DCE"/>
    <w:rsid w:val="005F775C"/>
    <w:rsid w:val="005F7A1F"/>
    <w:rsid w:val="005F7D04"/>
    <w:rsid w:val="00601040"/>
    <w:rsid w:val="006023B8"/>
    <w:rsid w:val="0060600B"/>
    <w:rsid w:val="00607D1A"/>
    <w:rsid w:val="00614580"/>
    <w:rsid w:val="006171D9"/>
    <w:rsid w:val="00617452"/>
    <w:rsid w:val="006202FF"/>
    <w:rsid w:val="00620D78"/>
    <w:rsid w:val="00621153"/>
    <w:rsid w:val="006221E1"/>
    <w:rsid w:val="006232C9"/>
    <w:rsid w:val="00623E3C"/>
    <w:rsid w:val="00624DD8"/>
    <w:rsid w:val="006253F0"/>
    <w:rsid w:val="00626A38"/>
    <w:rsid w:val="00626E08"/>
    <w:rsid w:val="00627432"/>
    <w:rsid w:val="00632C6F"/>
    <w:rsid w:val="00633E7F"/>
    <w:rsid w:val="00634CCB"/>
    <w:rsid w:val="00636CD1"/>
    <w:rsid w:val="00637AD0"/>
    <w:rsid w:val="00641B16"/>
    <w:rsid w:val="00641E35"/>
    <w:rsid w:val="00642F0A"/>
    <w:rsid w:val="0064374A"/>
    <w:rsid w:val="00643795"/>
    <w:rsid w:val="00643E50"/>
    <w:rsid w:val="00645A9C"/>
    <w:rsid w:val="00647B53"/>
    <w:rsid w:val="006504AA"/>
    <w:rsid w:val="00650599"/>
    <w:rsid w:val="006510CC"/>
    <w:rsid w:val="006521AB"/>
    <w:rsid w:val="006522CA"/>
    <w:rsid w:val="0065297D"/>
    <w:rsid w:val="006558AF"/>
    <w:rsid w:val="00656AED"/>
    <w:rsid w:val="00657C1D"/>
    <w:rsid w:val="006608A3"/>
    <w:rsid w:val="006620F2"/>
    <w:rsid w:val="00662456"/>
    <w:rsid w:val="006625BA"/>
    <w:rsid w:val="00662AB0"/>
    <w:rsid w:val="0066315A"/>
    <w:rsid w:val="0066323A"/>
    <w:rsid w:val="00664359"/>
    <w:rsid w:val="006677B6"/>
    <w:rsid w:val="00670830"/>
    <w:rsid w:val="006732D0"/>
    <w:rsid w:val="00674321"/>
    <w:rsid w:val="006754ED"/>
    <w:rsid w:val="00676937"/>
    <w:rsid w:val="00676B6D"/>
    <w:rsid w:val="00677B79"/>
    <w:rsid w:val="0068121E"/>
    <w:rsid w:val="00682B4D"/>
    <w:rsid w:val="00682B62"/>
    <w:rsid w:val="00683138"/>
    <w:rsid w:val="006879AE"/>
    <w:rsid w:val="0069018D"/>
    <w:rsid w:val="0069089C"/>
    <w:rsid w:val="00690B81"/>
    <w:rsid w:val="0069193B"/>
    <w:rsid w:val="00694963"/>
    <w:rsid w:val="00695802"/>
    <w:rsid w:val="00695A4B"/>
    <w:rsid w:val="006967A4"/>
    <w:rsid w:val="00697880"/>
    <w:rsid w:val="006A047F"/>
    <w:rsid w:val="006A0EF1"/>
    <w:rsid w:val="006A1161"/>
    <w:rsid w:val="006A13FF"/>
    <w:rsid w:val="006A1B6F"/>
    <w:rsid w:val="006A1DD3"/>
    <w:rsid w:val="006A2655"/>
    <w:rsid w:val="006A2F66"/>
    <w:rsid w:val="006A2F7F"/>
    <w:rsid w:val="006A7C67"/>
    <w:rsid w:val="006B01E4"/>
    <w:rsid w:val="006B093E"/>
    <w:rsid w:val="006B1A43"/>
    <w:rsid w:val="006B1B62"/>
    <w:rsid w:val="006B2471"/>
    <w:rsid w:val="006B3565"/>
    <w:rsid w:val="006B4194"/>
    <w:rsid w:val="006B4AB2"/>
    <w:rsid w:val="006B55F8"/>
    <w:rsid w:val="006B5747"/>
    <w:rsid w:val="006B67DC"/>
    <w:rsid w:val="006B684A"/>
    <w:rsid w:val="006C0F47"/>
    <w:rsid w:val="006C146E"/>
    <w:rsid w:val="006C1874"/>
    <w:rsid w:val="006C1D93"/>
    <w:rsid w:val="006C2389"/>
    <w:rsid w:val="006C3D88"/>
    <w:rsid w:val="006C449D"/>
    <w:rsid w:val="006C5450"/>
    <w:rsid w:val="006C5F1C"/>
    <w:rsid w:val="006C6109"/>
    <w:rsid w:val="006C63D0"/>
    <w:rsid w:val="006C7005"/>
    <w:rsid w:val="006C77FE"/>
    <w:rsid w:val="006C784B"/>
    <w:rsid w:val="006C7B87"/>
    <w:rsid w:val="006D0816"/>
    <w:rsid w:val="006D25E7"/>
    <w:rsid w:val="006D31D8"/>
    <w:rsid w:val="006D4240"/>
    <w:rsid w:val="006D56EC"/>
    <w:rsid w:val="006D6874"/>
    <w:rsid w:val="006D6CBF"/>
    <w:rsid w:val="006D6DFB"/>
    <w:rsid w:val="006E1455"/>
    <w:rsid w:val="006E535D"/>
    <w:rsid w:val="006E62F1"/>
    <w:rsid w:val="006F0FE0"/>
    <w:rsid w:val="006F13D0"/>
    <w:rsid w:val="006F155B"/>
    <w:rsid w:val="006F3E6A"/>
    <w:rsid w:val="006F53A9"/>
    <w:rsid w:val="006F585E"/>
    <w:rsid w:val="006F5B93"/>
    <w:rsid w:val="006F5C44"/>
    <w:rsid w:val="006F67E0"/>
    <w:rsid w:val="0070024A"/>
    <w:rsid w:val="00700A97"/>
    <w:rsid w:val="00701436"/>
    <w:rsid w:val="00702F99"/>
    <w:rsid w:val="00703136"/>
    <w:rsid w:val="00703B76"/>
    <w:rsid w:val="00703C36"/>
    <w:rsid w:val="007062B4"/>
    <w:rsid w:val="00706BC5"/>
    <w:rsid w:val="00710364"/>
    <w:rsid w:val="00713D13"/>
    <w:rsid w:val="00713EDC"/>
    <w:rsid w:val="007145FB"/>
    <w:rsid w:val="00715C80"/>
    <w:rsid w:val="00720DD8"/>
    <w:rsid w:val="00721EF4"/>
    <w:rsid w:val="007238CC"/>
    <w:rsid w:val="00723DD8"/>
    <w:rsid w:val="007247CD"/>
    <w:rsid w:val="00725F20"/>
    <w:rsid w:val="00727BE3"/>
    <w:rsid w:val="007304CE"/>
    <w:rsid w:val="0073077C"/>
    <w:rsid w:val="00730D19"/>
    <w:rsid w:val="007337C9"/>
    <w:rsid w:val="00736509"/>
    <w:rsid w:val="00736BF0"/>
    <w:rsid w:val="00737506"/>
    <w:rsid w:val="00740BAC"/>
    <w:rsid w:val="007410DE"/>
    <w:rsid w:val="007410E4"/>
    <w:rsid w:val="00741361"/>
    <w:rsid w:val="0074262F"/>
    <w:rsid w:val="0074425F"/>
    <w:rsid w:val="00744AC5"/>
    <w:rsid w:val="00744C9D"/>
    <w:rsid w:val="007452C3"/>
    <w:rsid w:val="007460CD"/>
    <w:rsid w:val="00746F6C"/>
    <w:rsid w:val="007475E6"/>
    <w:rsid w:val="00747FE2"/>
    <w:rsid w:val="00750723"/>
    <w:rsid w:val="007538E9"/>
    <w:rsid w:val="00754605"/>
    <w:rsid w:val="00754A0E"/>
    <w:rsid w:val="00754B15"/>
    <w:rsid w:val="00754D35"/>
    <w:rsid w:val="00756F71"/>
    <w:rsid w:val="00757502"/>
    <w:rsid w:val="00757B85"/>
    <w:rsid w:val="007603FE"/>
    <w:rsid w:val="007629BD"/>
    <w:rsid w:val="00762B68"/>
    <w:rsid w:val="00762B89"/>
    <w:rsid w:val="00762CE2"/>
    <w:rsid w:val="00762D65"/>
    <w:rsid w:val="00763D91"/>
    <w:rsid w:val="00763EE0"/>
    <w:rsid w:val="007642BE"/>
    <w:rsid w:val="007643F5"/>
    <w:rsid w:val="00765D60"/>
    <w:rsid w:val="007676EF"/>
    <w:rsid w:val="007700DE"/>
    <w:rsid w:val="007705C4"/>
    <w:rsid w:val="007706C4"/>
    <w:rsid w:val="00770970"/>
    <w:rsid w:val="00770D76"/>
    <w:rsid w:val="00771EC7"/>
    <w:rsid w:val="007736F1"/>
    <w:rsid w:val="00773EB1"/>
    <w:rsid w:val="007767B7"/>
    <w:rsid w:val="00776840"/>
    <w:rsid w:val="00776924"/>
    <w:rsid w:val="00781E5D"/>
    <w:rsid w:val="00782DB2"/>
    <w:rsid w:val="0078360E"/>
    <w:rsid w:val="00783806"/>
    <w:rsid w:val="0078383C"/>
    <w:rsid w:val="0078450C"/>
    <w:rsid w:val="00786C56"/>
    <w:rsid w:val="007903C5"/>
    <w:rsid w:val="00791488"/>
    <w:rsid w:val="00791845"/>
    <w:rsid w:val="00793356"/>
    <w:rsid w:val="00793ED3"/>
    <w:rsid w:val="00795A58"/>
    <w:rsid w:val="00796634"/>
    <w:rsid w:val="00797ADA"/>
    <w:rsid w:val="007A21F3"/>
    <w:rsid w:val="007A395A"/>
    <w:rsid w:val="007A4A9D"/>
    <w:rsid w:val="007A59D3"/>
    <w:rsid w:val="007B0065"/>
    <w:rsid w:val="007B1328"/>
    <w:rsid w:val="007B2366"/>
    <w:rsid w:val="007B250F"/>
    <w:rsid w:val="007B2C5F"/>
    <w:rsid w:val="007B61FE"/>
    <w:rsid w:val="007B7EFA"/>
    <w:rsid w:val="007C06A5"/>
    <w:rsid w:val="007C0B6C"/>
    <w:rsid w:val="007C0DBE"/>
    <w:rsid w:val="007C2BF6"/>
    <w:rsid w:val="007C3054"/>
    <w:rsid w:val="007C30E0"/>
    <w:rsid w:val="007C32FA"/>
    <w:rsid w:val="007C4D0F"/>
    <w:rsid w:val="007C581B"/>
    <w:rsid w:val="007C5ACD"/>
    <w:rsid w:val="007D090F"/>
    <w:rsid w:val="007D104B"/>
    <w:rsid w:val="007D26F4"/>
    <w:rsid w:val="007D2D2E"/>
    <w:rsid w:val="007D3741"/>
    <w:rsid w:val="007D4072"/>
    <w:rsid w:val="007D49A1"/>
    <w:rsid w:val="007D4B23"/>
    <w:rsid w:val="007D6451"/>
    <w:rsid w:val="007E2A73"/>
    <w:rsid w:val="007E2A80"/>
    <w:rsid w:val="007E49ED"/>
    <w:rsid w:val="007E5D10"/>
    <w:rsid w:val="007E6CA4"/>
    <w:rsid w:val="007E7521"/>
    <w:rsid w:val="007E7A56"/>
    <w:rsid w:val="007E7E2B"/>
    <w:rsid w:val="007F002D"/>
    <w:rsid w:val="007F2112"/>
    <w:rsid w:val="007F2BEF"/>
    <w:rsid w:val="007F3D19"/>
    <w:rsid w:val="007F56BA"/>
    <w:rsid w:val="007F6822"/>
    <w:rsid w:val="007F7642"/>
    <w:rsid w:val="008015E3"/>
    <w:rsid w:val="008017BF"/>
    <w:rsid w:val="00802D5B"/>
    <w:rsid w:val="008034C7"/>
    <w:rsid w:val="008044C3"/>
    <w:rsid w:val="00804C0C"/>
    <w:rsid w:val="008050BF"/>
    <w:rsid w:val="0080519A"/>
    <w:rsid w:val="008063A0"/>
    <w:rsid w:val="00807867"/>
    <w:rsid w:val="00811AEA"/>
    <w:rsid w:val="0081258F"/>
    <w:rsid w:val="00812F42"/>
    <w:rsid w:val="00813119"/>
    <w:rsid w:val="00813980"/>
    <w:rsid w:val="00814B5B"/>
    <w:rsid w:val="00814CB0"/>
    <w:rsid w:val="008179DF"/>
    <w:rsid w:val="00817A7B"/>
    <w:rsid w:val="0082014D"/>
    <w:rsid w:val="008218F2"/>
    <w:rsid w:val="0082194D"/>
    <w:rsid w:val="00821A17"/>
    <w:rsid w:val="00822723"/>
    <w:rsid w:val="00823470"/>
    <w:rsid w:val="00824133"/>
    <w:rsid w:val="00825C0F"/>
    <w:rsid w:val="00830674"/>
    <w:rsid w:val="00830E25"/>
    <w:rsid w:val="008321B6"/>
    <w:rsid w:val="00832D80"/>
    <w:rsid w:val="0083303D"/>
    <w:rsid w:val="0083562A"/>
    <w:rsid w:val="0083658A"/>
    <w:rsid w:val="0083664F"/>
    <w:rsid w:val="00836A96"/>
    <w:rsid w:val="008372B6"/>
    <w:rsid w:val="0084250C"/>
    <w:rsid w:val="00845139"/>
    <w:rsid w:val="00845368"/>
    <w:rsid w:val="008453BD"/>
    <w:rsid w:val="00845485"/>
    <w:rsid w:val="00846220"/>
    <w:rsid w:val="00846893"/>
    <w:rsid w:val="008471CC"/>
    <w:rsid w:val="008475F8"/>
    <w:rsid w:val="00850AC5"/>
    <w:rsid w:val="008512C1"/>
    <w:rsid w:val="00851C5C"/>
    <w:rsid w:val="008553BC"/>
    <w:rsid w:val="00855714"/>
    <w:rsid w:val="0085738F"/>
    <w:rsid w:val="008573E8"/>
    <w:rsid w:val="00857C14"/>
    <w:rsid w:val="008618E5"/>
    <w:rsid w:val="00861B03"/>
    <w:rsid w:val="00862239"/>
    <w:rsid w:val="00866501"/>
    <w:rsid w:val="00866D97"/>
    <w:rsid w:val="00867292"/>
    <w:rsid w:val="00867A45"/>
    <w:rsid w:val="00867CBB"/>
    <w:rsid w:val="00871312"/>
    <w:rsid w:val="008715C9"/>
    <w:rsid w:val="00871660"/>
    <w:rsid w:val="008717DD"/>
    <w:rsid w:val="00871A5C"/>
    <w:rsid w:val="0087498D"/>
    <w:rsid w:val="00874C66"/>
    <w:rsid w:val="008770D1"/>
    <w:rsid w:val="00877C21"/>
    <w:rsid w:val="0088191E"/>
    <w:rsid w:val="00881D7E"/>
    <w:rsid w:val="00882785"/>
    <w:rsid w:val="00882A3B"/>
    <w:rsid w:val="008830E8"/>
    <w:rsid w:val="00883651"/>
    <w:rsid w:val="008839E9"/>
    <w:rsid w:val="008859E9"/>
    <w:rsid w:val="00886256"/>
    <w:rsid w:val="00890B32"/>
    <w:rsid w:val="00891AD4"/>
    <w:rsid w:val="00892157"/>
    <w:rsid w:val="00892992"/>
    <w:rsid w:val="00892FD1"/>
    <w:rsid w:val="0089314D"/>
    <w:rsid w:val="0089367F"/>
    <w:rsid w:val="00893844"/>
    <w:rsid w:val="008962DB"/>
    <w:rsid w:val="00896E84"/>
    <w:rsid w:val="00897264"/>
    <w:rsid w:val="008A0584"/>
    <w:rsid w:val="008A1056"/>
    <w:rsid w:val="008A1D5C"/>
    <w:rsid w:val="008A27B6"/>
    <w:rsid w:val="008A3988"/>
    <w:rsid w:val="008A4374"/>
    <w:rsid w:val="008A44C4"/>
    <w:rsid w:val="008A465F"/>
    <w:rsid w:val="008A4A9B"/>
    <w:rsid w:val="008A5491"/>
    <w:rsid w:val="008A5927"/>
    <w:rsid w:val="008A6300"/>
    <w:rsid w:val="008A7145"/>
    <w:rsid w:val="008A74B3"/>
    <w:rsid w:val="008B160F"/>
    <w:rsid w:val="008B2F01"/>
    <w:rsid w:val="008B3318"/>
    <w:rsid w:val="008B34AD"/>
    <w:rsid w:val="008B3F37"/>
    <w:rsid w:val="008B59D0"/>
    <w:rsid w:val="008B6117"/>
    <w:rsid w:val="008B649F"/>
    <w:rsid w:val="008B6514"/>
    <w:rsid w:val="008B7567"/>
    <w:rsid w:val="008C350E"/>
    <w:rsid w:val="008C3776"/>
    <w:rsid w:val="008C4134"/>
    <w:rsid w:val="008C4717"/>
    <w:rsid w:val="008C49D3"/>
    <w:rsid w:val="008C542A"/>
    <w:rsid w:val="008C7C2D"/>
    <w:rsid w:val="008D0022"/>
    <w:rsid w:val="008D021E"/>
    <w:rsid w:val="008D0648"/>
    <w:rsid w:val="008D0CD0"/>
    <w:rsid w:val="008D0D05"/>
    <w:rsid w:val="008D173C"/>
    <w:rsid w:val="008D1768"/>
    <w:rsid w:val="008D26C5"/>
    <w:rsid w:val="008D323C"/>
    <w:rsid w:val="008D3351"/>
    <w:rsid w:val="008D35A7"/>
    <w:rsid w:val="008D5DFB"/>
    <w:rsid w:val="008D69A7"/>
    <w:rsid w:val="008D6E76"/>
    <w:rsid w:val="008E1281"/>
    <w:rsid w:val="008E1867"/>
    <w:rsid w:val="008E329B"/>
    <w:rsid w:val="008E5B59"/>
    <w:rsid w:val="008E5C12"/>
    <w:rsid w:val="008E6F95"/>
    <w:rsid w:val="008E7DF4"/>
    <w:rsid w:val="008F3672"/>
    <w:rsid w:val="008F5794"/>
    <w:rsid w:val="008F6662"/>
    <w:rsid w:val="008F71D0"/>
    <w:rsid w:val="009031F5"/>
    <w:rsid w:val="009037A9"/>
    <w:rsid w:val="00903A58"/>
    <w:rsid w:val="009049D8"/>
    <w:rsid w:val="00905C76"/>
    <w:rsid w:val="00905C9A"/>
    <w:rsid w:val="00905E3F"/>
    <w:rsid w:val="00906838"/>
    <w:rsid w:val="00906C34"/>
    <w:rsid w:val="00910675"/>
    <w:rsid w:val="00910D8A"/>
    <w:rsid w:val="0091275A"/>
    <w:rsid w:val="0091465D"/>
    <w:rsid w:val="00914B05"/>
    <w:rsid w:val="00915ED8"/>
    <w:rsid w:val="00916D58"/>
    <w:rsid w:val="00916D9F"/>
    <w:rsid w:val="0091720A"/>
    <w:rsid w:val="009177F3"/>
    <w:rsid w:val="00917ABD"/>
    <w:rsid w:val="00921153"/>
    <w:rsid w:val="00922228"/>
    <w:rsid w:val="00922635"/>
    <w:rsid w:val="00925734"/>
    <w:rsid w:val="00925F4B"/>
    <w:rsid w:val="00927088"/>
    <w:rsid w:val="00927DED"/>
    <w:rsid w:val="00931AE0"/>
    <w:rsid w:val="0093313D"/>
    <w:rsid w:val="0093353F"/>
    <w:rsid w:val="00933A1A"/>
    <w:rsid w:val="00933D38"/>
    <w:rsid w:val="00933DC4"/>
    <w:rsid w:val="00933EBA"/>
    <w:rsid w:val="00935C19"/>
    <w:rsid w:val="00935EE5"/>
    <w:rsid w:val="0093695C"/>
    <w:rsid w:val="00936ED7"/>
    <w:rsid w:val="00937C5E"/>
    <w:rsid w:val="00940BFB"/>
    <w:rsid w:val="00940C19"/>
    <w:rsid w:val="00940F62"/>
    <w:rsid w:val="009421C5"/>
    <w:rsid w:val="00942438"/>
    <w:rsid w:val="00943571"/>
    <w:rsid w:val="009445B5"/>
    <w:rsid w:val="00944FE2"/>
    <w:rsid w:val="009452C4"/>
    <w:rsid w:val="00945A02"/>
    <w:rsid w:val="0094753E"/>
    <w:rsid w:val="00947C14"/>
    <w:rsid w:val="0095133A"/>
    <w:rsid w:val="00952580"/>
    <w:rsid w:val="009536EE"/>
    <w:rsid w:val="0095519D"/>
    <w:rsid w:val="00955888"/>
    <w:rsid w:val="00955CFB"/>
    <w:rsid w:val="00956002"/>
    <w:rsid w:val="0096097E"/>
    <w:rsid w:val="00961A03"/>
    <w:rsid w:val="009639BA"/>
    <w:rsid w:val="009642D1"/>
    <w:rsid w:val="00964640"/>
    <w:rsid w:val="00964DD1"/>
    <w:rsid w:val="009653F6"/>
    <w:rsid w:val="00965A51"/>
    <w:rsid w:val="00966810"/>
    <w:rsid w:val="0096798E"/>
    <w:rsid w:val="0097041C"/>
    <w:rsid w:val="00971926"/>
    <w:rsid w:val="00971AAB"/>
    <w:rsid w:val="0097279D"/>
    <w:rsid w:val="0097283D"/>
    <w:rsid w:val="009731F8"/>
    <w:rsid w:val="00974F9F"/>
    <w:rsid w:val="00975124"/>
    <w:rsid w:val="00975169"/>
    <w:rsid w:val="009753F4"/>
    <w:rsid w:val="00976E24"/>
    <w:rsid w:val="00977FCA"/>
    <w:rsid w:val="00980231"/>
    <w:rsid w:val="00980AB1"/>
    <w:rsid w:val="00980BFA"/>
    <w:rsid w:val="00981515"/>
    <w:rsid w:val="00982233"/>
    <w:rsid w:val="009825A8"/>
    <w:rsid w:val="009847EC"/>
    <w:rsid w:val="00985040"/>
    <w:rsid w:val="00985418"/>
    <w:rsid w:val="009858C0"/>
    <w:rsid w:val="009869C9"/>
    <w:rsid w:val="0098703F"/>
    <w:rsid w:val="00987474"/>
    <w:rsid w:val="00990C93"/>
    <w:rsid w:val="00992DE6"/>
    <w:rsid w:val="00993392"/>
    <w:rsid w:val="00993768"/>
    <w:rsid w:val="00993B3F"/>
    <w:rsid w:val="00993D5F"/>
    <w:rsid w:val="009955F3"/>
    <w:rsid w:val="00996705"/>
    <w:rsid w:val="009A0B75"/>
    <w:rsid w:val="009A2ABF"/>
    <w:rsid w:val="009A33C1"/>
    <w:rsid w:val="009A3728"/>
    <w:rsid w:val="009A39D0"/>
    <w:rsid w:val="009A41C3"/>
    <w:rsid w:val="009A473D"/>
    <w:rsid w:val="009B1A5D"/>
    <w:rsid w:val="009B3EE3"/>
    <w:rsid w:val="009B5DA7"/>
    <w:rsid w:val="009B617C"/>
    <w:rsid w:val="009B687A"/>
    <w:rsid w:val="009B6B69"/>
    <w:rsid w:val="009C0E3D"/>
    <w:rsid w:val="009C15EB"/>
    <w:rsid w:val="009C18B1"/>
    <w:rsid w:val="009C1F4D"/>
    <w:rsid w:val="009C4750"/>
    <w:rsid w:val="009C5217"/>
    <w:rsid w:val="009C7001"/>
    <w:rsid w:val="009C79ED"/>
    <w:rsid w:val="009D00E6"/>
    <w:rsid w:val="009D01FE"/>
    <w:rsid w:val="009D07CA"/>
    <w:rsid w:val="009D1561"/>
    <w:rsid w:val="009D24EF"/>
    <w:rsid w:val="009D2A6C"/>
    <w:rsid w:val="009D2E9A"/>
    <w:rsid w:val="009D67C6"/>
    <w:rsid w:val="009D7D64"/>
    <w:rsid w:val="009E0143"/>
    <w:rsid w:val="009E081F"/>
    <w:rsid w:val="009E0C6C"/>
    <w:rsid w:val="009E2478"/>
    <w:rsid w:val="009E3D4D"/>
    <w:rsid w:val="009E45D9"/>
    <w:rsid w:val="009E4896"/>
    <w:rsid w:val="009E50CF"/>
    <w:rsid w:val="009E639F"/>
    <w:rsid w:val="009E6D03"/>
    <w:rsid w:val="009E7219"/>
    <w:rsid w:val="009E7556"/>
    <w:rsid w:val="009E7FC8"/>
    <w:rsid w:val="009F0111"/>
    <w:rsid w:val="009F0359"/>
    <w:rsid w:val="009F05FF"/>
    <w:rsid w:val="009F2DBA"/>
    <w:rsid w:val="009F50BD"/>
    <w:rsid w:val="009F6B10"/>
    <w:rsid w:val="00A005DA"/>
    <w:rsid w:val="00A035F2"/>
    <w:rsid w:val="00A036B2"/>
    <w:rsid w:val="00A03CA4"/>
    <w:rsid w:val="00A04D76"/>
    <w:rsid w:val="00A057DE"/>
    <w:rsid w:val="00A0599D"/>
    <w:rsid w:val="00A101D8"/>
    <w:rsid w:val="00A1182B"/>
    <w:rsid w:val="00A128CD"/>
    <w:rsid w:val="00A12BFA"/>
    <w:rsid w:val="00A133C6"/>
    <w:rsid w:val="00A17CEF"/>
    <w:rsid w:val="00A2112F"/>
    <w:rsid w:val="00A21F78"/>
    <w:rsid w:val="00A23005"/>
    <w:rsid w:val="00A24576"/>
    <w:rsid w:val="00A24BA7"/>
    <w:rsid w:val="00A25635"/>
    <w:rsid w:val="00A266A3"/>
    <w:rsid w:val="00A266B1"/>
    <w:rsid w:val="00A26993"/>
    <w:rsid w:val="00A27999"/>
    <w:rsid w:val="00A303B5"/>
    <w:rsid w:val="00A305CA"/>
    <w:rsid w:val="00A30A7E"/>
    <w:rsid w:val="00A30F91"/>
    <w:rsid w:val="00A314D3"/>
    <w:rsid w:val="00A32119"/>
    <w:rsid w:val="00A34AF0"/>
    <w:rsid w:val="00A35222"/>
    <w:rsid w:val="00A353C3"/>
    <w:rsid w:val="00A353DE"/>
    <w:rsid w:val="00A402D3"/>
    <w:rsid w:val="00A41425"/>
    <w:rsid w:val="00A41D51"/>
    <w:rsid w:val="00A420B7"/>
    <w:rsid w:val="00A4378E"/>
    <w:rsid w:val="00A443A0"/>
    <w:rsid w:val="00A44AD7"/>
    <w:rsid w:val="00A44B0A"/>
    <w:rsid w:val="00A469D5"/>
    <w:rsid w:val="00A47C43"/>
    <w:rsid w:val="00A509BA"/>
    <w:rsid w:val="00A52523"/>
    <w:rsid w:val="00A52BF8"/>
    <w:rsid w:val="00A52D30"/>
    <w:rsid w:val="00A53164"/>
    <w:rsid w:val="00A53402"/>
    <w:rsid w:val="00A536DB"/>
    <w:rsid w:val="00A54335"/>
    <w:rsid w:val="00A558CE"/>
    <w:rsid w:val="00A55DDF"/>
    <w:rsid w:val="00A57ACA"/>
    <w:rsid w:val="00A57DA5"/>
    <w:rsid w:val="00A6095A"/>
    <w:rsid w:val="00A60A9D"/>
    <w:rsid w:val="00A61110"/>
    <w:rsid w:val="00A612F9"/>
    <w:rsid w:val="00A64324"/>
    <w:rsid w:val="00A6580E"/>
    <w:rsid w:val="00A665A0"/>
    <w:rsid w:val="00A66987"/>
    <w:rsid w:val="00A66FF9"/>
    <w:rsid w:val="00A67978"/>
    <w:rsid w:val="00A70CEF"/>
    <w:rsid w:val="00A72146"/>
    <w:rsid w:val="00A7415F"/>
    <w:rsid w:val="00A762D5"/>
    <w:rsid w:val="00A76DF9"/>
    <w:rsid w:val="00A80F59"/>
    <w:rsid w:val="00A821F6"/>
    <w:rsid w:val="00A82F54"/>
    <w:rsid w:val="00A833C2"/>
    <w:rsid w:val="00A83AA6"/>
    <w:rsid w:val="00A847C6"/>
    <w:rsid w:val="00A863AA"/>
    <w:rsid w:val="00A86A25"/>
    <w:rsid w:val="00A900B0"/>
    <w:rsid w:val="00A91CCD"/>
    <w:rsid w:val="00A923EF"/>
    <w:rsid w:val="00A93E00"/>
    <w:rsid w:val="00A946EE"/>
    <w:rsid w:val="00A95C0E"/>
    <w:rsid w:val="00A96D3A"/>
    <w:rsid w:val="00A975F7"/>
    <w:rsid w:val="00A97719"/>
    <w:rsid w:val="00AA0583"/>
    <w:rsid w:val="00AA08AA"/>
    <w:rsid w:val="00AA3392"/>
    <w:rsid w:val="00AA3AFE"/>
    <w:rsid w:val="00AA5181"/>
    <w:rsid w:val="00AA69CA"/>
    <w:rsid w:val="00AA6B6B"/>
    <w:rsid w:val="00AA7CC3"/>
    <w:rsid w:val="00AA7DF8"/>
    <w:rsid w:val="00AB0A02"/>
    <w:rsid w:val="00AB2440"/>
    <w:rsid w:val="00AB55DC"/>
    <w:rsid w:val="00AB61F5"/>
    <w:rsid w:val="00AB7D9F"/>
    <w:rsid w:val="00AC0594"/>
    <w:rsid w:val="00AC08F8"/>
    <w:rsid w:val="00AC2A98"/>
    <w:rsid w:val="00AC4834"/>
    <w:rsid w:val="00AC5697"/>
    <w:rsid w:val="00AC5B9B"/>
    <w:rsid w:val="00AC6074"/>
    <w:rsid w:val="00AC6A06"/>
    <w:rsid w:val="00AC7C81"/>
    <w:rsid w:val="00AD021C"/>
    <w:rsid w:val="00AD2E99"/>
    <w:rsid w:val="00AD3069"/>
    <w:rsid w:val="00AD36BD"/>
    <w:rsid w:val="00AD3B0E"/>
    <w:rsid w:val="00AD4908"/>
    <w:rsid w:val="00AD4EAA"/>
    <w:rsid w:val="00AD52AD"/>
    <w:rsid w:val="00AD5B8A"/>
    <w:rsid w:val="00AD6675"/>
    <w:rsid w:val="00AD7CC0"/>
    <w:rsid w:val="00AE0F61"/>
    <w:rsid w:val="00AE23AA"/>
    <w:rsid w:val="00AE301C"/>
    <w:rsid w:val="00AE4149"/>
    <w:rsid w:val="00AE475F"/>
    <w:rsid w:val="00AE54A6"/>
    <w:rsid w:val="00AE5EB3"/>
    <w:rsid w:val="00AE7346"/>
    <w:rsid w:val="00AF0C93"/>
    <w:rsid w:val="00AF4D8C"/>
    <w:rsid w:val="00AF7229"/>
    <w:rsid w:val="00B002C9"/>
    <w:rsid w:val="00B00EBE"/>
    <w:rsid w:val="00B02EE9"/>
    <w:rsid w:val="00B06007"/>
    <w:rsid w:val="00B06BEB"/>
    <w:rsid w:val="00B07BA5"/>
    <w:rsid w:val="00B10374"/>
    <w:rsid w:val="00B11CC8"/>
    <w:rsid w:val="00B11ED9"/>
    <w:rsid w:val="00B1200C"/>
    <w:rsid w:val="00B12A5C"/>
    <w:rsid w:val="00B1352F"/>
    <w:rsid w:val="00B1366B"/>
    <w:rsid w:val="00B14EF8"/>
    <w:rsid w:val="00B156A1"/>
    <w:rsid w:val="00B16000"/>
    <w:rsid w:val="00B16980"/>
    <w:rsid w:val="00B17320"/>
    <w:rsid w:val="00B218AE"/>
    <w:rsid w:val="00B23B0E"/>
    <w:rsid w:val="00B241EB"/>
    <w:rsid w:val="00B243B6"/>
    <w:rsid w:val="00B24C34"/>
    <w:rsid w:val="00B26687"/>
    <w:rsid w:val="00B270FC"/>
    <w:rsid w:val="00B27BAE"/>
    <w:rsid w:val="00B312AD"/>
    <w:rsid w:val="00B35F8A"/>
    <w:rsid w:val="00B37C1F"/>
    <w:rsid w:val="00B400C2"/>
    <w:rsid w:val="00B430B1"/>
    <w:rsid w:val="00B43E0C"/>
    <w:rsid w:val="00B449E6"/>
    <w:rsid w:val="00B45963"/>
    <w:rsid w:val="00B468AE"/>
    <w:rsid w:val="00B505DC"/>
    <w:rsid w:val="00B507CF"/>
    <w:rsid w:val="00B5086F"/>
    <w:rsid w:val="00B50ED9"/>
    <w:rsid w:val="00B55165"/>
    <w:rsid w:val="00B553CF"/>
    <w:rsid w:val="00B554FE"/>
    <w:rsid w:val="00B56317"/>
    <w:rsid w:val="00B565B1"/>
    <w:rsid w:val="00B571FC"/>
    <w:rsid w:val="00B574C0"/>
    <w:rsid w:val="00B57C80"/>
    <w:rsid w:val="00B60070"/>
    <w:rsid w:val="00B60C76"/>
    <w:rsid w:val="00B60D97"/>
    <w:rsid w:val="00B61330"/>
    <w:rsid w:val="00B619B8"/>
    <w:rsid w:val="00B64372"/>
    <w:rsid w:val="00B64428"/>
    <w:rsid w:val="00B6622A"/>
    <w:rsid w:val="00B67DF8"/>
    <w:rsid w:val="00B705C2"/>
    <w:rsid w:val="00B70A02"/>
    <w:rsid w:val="00B71899"/>
    <w:rsid w:val="00B72AC3"/>
    <w:rsid w:val="00B75256"/>
    <w:rsid w:val="00B77558"/>
    <w:rsid w:val="00B809E7"/>
    <w:rsid w:val="00B811F4"/>
    <w:rsid w:val="00B81D34"/>
    <w:rsid w:val="00B829A7"/>
    <w:rsid w:val="00B83DDD"/>
    <w:rsid w:val="00B843C3"/>
    <w:rsid w:val="00B8471A"/>
    <w:rsid w:val="00B85661"/>
    <w:rsid w:val="00B859C8"/>
    <w:rsid w:val="00B85FB5"/>
    <w:rsid w:val="00B86068"/>
    <w:rsid w:val="00B86465"/>
    <w:rsid w:val="00B870D3"/>
    <w:rsid w:val="00B91F90"/>
    <w:rsid w:val="00B927C1"/>
    <w:rsid w:val="00B9351B"/>
    <w:rsid w:val="00B94DCB"/>
    <w:rsid w:val="00B958E0"/>
    <w:rsid w:val="00B95D40"/>
    <w:rsid w:val="00B96BA1"/>
    <w:rsid w:val="00B975B0"/>
    <w:rsid w:val="00BA03C8"/>
    <w:rsid w:val="00BA06EE"/>
    <w:rsid w:val="00BA0D11"/>
    <w:rsid w:val="00BA3133"/>
    <w:rsid w:val="00BA3C45"/>
    <w:rsid w:val="00BA453B"/>
    <w:rsid w:val="00BA45BD"/>
    <w:rsid w:val="00BA4762"/>
    <w:rsid w:val="00BA4883"/>
    <w:rsid w:val="00BA60C8"/>
    <w:rsid w:val="00BA7509"/>
    <w:rsid w:val="00BB137B"/>
    <w:rsid w:val="00BB1D4E"/>
    <w:rsid w:val="00BB33B7"/>
    <w:rsid w:val="00BB3BC4"/>
    <w:rsid w:val="00BB5149"/>
    <w:rsid w:val="00BB649D"/>
    <w:rsid w:val="00BB6549"/>
    <w:rsid w:val="00BB715A"/>
    <w:rsid w:val="00BB7A10"/>
    <w:rsid w:val="00BB7BC4"/>
    <w:rsid w:val="00BC0295"/>
    <w:rsid w:val="00BC1DF3"/>
    <w:rsid w:val="00BC260C"/>
    <w:rsid w:val="00BC2AF0"/>
    <w:rsid w:val="00BD16F0"/>
    <w:rsid w:val="00BD3D58"/>
    <w:rsid w:val="00BD4B31"/>
    <w:rsid w:val="00BD4F4C"/>
    <w:rsid w:val="00BD524D"/>
    <w:rsid w:val="00BD6C30"/>
    <w:rsid w:val="00BE1E9E"/>
    <w:rsid w:val="00BE277E"/>
    <w:rsid w:val="00BE2E80"/>
    <w:rsid w:val="00BE359B"/>
    <w:rsid w:val="00BE3D48"/>
    <w:rsid w:val="00BE4260"/>
    <w:rsid w:val="00BE488F"/>
    <w:rsid w:val="00BE489B"/>
    <w:rsid w:val="00BE4D2C"/>
    <w:rsid w:val="00BE4E97"/>
    <w:rsid w:val="00BE639F"/>
    <w:rsid w:val="00BE6719"/>
    <w:rsid w:val="00BE7009"/>
    <w:rsid w:val="00BE76CA"/>
    <w:rsid w:val="00BE7B9D"/>
    <w:rsid w:val="00BF11B1"/>
    <w:rsid w:val="00BF3180"/>
    <w:rsid w:val="00BF54E0"/>
    <w:rsid w:val="00BF5800"/>
    <w:rsid w:val="00C005E5"/>
    <w:rsid w:val="00C0103A"/>
    <w:rsid w:val="00C03915"/>
    <w:rsid w:val="00C03A35"/>
    <w:rsid w:val="00C06DE5"/>
    <w:rsid w:val="00C1036F"/>
    <w:rsid w:val="00C1066B"/>
    <w:rsid w:val="00C108DF"/>
    <w:rsid w:val="00C11433"/>
    <w:rsid w:val="00C11530"/>
    <w:rsid w:val="00C115C9"/>
    <w:rsid w:val="00C12F12"/>
    <w:rsid w:val="00C1307D"/>
    <w:rsid w:val="00C131CE"/>
    <w:rsid w:val="00C1381C"/>
    <w:rsid w:val="00C14D7B"/>
    <w:rsid w:val="00C15996"/>
    <w:rsid w:val="00C16294"/>
    <w:rsid w:val="00C16714"/>
    <w:rsid w:val="00C17A8A"/>
    <w:rsid w:val="00C237E4"/>
    <w:rsid w:val="00C2467F"/>
    <w:rsid w:val="00C27989"/>
    <w:rsid w:val="00C27B90"/>
    <w:rsid w:val="00C30D33"/>
    <w:rsid w:val="00C30D58"/>
    <w:rsid w:val="00C313A6"/>
    <w:rsid w:val="00C318AA"/>
    <w:rsid w:val="00C33503"/>
    <w:rsid w:val="00C33527"/>
    <w:rsid w:val="00C35932"/>
    <w:rsid w:val="00C3599A"/>
    <w:rsid w:val="00C35D22"/>
    <w:rsid w:val="00C35D64"/>
    <w:rsid w:val="00C37854"/>
    <w:rsid w:val="00C40130"/>
    <w:rsid w:val="00C4100A"/>
    <w:rsid w:val="00C4178C"/>
    <w:rsid w:val="00C43642"/>
    <w:rsid w:val="00C439F8"/>
    <w:rsid w:val="00C44BB6"/>
    <w:rsid w:val="00C501B0"/>
    <w:rsid w:val="00C50ACD"/>
    <w:rsid w:val="00C50C79"/>
    <w:rsid w:val="00C511DC"/>
    <w:rsid w:val="00C51CB2"/>
    <w:rsid w:val="00C5626F"/>
    <w:rsid w:val="00C579AE"/>
    <w:rsid w:val="00C57ED4"/>
    <w:rsid w:val="00C616A5"/>
    <w:rsid w:val="00C620B1"/>
    <w:rsid w:val="00C633C3"/>
    <w:rsid w:val="00C63BBD"/>
    <w:rsid w:val="00C67712"/>
    <w:rsid w:val="00C71FCE"/>
    <w:rsid w:val="00C722BE"/>
    <w:rsid w:val="00C73483"/>
    <w:rsid w:val="00C74A91"/>
    <w:rsid w:val="00C74C53"/>
    <w:rsid w:val="00C8198C"/>
    <w:rsid w:val="00C81A31"/>
    <w:rsid w:val="00C81E1D"/>
    <w:rsid w:val="00C84B1F"/>
    <w:rsid w:val="00C85CCA"/>
    <w:rsid w:val="00C86F61"/>
    <w:rsid w:val="00C90383"/>
    <w:rsid w:val="00C92076"/>
    <w:rsid w:val="00C927F6"/>
    <w:rsid w:val="00C92A28"/>
    <w:rsid w:val="00C92BF5"/>
    <w:rsid w:val="00C92F6A"/>
    <w:rsid w:val="00C93148"/>
    <w:rsid w:val="00C94B5E"/>
    <w:rsid w:val="00C964F5"/>
    <w:rsid w:val="00CA0075"/>
    <w:rsid w:val="00CA060C"/>
    <w:rsid w:val="00CA0FE6"/>
    <w:rsid w:val="00CA16AB"/>
    <w:rsid w:val="00CA1CFB"/>
    <w:rsid w:val="00CA385C"/>
    <w:rsid w:val="00CA3BDC"/>
    <w:rsid w:val="00CA4C13"/>
    <w:rsid w:val="00CA561F"/>
    <w:rsid w:val="00CA68CA"/>
    <w:rsid w:val="00CA6BE4"/>
    <w:rsid w:val="00CA72BF"/>
    <w:rsid w:val="00CA75EB"/>
    <w:rsid w:val="00CB0CFD"/>
    <w:rsid w:val="00CB1183"/>
    <w:rsid w:val="00CB181E"/>
    <w:rsid w:val="00CB232D"/>
    <w:rsid w:val="00CB280E"/>
    <w:rsid w:val="00CB37B8"/>
    <w:rsid w:val="00CB71D7"/>
    <w:rsid w:val="00CB7C25"/>
    <w:rsid w:val="00CC01D8"/>
    <w:rsid w:val="00CC0502"/>
    <w:rsid w:val="00CC2031"/>
    <w:rsid w:val="00CC283F"/>
    <w:rsid w:val="00CC33A6"/>
    <w:rsid w:val="00CC3A67"/>
    <w:rsid w:val="00CC3DC6"/>
    <w:rsid w:val="00CC6878"/>
    <w:rsid w:val="00CC6BE5"/>
    <w:rsid w:val="00CC7D4B"/>
    <w:rsid w:val="00CD0329"/>
    <w:rsid w:val="00CD07F3"/>
    <w:rsid w:val="00CD1257"/>
    <w:rsid w:val="00CD1935"/>
    <w:rsid w:val="00CD2399"/>
    <w:rsid w:val="00CD4B88"/>
    <w:rsid w:val="00CE0F4B"/>
    <w:rsid w:val="00CE1322"/>
    <w:rsid w:val="00CE1692"/>
    <w:rsid w:val="00CE217C"/>
    <w:rsid w:val="00CE2C90"/>
    <w:rsid w:val="00CE2E9F"/>
    <w:rsid w:val="00CE308E"/>
    <w:rsid w:val="00CE4123"/>
    <w:rsid w:val="00CE4B53"/>
    <w:rsid w:val="00CF0653"/>
    <w:rsid w:val="00CF274A"/>
    <w:rsid w:val="00CF3C24"/>
    <w:rsid w:val="00CF4C79"/>
    <w:rsid w:val="00CF4E6E"/>
    <w:rsid w:val="00CF5AEC"/>
    <w:rsid w:val="00CF5E8E"/>
    <w:rsid w:val="00CF7FCA"/>
    <w:rsid w:val="00D0020E"/>
    <w:rsid w:val="00D00B1D"/>
    <w:rsid w:val="00D052A7"/>
    <w:rsid w:val="00D071B9"/>
    <w:rsid w:val="00D072D6"/>
    <w:rsid w:val="00D1145F"/>
    <w:rsid w:val="00D1238D"/>
    <w:rsid w:val="00D12E51"/>
    <w:rsid w:val="00D13058"/>
    <w:rsid w:val="00D131C4"/>
    <w:rsid w:val="00D143FB"/>
    <w:rsid w:val="00D154CB"/>
    <w:rsid w:val="00D159F4"/>
    <w:rsid w:val="00D17103"/>
    <w:rsid w:val="00D17FC9"/>
    <w:rsid w:val="00D207FF"/>
    <w:rsid w:val="00D2789E"/>
    <w:rsid w:val="00D27AC8"/>
    <w:rsid w:val="00D27BF5"/>
    <w:rsid w:val="00D27D5F"/>
    <w:rsid w:val="00D30968"/>
    <w:rsid w:val="00D30FF9"/>
    <w:rsid w:val="00D31844"/>
    <w:rsid w:val="00D337A2"/>
    <w:rsid w:val="00D3490D"/>
    <w:rsid w:val="00D37F00"/>
    <w:rsid w:val="00D45F94"/>
    <w:rsid w:val="00D46748"/>
    <w:rsid w:val="00D47384"/>
    <w:rsid w:val="00D475FC"/>
    <w:rsid w:val="00D51588"/>
    <w:rsid w:val="00D5327C"/>
    <w:rsid w:val="00D573B5"/>
    <w:rsid w:val="00D60833"/>
    <w:rsid w:val="00D6238C"/>
    <w:rsid w:val="00D62893"/>
    <w:rsid w:val="00D64640"/>
    <w:rsid w:val="00D65BF3"/>
    <w:rsid w:val="00D66870"/>
    <w:rsid w:val="00D708FD"/>
    <w:rsid w:val="00D710BC"/>
    <w:rsid w:val="00D73069"/>
    <w:rsid w:val="00D73684"/>
    <w:rsid w:val="00D73E02"/>
    <w:rsid w:val="00D73E6D"/>
    <w:rsid w:val="00D74630"/>
    <w:rsid w:val="00D75399"/>
    <w:rsid w:val="00D75DA0"/>
    <w:rsid w:val="00D7738C"/>
    <w:rsid w:val="00D80150"/>
    <w:rsid w:val="00D812AE"/>
    <w:rsid w:val="00D81470"/>
    <w:rsid w:val="00D820D3"/>
    <w:rsid w:val="00D82BAB"/>
    <w:rsid w:val="00D82C35"/>
    <w:rsid w:val="00D856DE"/>
    <w:rsid w:val="00D86340"/>
    <w:rsid w:val="00D864A5"/>
    <w:rsid w:val="00D8707A"/>
    <w:rsid w:val="00D90D91"/>
    <w:rsid w:val="00D924DB"/>
    <w:rsid w:val="00D93DAF"/>
    <w:rsid w:val="00DA027D"/>
    <w:rsid w:val="00DA034C"/>
    <w:rsid w:val="00DA04B9"/>
    <w:rsid w:val="00DA1247"/>
    <w:rsid w:val="00DA1BE1"/>
    <w:rsid w:val="00DA214A"/>
    <w:rsid w:val="00DA2CB5"/>
    <w:rsid w:val="00DA3AFD"/>
    <w:rsid w:val="00DA4A4A"/>
    <w:rsid w:val="00DA7EB0"/>
    <w:rsid w:val="00DA7EB4"/>
    <w:rsid w:val="00DB1C9A"/>
    <w:rsid w:val="00DB3271"/>
    <w:rsid w:val="00DB342B"/>
    <w:rsid w:val="00DB383D"/>
    <w:rsid w:val="00DB6AEA"/>
    <w:rsid w:val="00DB73B6"/>
    <w:rsid w:val="00DB73B7"/>
    <w:rsid w:val="00DC20FB"/>
    <w:rsid w:val="00DC23C5"/>
    <w:rsid w:val="00DC2B9E"/>
    <w:rsid w:val="00DC2E46"/>
    <w:rsid w:val="00DC35BF"/>
    <w:rsid w:val="00DC4305"/>
    <w:rsid w:val="00DC49C8"/>
    <w:rsid w:val="00DC65B5"/>
    <w:rsid w:val="00DC669D"/>
    <w:rsid w:val="00DC6AFA"/>
    <w:rsid w:val="00DC7560"/>
    <w:rsid w:val="00DC79E6"/>
    <w:rsid w:val="00DD00A0"/>
    <w:rsid w:val="00DD0330"/>
    <w:rsid w:val="00DD7211"/>
    <w:rsid w:val="00DE767A"/>
    <w:rsid w:val="00DE7D01"/>
    <w:rsid w:val="00DF2BB3"/>
    <w:rsid w:val="00DF532E"/>
    <w:rsid w:val="00DF642F"/>
    <w:rsid w:val="00DF68C0"/>
    <w:rsid w:val="00DF6CD5"/>
    <w:rsid w:val="00DF7897"/>
    <w:rsid w:val="00E0028B"/>
    <w:rsid w:val="00E01EB8"/>
    <w:rsid w:val="00E064E6"/>
    <w:rsid w:val="00E077B7"/>
    <w:rsid w:val="00E106F5"/>
    <w:rsid w:val="00E11C56"/>
    <w:rsid w:val="00E13A70"/>
    <w:rsid w:val="00E13B12"/>
    <w:rsid w:val="00E13E4E"/>
    <w:rsid w:val="00E14809"/>
    <w:rsid w:val="00E161E1"/>
    <w:rsid w:val="00E16BE6"/>
    <w:rsid w:val="00E1783F"/>
    <w:rsid w:val="00E21033"/>
    <w:rsid w:val="00E21132"/>
    <w:rsid w:val="00E21B64"/>
    <w:rsid w:val="00E224BC"/>
    <w:rsid w:val="00E22ED5"/>
    <w:rsid w:val="00E23AE3"/>
    <w:rsid w:val="00E24382"/>
    <w:rsid w:val="00E2461C"/>
    <w:rsid w:val="00E248B7"/>
    <w:rsid w:val="00E24957"/>
    <w:rsid w:val="00E25989"/>
    <w:rsid w:val="00E259C5"/>
    <w:rsid w:val="00E25AD8"/>
    <w:rsid w:val="00E27E98"/>
    <w:rsid w:val="00E307AF"/>
    <w:rsid w:val="00E31EDB"/>
    <w:rsid w:val="00E321D7"/>
    <w:rsid w:val="00E326BF"/>
    <w:rsid w:val="00E34AB4"/>
    <w:rsid w:val="00E40740"/>
    <w:rsid w:val="00E450EE"/>
    <w:rsid w:val="00E45313"/>
    <w:rsid w:val="00E4734C"/>
    <w:rsid w:val="00E50B0D"/>
    <w:rsid w:val="00E5136F"/>
    <w:rsid w:val="00E51DC5"/>
    <w:rsid w:val="00E533E4"/>
    <w:rsid w:val="00E5366C"/>
    <w:rsid w:val="00E54FDD"/>
    <w:rsid w:val="00E55116"/>
    <w:rsid w:val="00E559CA"/>
    <w:rsid w:val="00E571CB"/>
    <w:rsid w:val="00E57869"/>
    <w:rsid w:val="00E60DB9"/>
    <w:rsid w:val="00E61CB8"/>
    <w:rsid w:val="00E6200C"/>
    <w:rsid w:val="00E623C6"/>
    <w:rsid w:val="00E6263F"/>
    <w:rsid w:val="00E677BD"/>
    <w:rsid w:val="00E67E13"/>
    <w:rsid w:val="00E70170"/>
    <w:rsid w:val="00E703AF"/>
    <w:rsid w:val="00E71B2F"/>
    <w:rsid w:val="00E72999"/>
    <w:rsid w:val="00E729D5"/>
    <w:rsid w:val="00E74381"/>
    <w:rsid w:val="00E76510"/>
    <w:rsid w:val="00E76C02"/>
    <w:rsid w:val="00E81E9C"/>
    <w:rsid w:val="00E81EEE"/>
    <w:rsid w:val="00E82D31"/>
    <w:rsid w:val="00E84FF5"/>
    <w:rsid w:val="00E96D78"/>
    <w:rsid w:val="00E971DA"/>
    <w:rsid w:val="00E97AB5"/>
    <w:rsid w:val="00EA1F40"/>
    <w:rsid w:val="00EA2661"/>
    <w:rsid w:val="00EA26BE"/>
    <w:rsid w:val="00EA4BA5"/>
    <w:rsid w:val="00EA4BF0"/>
    <w:rsid w:val="00EA54A8"/>
    <w:rsid w:val="00EA5E47"/>
    <w:rsid w:val="00EA7418"/>
    <w:rsid w:val="00EB04ED"/>
    <w:rsid w:val="00EB1321"/>
    <w:rsid w:val="00EB25FC"/>
    <w:rsid w:val="00EB36F4"/>
    <w:rsid w:val="00EB3BF1"/>
    <w:rsid w:val="00EB4F41"/>
    <w:rsid w:val="00EB7ED2"/>
    <w:rsid w:val="00EC0710"/>
    <w:rsid w:val="00EC1965"/>
    <w:rsid w:val="00EC439C"/>
    <w:rsid w:val="00EC455B"/>
    <w:rsid w:val="00EC4587"/>
    <w:rsid w:val="00EC4AC7"/>
    <w:rsid w:val="00EC5853"/>
    <w:rsid w:val="00EC5C9E"/>
    <w:rsid w:val="00EC5D12"/>
    <w:rsid w:val="00ED106A"/>
    <w:rsid w:val="00ED1611"/>
    <w:rsid w:val="00ED2180"/>
    <w:rsid w:val="00ED55DB"/>
    <w:rsid w:val="00ED5878"/>
    <w:rsid w:val="00ED5991"/>
    <w:rsid w:val="00ED6822"/>
    <w:rsid w:val="00ED78D2"/>
    <w:rsid w:val="00ED7AB0"/>
    <w:rsid w:val="00EE0B9E"/>
    <w:rsid w:val="00EE1F6B"/>
    <w:rsid w:val="00EE276C"/>
    <w:rsid w:val="00EE464D"/>
    <w:rsid w:val="00EE4B0F"/>
    <w:rsid w:val="00EE4CD1"/>
    <w:rsid w:val="00EE50D7"/>
    <w:rsid w:val="00EE710C"/>
    <w:rsid w:val="00EE71B2"/>
    <w:rsid w:val="00EE7336"/>
    <w:rsid w:val="00EF1319"/>
    <w:rsid w:val="00EF1532"/>
    <w:rsid w:val="00EF15A3"/>
    <w:rsid w:val="00EF15D2"/>
    <w:rsid w:val="00EF2E09"/>
    <w:rsid w:val="00EF5397"/>
    <w:rsid w:val="00EF7C3E"/>
    <w:rsid w:val="00F00622"/>
    <w:rsid w:val="00F01FF0"/>
    <w:rsid w:val="00F021EA"/>
    <w:rsid w:val="00F04013"/>
    <w:rsid w:val="00F044F3"/>
    <w:rsid w:val="00F05A87"/>
    <w:rsid w:val="00F10194"/>
    <w:rsid w:val="00F11B1E"/>
    <w:rsid w:val="00F11E14"/>
    <w:rsid w:val="00F13FFF"/>
    <w:rsid w:val="00F145DB"/>
    <w:rsid w:val="00F146EB"/>
    <w:rsid w:val="00F1480B"/>
    <w:rsid w:val="00F156F8"/>
    <w:rsid w:val="00F15E8B"/>
    <w:rsid w:val="00F162C4"/>
    <w:rsid w:val="00F169C3"/>
    <w:rsid w:val="00F25D0A"/>
    <w:rsid w:val="00F26309"/>
    <w:rsid w:val="00F33F27"/>
    <w:rsid w:val="00F35392"/>
    <w:rsid w:val="00F35E54"/>
    <w:rsid w:val="00F36465"/>
    <w:rsid w:val="00F37B8D"/>
    <w:rsid w:val="00F40015"/>
    <w:rsid w:val="00F41E43"/>
    <w:rsid w:val="00F42A97"/>
    <w:rsid w:val="00F4357E"/>
    <w:rsid w:val="00F43A81"/>
    <w:rsid w:val="00F452B0"/>
    <w:rsid w:val="00F45FA8"/>
    <w:rsid w:val="00F478A2"/>
    <w:rsid w:val="00F50820"/>
    <w:rsid w:val="00F50984"/>
    <w:rsid w:val="00F50EC2"/>
    <w:rsid w:val="00F5256C"/>
    <w:rsid w:val="00F52A2C"/>
    <w:rsid w:val="00F52E72"/>
    <w:rsid w:val="00F53417"/>
    <w:rsid w:val="00F55038"/>
    <w:rsid w:val="00F555FE"/>
    <w:rsid w:val="00F55947"/>
    <w:rsid w:val="00F56511"/>
    <w:rsid w:val="00F57B44"/>
    <w:rsid w:val="00F60B30"/>
    <w:rsid w:val="00F60C5B"/>
    <w:rsid w:val="00F635BE"/>
    <w:rsid w:val="00F6362D"/>
    <w:rsid w:val="00F63795"/>
    <w:rsid w:val="00F63EF2"/>
    <w:rsid w:val="00F64664"/>
    <w:rsid w:val="00F6524A"/>
    <w:rsid w:val="00F661BA"/>
    <w:rsid w:val="00F6630D"/>
    <w:rsid w:val="00F727ED"/>
    <w:rsid w:val="00F72839"/>
    <w:rsid w:val="00F7306E"/>
    <w:rsid w:val="00F74C84"/>
    <w:rsid w:val="00F74D66"/>
    <w:rsid w:val="00F76700"/>
    <w:rsid w:val="00F802DC"/>
    <w:rsid w:val="00F80C92"/>
    <w:rsid w:val="00F82C7B"/>
    <w:rsid w:val="00F82E61"/>
    <w:rsid w:val="00F83676"/>
    <w:rsid w:val="00F83C30"/>
    <w:rsid w:val="00F83D48"/>
    <w:rsid w:val="00F84D92"/>
    <w:rsid w:val="00F85751"/>
    <w:rsid w:val="00F86F48"/>
    <w:rsid w:val="00F9083B"/>
    <w:rsid w:val="00F92ACA"/>
    <w:rsid w:val="00F9310A"/>
    <w:rsid w:val="00F93C2F"/>
    <w:rsid w:val="00F94D3D"/>
    <w:rsid w:val="00F96F6C"/>
    <w:rsid w:val="00FA09B7"/>
    <w:rsid w:val="00FA250C"/>
    <w:rsid w:val="00FA2889"/>
    <w:rsid w:val="00FA31B5"/>
    <w:rsid w:val="00FA4761"/>
    <w:rsid w:val="00FA47A0"/>
    <w:rsid w:val="00FA4B24"/>
    <w:rsid w:val="00FA5F2C"/>
    <w:rsid w:val="00FA6524"/>
    <w:rsid w:val="00FA7B8A"/>
    <w:rsid w:val="00FB0F68"/>
    <w:rsid w:val="00FB1005"/>
    <w:rsid w:val="00FB48D7"/>
    <w:rsid w:val="00FB585B"/>
    <w:rsid w:val="00FB58D1"/>
    <w:rsid w:val="00FB65D6"/>
    <w:rsid w:val="00FB6886"/>
    <w:rsid w:val="00FB6B34"/>
    <w:rsid w:val="00FB7CCA"/>
    <w:rsid w:val="00FC0918"/>
    <w:rsid w:val="00FC0B89"/>
    <w:rsid w:val="00FC0E09"/>
    <w:rsid w:val="00FC20D9"/>
    <w:rsid w:val="00FC3D14"/>
    <w:rsid w:val="00FC3EFA"/>
    <w:rsid w:val="00FC42AD"/>
    <w:rsid w:val="00FC4D74"/>
    <w:rsid w:val="00FC6625"/>
    <w:rsid w:val="00FC67C5"/>
    <w:rsid w:val="00FC6BA4"/>
    <w:rsid w:val="00FC6E3A"/>
    <w:rsid w:val="00FD0DE8"/>
    <w:rsid w:val="00FD16C4"/>
    <w:rsid w:val="00FD1D34"/>
    <w:rsid w:val="00FD1EF3"/>
    <w:rsid w:val="00FD2841"/>
    <w:rsid w:val="00FD344D"/>
    <w:rsid w:val="00FD3DAE"/>
    <w:rsid w:val="00FD42AF"/>
    <w:rsid w:val="00FD49AC"/>
    <w:rsid w:val="00FD4EA0"/>
    <w:rsid w:val="00FD4F91"/>
    <w:rsid w:val="00FD569E"/>
    <w:rsid w:val="00FD70C7"/>
    <w:rsid w:val="00FD719D"/>
    <w:rsid w:val="00FD7649"/>
    <w:rsid w:val="00FD7692"/>
    <w:rsid w:val="00FD7F59"/>
    <w:rsid w:val="00FD7FE4"/>
    <w:rsid w:val="00FE045F"/>
    <w:rsid w:val="00FE08FD"/>
    <w:rsid w:val="00FE1032"/>
    <w:rsid w:val="00FE1276"/>
    <w:rsid w:val="00FE1AB9"/>
    <w:rsid w:val="00FE2E7F"/>
    <w:rsid w:val="00FE2E97"/>
    <w:rsid w:val="00FE399B"/>
    <w:rsid w:val="00FE3E06"/>
    <w:rsid w:val="00FE44BB"/>
    <w:rsid w:val="00FE6B2C"/>
    <w:rsid w:val="00FF01DC"/>
    <w:rsid w:val="00FF09B7"/>
    <w:rsid w:val="00FF45A4"/>
    <w:rsid w:val="00FF4C74"/>
    <w:rsid w:val="00FF4DE0"/>
    <w:rsid w:val="00FF5E18"/>
    <w:rsid w:val="00FF739A"/>
    <w:rsid w:val="00FF7413"/>
    <w:rsid w:val="01301F8F"/>
    <w:rsid w:val="015974C0"/>
    <w:rsid w:val="016243ED"/>
    <w:rsid w:val="01E565FC"/>
    <w:rsid w:val="0241242E"/>
    <w:rsid w:val="027B5C22"/>
    <w:rsid w:val="029F7154"/>
    <w:rsid w:val="02BB0BDF"/>
    <w:rsid w:val="02DA6C9B"/>
    <w:rsid w:val="02E27FA5"/>
    <w:rsid w:val="030010CC"/>
    <w:rsid w:val="032A6535"/>
    <w:rsid w:val="03EC40BD"/>
    <w:rsid w:val="042913CB"/>
    <w:rsid w:val="04925647"/>
    <w:rsid w:val="04932FB3"/>
    <w:rsid w:val="04FD7021"/>
    <w:rsid w:val="05182F0D"/>
    <w:rsid w:val="0536592E"/>
    <w:rsid w:val="05A332D4"/>
    <w:rsid w:val="05A35D1A"/>
    <w:rsid w:val="05F6462A"/>
    <w:rsid w:val="06185F76"/>
    <w:rsid w:val="06502C76"/>
    <w:rsid w:val="068658FE"/>
    <w:rsid w:val="06A7577D"/>
    <w:rsid w:val="06F77878"/>
    <w:rsid w:val="070B729D"/>
    <w:rsid w:val="08793FA4"/>
    <w:rsid w:val="08A5008B"/>
    <w:rsid w:val="08D57CBF"/>
    <w:rsid w:val="08F24A06"/>
    <w:rsid w:val="09532A47"/>
    <w:rsid w:val="09651679"/>
    <w:rsid w:val="09A815C3"/>
    <w:rsid w:val="0A662E96"/>
    <w:rsid w:val="0AC031C3"/>
    <w:rsid w:val="0AF31454"/>
    <w:rsid w:val="0B1F783E"/>
    <w:rsid w:val="0B345341"/>
    <w:rsid w:val="0B776EC0"/>
    <w:rsid w:val="0B91386F"/>
    <w:rsid w:val="0BE14BA7"/>
    <w:rsid w:val="0C2E7A24"/>
    <w:rsid w:val="0C5923AD"/>
    <w:rsid w:val="0CEF2E51"/>
    <w:rsid w:val="0D532AD2"/>
    <w:rsid w:val="0D7C6A10"/>
    <w:rsid w:val="0DFE567E"/>
    <w:rsid w:val="0E5B13C2"/>
    <w:rsid w:val="0E5C2EA3"/>
    <w:rsid w:val="0E737213"/>
    <w:rsid w:val="0F4B7840"/>
    <w:rsid w:val="0FCC7AC3"/>
    <w:rsid w:val="0FE55632"/>
    <w:rsid w:val="106B4B1A"/>
    <w:rsid w:val="11F85F56"/>
    <w:rsid w:val="1214532B"/>
    <w:rsid w:val="12165DA8"/>
    <w:rsid w:val="12284713"/>
    <w:rsid w:val="12887C05"/>
    <w:rsid w:val="12AF1DC1"/>
    <w:rsid w:val="12DC5714"/>
    <w:rsid w:val="13117C04"/>
    <w:rsid w:val="133053DB"/>
    <w:rsid w:val="133D09EF"/>
    <w:rsid w:val="13F019C7"/>
    <w:rsid w:val="14755F67"/>
    <w:rsid w:val="14B7442C"/>
    <w:rsid w:val="14DE61FF"/>
    <w:rsid w:val="160E7089"/>
    <w:rsid w:val="1639359F"/>
    <w:rsid w:val="1747051A"/>
    <w:rsid w:val="17644B2B"/>
    <w:rsid w:val="179A0E16"/>
    <w:rsid w:val="18784278"/>
    <w:rsid w:val="187B025C"/>
    <w:rsid w:val="189F35B2"/>
    <w:rsid w:val="18FF0432"/>
    <w:rsid w:val="194B54E8"/>
    <w:rsid w:val="1A334B44"/>
    <w:rsid w:val="1AEC4B07"/>
    <w:rsid w:val="1B1F09DB"/>
    <w:rsid w:val="1B350D96"/>
    <w:rsid w:val="1B4C3FF1"/>
    <w:rsid w:val="1B665715"/>
    <w:rsid w:val="1BA201F9"/>
    <w:rsid w:val="1BB04F27"/>
    <w:rsid w:val="1BE5101F"/>
    <w:rsid w:val="1BFD16B2"/>
    <w:rsid w:val="1C103FA3"/>
    <w:rsid w:val="1C4E3F3C"/>
    <w:rsid w:val="1C4F52EF"/>
    <w:rsid w:val="1CAF105A"/>
    <w:rsid w:val="1CB25FAA"/>
    <w:rsid w:val="1CC05600"/>
    <w:rsid w:val="1CF93606"/>
    <w:rsid w:val="1D4C4F1C"/>
    <w:rsid w:val="1D70551D"/>
    <w:rsid w:val="1D84721B"/>
    <w:rsid w:val="1DE376F2"/>
    <w:rsid w:val="1DF919B7"/>
    <w:rsid w:val="1E747B65"/>
    <w:rsid w:val="1FA96E21"/>
    <w:rsid w:val="20511980"/>
    <w:rsid w:val="207848CC"/>
    <w:rsid w:val="21432DF6"/>
    <w:rsid w:val="216B3C80"/>
    <w:rsid w:val="216E0073"/>
    <w:rsid w:val="217A21C1"/>
    <w:rsid w:val="219F4C98"/>
    <w:rsid w:val="2206430E"/>
    <w:rsid w:val="223B07B8"/>
    <w:rsid w:val="224F617F"/>
    <w:rsid w:val="22561186"/>
    <w:rsid w:val="22857A6C"/>
    <w:rsid w:val="22C74DC7"/>
    <w:rsid w:val="23127DE3"/>
    <w:rsid w:val="2338088B"/>
    <w:rsid w:val="241B67D9"/>
    <w:rsid w:val="249A5F83"/>
    <w:rsid w:val="25F8537E"/>
    <w:rsid w:val="26767FCA"/>
    <w:rsid w:val="268E6A3E"/>
    <w:rsid w:val="269E75D9"/>
    <w:rsid w:val="26E35E10"/>
    <w:rsid w:val="270D275B"/>
    <w:rsid w:val="27202AA8"/>
    <w:rsid w:val="274A5031"/>
    <w:rsid w:val="274E6745"/>
    <w:rsid w:val="2770470A"/>
    <w:rsid w:val="278B222C"/>
    <w:rsid w:val="27BD54F3"/>
    <w:rsid w:val="27E000FB"/>
    <w:rsid w:val="2901082A"/>
    <w:rsid w:val="29015BC3"/>
    <w:rsid w:val="29662104"/>
    <w:rsid w:val="29754367"/>
    <w:rsid w:val="29CD483F"/>
    <w:rsid w:val="2A007DA8"/>
    <w:rsid w:val="2A1C2CB5"/>
    <w:rsid w:val="2A4100D7"/>
    <w:rsid w:val="2A6D0297"/>
    <w:rsid w:val="2A81654E"/>
    <w:rsid w:val="2A9655CB"/>
    <w:rsid w:val="2A9B040C"/>
    <w:rsid w:val="2ADC67E5"/>
    <w:rsid w:val="2AE3506A"/>
    <w:rsid w:val="2B22501B"/>
    <w:rsid w:val="2B65068C"/>
    <w:rsid w:val="2BAB1D19"/>
    <w:rsid w:val="2C890831"/>
    <w:rsid w:val="2D460CC5"/>
    <w:rsid w:val="2D881172"/>
    <w:rsid w:val="2DB12902"/>
    <w:rsid w:val="2DC65A5D"/>
    <w:rsid w:val="2DCF5352"/>
    <w:rsid w:val="2E5179A9"/>
    <w:rsid w:val="2E922B19"/>
    <w:rsid w:val="2E9C5BE6"/>
    <w:rsid w:val="2EB56382"/>
    <w:rsid w:val="2ECA1EE2"/>
    <w:rsid w:val="2EDC7D8F"/>
    <w:rsid w:val="2EFA5DA5"/>
    <w:rsid w:val="2F85555D"/>
    <w:rsid w:val="2FC63A86"/>
    <w:rsid w:val="2FCE6D7B"/>
    <w:rsid w:val="2FFA1E3A"/>
    <w:rsid w:val="300E1AB0"/>
    <w:rsid w:val="30AC4667"/>
    <w:rsid w:val="30F04CA4"/>
    <w:rsid w:val="318F242E"/>
    <w:rsid w:val="31BA7C68"/>
    <w:rsid w:val="32116E77"/>
    <w:rsid w:val="32212ED5"/>
    <w:rsid w:val="32E225C2"/>
    <w:rsid w:val="330076DC"/>
    <w:rsid w:val="332D0D8B"/>
    <w:rsid w:val="33480672"/>
    <w:rsid w:val="33B31894"/>
    <w:rsid w:val="33B70C4D"/>
    <w:rsid w:val="33E26B74"/>
    <w:rsid w:val="3467060D"/>
    <w:rsid w:val="349D32C1"/>
    <w:rsid w:val="34EC0B94"/>
    <w:rsid w:val="357D0366"/>
    <w:rsid w:val="35833151"/>
    <w:rsid w:val="359C7629"/>
    <w:rsid w:val="362640C0"/>
    <w:rsid w:val="368D0650"/>
    <w:rsid w:val="3733320C"/>
    <w:rsid w:val="37436B38"/>
    <w:rsid w:val="37902580"/>
    <w:rsid w:val="37D72911"/>
    <w:rsid w:val="38A9798D"/>
    <w:rsid w:val="38AA1DD4"/>
    <w:rsid w:val="38DA1FE0"/>
    <w:rsid w:val="38FC4562"/>
    <w:rsid w:val="39033292"/>
    <w:rsid w:val="3957450B"/>
    <w:rsid w:val="39805EEA"/>
    <w:rsid w:val="39974BB9"/>
    <w:rsid w:val="39DC4123"/>
    <w:rsid w:val="39EC512A"/>
    <w:rsid w:val="3A347BA7"/>
    <w:rsid w:val="3B1315A5"/>
    <w:rsid w:val="3B221F6D"/>
    <w:rsid w:val="3B3C5B74"/>
    <w:rsid w:val="3B985DA8"/>
    <w:rsid w:val="3C4F2F5B"/>
    <w:rsid w:val="3D1C63B4"/>
    <w:rsid w:val="3D201EF5"/>
    <w:rsid w:val="3DB77C44"/>
    <w:rsid w:val="3DCC459A"/>
    <w:rsid w:val="3DD27D42"/>
    <w:rsid w:val="3DFB4077"/>
    <w:rsid w:val="3E6E433D"/>
    <w:rsid w:val="3F6F5FCF"/>
    <w:rsid w:val="3FC3628E"/>
    <w:rsid w:val="401B4E92"/>
    <w:rsid w:val="403D6372"/>
    <w:rsid w:val="40EF2F19"/>
    <w:rsid w:val="411E510D"/>
    <w:rsid w:val="414169D7"/>
    <w:rsid w:val="41886A2A"/>
    <w:rsid w:val="422B7AE1"/>
    <w:rsid w:val="423A456F"/>
    <w:rsid w:val="42BC2E2F"/>
    <w:rsid w:val="43047911"/>
    <w:rsid w:val="43483E86"/>
    <w:rsid w:val="4354615E"/>
    <w:rsid w:val="43C875B2"/>
    <w:rsid w:val="43E20674"/>
    <w:rsid w:val="446D12AD"/>
    <w:rsid w:val="45037216"/>
    <w:rsid w:val="45853CA2"/>
    <w:rsid w:val="458E4192"/>
    <w:rsid w:val="45AA6D54"/>
    <w:rsid w:val="460B0005"/>
    <w:rsid w:val="462F460B"/>
    <w:rsid w:val="4642275B"/>
    <w:rsid w:val="46BC33FE"/>
    <w:rsid w:val="47A06294"/>
    <w:rsid w:val="47B1511C"/>
    <w:rsid w:val="47C04721"/>
    <w:rsid w:val="48686BDB"/>
    <w:rsid w:val="4880045B"/>
    <w:rsid w:val="488316ED"/>
    <w:rsid w:val="488E6C9B"/>
    <w:rsid w:val="488F26C5"/>
    <w:rsid w:val="48A8771B"/>
    <w:rsid w:val="48E02ABA"/>
    <w:rsid w:val="49194817"/>
    <w:rsid w:val="4981092F"/>
    <w:rsid w:val="49C5081B"/>
    <w:rsid w:val="4A062BE2"/>
    <w:rsid w:val="4BD42F14"/>
    <w:rsid w:val="4BF76C86"/>
    <w:rsid w:val="4BF819E9"/>
    <w:rsid w:val="4C97537F"/>
    <w:rsid w:val="4CB64358"/>
    <w:rsid w:val="4CDB4DCE"/>
    <w:rsid w:val="4D151ABA"/>
    <w:rsid w:val="4D7F6F33"/>
    <w:rsid w:val="4DAD3AA0"/>
    <w:rsid w:val="4E552E90"/>
    <w:rsid w:val="4ED66ED1"/>
    <w:rsid w:val="4EDB7CC1"/>
    <w:rsid w:val="4EFD7176"/>
    <w:rsid w:val="4F8503B4"/>
    <w:rsid w:val="4F960564"/>
    <w:rsid w:val="5010139D"/>
    <w:rsid w:val="50740E07"/>
    <w:rsid w:val="5108650A"/>
    <w:rsid w:val="5119769F"/>
    <w:rsid w:val="513872E4"/>
    <w:rsid w:val="515A169C"/>
    <w:rsid w:val="51E82967"/>
    <w:rsid w:val="51F25327"/>
    <w:rsid w:val="521154AE"/>
    <w:rsid w:val="52120BD5"/>
    <w:rsid w:val="52707AE1"/>
    <w:rsid w:val="52A25C2B"/>
    <w:rsid w:val="52AA3E85"/>
    <w:rsid w:val="52F44C6A"/>
    <w:rsid w:val="538A0F34"/>
    <w:rsid w:val="53983A49"/>
    <w:rsid w:val="539C0FBF"/>
    <w:rsid w:val="53C31560"/>
    <w:rsid w:val="54624EB9"/>
    <w:rsid w:val="54A8564D"/>
    <w:rsid w:val="54D26BEB"/>
    <w:rsid w:val="54E84465"/>
    <w:rsid w:val="55B61960"/>
    <w:rsid w:val="55BD279A"/>
    <w:rsid w:val="55E26B54"/>
    <w:rsid w:val="5627299D"/>
    <w:rsid w:val="56A45C5C"/>
    <w:rsid w:val="56E460B2"/>
    <w:rsid w:val="577631F1"/>
    <w:rsid w:val="57AE2374"/>
    <w:rsid w:val="57B46AD7"/>
    <w:rsid w:val="57B76B3C"/>
    <w:rsid w:val="57DD5E11"/>
    <w:rsid w:val="57E5652D"/>
    <w:rsid w:val="5805117F"/>
    <w:rsid w:val="581D6016"/>
    <w:rsid w:val="585841CB"/>
    <w:rsid w:val="588C710B"/>
    <w:rsid w:val="588E0972"/>
    <w:rsid w:val="58EC759A"/>
    <w:rsid w:val="59367040"/>
    <w:rsid w:val="59C674A6"/>
    <w:rsid w:val="5AAA175C"/>
    <w:rsid w:val="5ACA6ECC"/>
    <w:rsid w:val="5B285DC7"/>
    <w:rsid w:val="5B5F03A4"/>
    <w:rsid w:val="5BC75FD9"/>
    <w:rsid w:val="5BE54BBA"/>
    <w:rsid w:val="5C2505E2"/>
    <w:rsid w:val="5C5E532E"/>
    <w:rsid w:val="5C9B3E80"/>
    <w:rsid w:val="5CB14C2F"/>
    <w:rsid w:val="5CE02AB3"/>
    <w:rsid w:val="5CF5636D"/>
    <w:rsid w:val="5D6323CD"/>
    <w:rsid w:val="5DD466A1"/>
    <w:rsid w:val="5E4E2A21"/>
    <w:rsid w:val="5E8657D0"/>
    <w:rsid w:val="5EC9616E"/>
    <w:rsid w:val="5ECF797E"/>
    <w:rsid w:val="5F1A6884"/>
    <w:rsid w:val="5F447FDD"/>
    <w:rsid w:val="5FC8734C"/>
    <w:rsid w:val="600A2FD4"/>
    <w:rsid w:val="60151DB8"/>
    <w:rsid w:val="60430533"/>
    <w:rsid w:val="60BB72A0"/>
    <w:rsid w:val="610C692D"/>
    <w:rsid w:val="614608E4"/>
    <w:rsid w:val="615B21A4"/>
    <w:rsid w:val="61882556"/>
    <w:rsid w:val="61893A71"/>
    <w:rsid w:val="61E77A35"/>
    <w:rsid w:val="62243474"/>
    <w:rsid w:val="625D6F2F"/>
    <w:rsid w:val="62CC1F4B"/>
    <w:rsid w:val="62E310E6"/>
    <w:rsid w:val="63515A9B"/>
    <w:rsid w:val="64483F28"/>
    <w:rsid w:val="6452734A"/>
    <w:rsid w:val="649F7C9D"/>
    <w:rsid w:val="64FC0688"/>
    <w:rsid w:val="65493EEC"/>
    <w:rsid w:val="654A79CF"/>
    <w:rsid w:val="65B343F5"/>
    <w:rsid w:val="65CB6290"/>
    <w:rsid w:val="65D00F51"/>
    <w:rsid w:val="667F1A2B"/>
    <w:rsid w:val="669B32D1"/>
    <w:rsid w:val="66A80E51"/>
    <w:rsid w:val="66B67DBC"/>
    <w:rsid w:val="66BC2B4E"/>
    <w:rsid w:val="6710161E"/>
    <w:rsid w:val="676234A9"/>
    <w:rsid w:val="67B40BF1"/>
    <w:rsid w:val="67D21403"/>
    <w:rsid w:val="67D8551A"/>
    <w:rsid w:val="67E63627"/>
    <w:rsid w:val="680453DF"/>
    <w:rsid w:val="68246BBB"/>
    <w:rsid w:val="683F4AF9"/>
    <w:rsid w:val="684469AB"/>
    <w:rsid w:val="68BB579E"/>
    <w:rsid w:val="692866AF"/>
    <w:rsid w:val="69377CD1"/>
    <w:rsid w:val="695F613F"/>
    <w:rsid w:val="6A214920"/>
    <w:rsid w:val="6A235C52"/>
    <w:rsid w:val="6ADB721A"/>
    <w:rsid w:val="6B08773F"/>
    <w:rsid w:val="6B5E28AF"/>
    <w:rsid w:val="6B737E13"/>
    <w:rsid w:val="6B760662"/>
    <w:rsid w:val="6BF7791A"/>
    <w:rsid w:val="6C6B38E6"/>
    <w:rsid w:val="6D262F95"/>
    <w:rsid w:val="6D4E2C7F"/>
    <w:rsid w:val="6E0160C7"/>
    <w:rsid w:val="6E241705"/>
    <w:rsid w:val="6E815092"/>
    <w:rsid w:val="6EBD0F25"/>
    <w:rsid w:val="6ED26007"/>
    <w:rsid w:val="6EEA6ECE"/>
    <w:rsid w:val="6F415205"/>
    <w:rsid w:val="6F4A6F49"/>
    <w:rsid w:val="6F6D491A"/>
    <w:rsid w:val="6FB02553"/>
    <w:rsid w:val="6FC03866"/>
    <w:rsid w:val="6FE82285"/>
    <w:rsid w:val="70095323"/>
    <w:rsid w:val="7046186E"/>
    <w:rsid w:val="70642AF1"/>
    <w:rsid w:val="7074222B"/>
    <w:rsid w:val="70FE5CEE"/>
    <w:rsid w:val="71467BE4"/>
    <w:rsid w:val="72926798"/>
    <w:rsid w:val="729736B0"/>
    <w:rsid w:val="741334F1"/>
    <w:rsid w:val="742E508B"/>
    <w:rsid w:val="745F7D66"/>
    <w:rsid w:val="74624D35"/>
    <w:rsid w:val="746610D7"/>
    <w:rsid w:val="749F4535"/>
    <w:rsid w:val="751C09E0"/>
    <w:rsid w:val="75553680"/>
    <w:rsid w:val="75572824"/>
    <w:rsid w:val="75CB5578"/>
    <w:rsid w:val="75E672A0"/>
    <w:rsid w:val="762865F3"/>
    <w:rsid w:val="76430996"/>
    <w:rsid w:val="765D4560"/>
    <w:rsid w:val="76BD6253"/>
    <w:rsid w:val="76E51514"/>
    <w:rsid w:val="76F92243"/>
    <w:rsid w:val="77FE4B5D"/>
    <w:rsid w:val="781A448C"/>
    <w:rsid w:val="786F2C0E"/>
    <w:rsid w:val="78B41EC8"/>
    <w:rsid w:val="78C2159E"/>
    <w:rsid w:val="78EF46BD"/>
    <w:rsid w:val="79022643"/>
    <w:rsid w:val="79682330"/>
    <w:rsid w:val="79875270"/>
    <w:rsid w:val="798F2510"/>
    <w:rsid w:val="7A067401"/>
    <w:rsid w:val="7A5769BE"/>
    <w:rsid w:val="7A5F5873"/>
    <w:rsid w:val="7A750E83"/>
    <w:rsid w:val="7B18614D"/>
    <w:rsid w:val="7B450CA2"/>
    <w:rsid w:val="7BAE6BD4"/>
    <w:rsid w:val="7BCC0858"/>
    <w:rsid w:val="7BF32717"/>
    <w:rsid w:val="7BF87D2D"/>
    <w:rsid w:val="7C0A7ACD"/>
    <w:rsid w:val="7DB526FC"/>
    <w:rsid w:val="7F912AD9"/>
    <w:rsid w:val="7FA15E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nhideWhenUsed="0" w:uiPriority="0" w:semiHidden="0" w:name="toc 2"/>
    <w:lsdException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35" w:semiHidden="0" w:name="caption"/>
    <w:lsdException w:qFormat="1" w:unhideWhenUsed="0" w:uiPriority="0"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0" w:name="page number"/>
    <w:lsdException w:uiPriority="99" w:name="endnote reference"/>
    <w:lsdException w:uiPriority="99" w:name="endnote text"/>
    <w:lsdException w:uiPriority="99" w:name="table of authorities"/>
    <w:lsdException w:uiPriority="99" w:name="macro"/>
    <w:lsdException w:uiPriority="99" w:name="toa heading"/>
    <w:lsdException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qFormat="1" w:uiPriority="0" w:name="Block Text"/>
    <w:lsdException w:qFormat="1" w:unhideWhenUsed="0" w:uiPriority="0" w:semiHidden="0" w:name="Hyperlink"/>
    <w:lsdException w:uiPriority="99" w:name="FollowedHyperlink"/>
    <w:lsdException w:qFormat="1" w:unhideWhenUsed="0" w:uiPriority="0" w:semiHidden="0" w:name="Strong"/>
    <w:lsdException w:unhideWhenUsed="0" w:uiPriority="20" w:semiHidden="0" w:name="Emphasis"/>
    <w:lsdException w:uiPriority="99" w:name="Document Map"/>
    <w:lsdException w:qFormat="1" w:unhideWhenUsed="0" w:uiPriority="99"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qFormat="1"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200" w:firstLineChars="200"/>
      <w:jc w:val="both"/>
    </w:pPr>
    <w:rPr>
      <w:rFonts w:ascii="Times New Roman" w:hAnsi="Times New Roman" w:eastAsia="宋体" w:cstheme="minorBidi"/>
      <w:kern w:val="2"/>
      <w:sz w:val="24"/>
      <w:szCs w:val="22"/>
      <w:lang w:val="en-US" w:eastAsia="zh-CN" w:bidi="ar-SA"/>
    </w:rPr>
  </w:style>
  <w:style w:type="paragraph" w:styleId="2">
    <w:name w:val="heading 1"/>
    <w:basedOn w:val="1"/>
    <w:next w:val="1"/>
    <w:link w:val="32"/>
    <w:qFormat/>
    <w:uiPriority w:val="9"/>
    <w:pPr>
      <w:widowControl/>
      <w:numPr>
        <w:ilvl w:val="0"/>
        <w:numId w:val="1"/>
      </w:numPr>
      <w:spacing w:before="100" w:beforeAutospacing="1" w:after="100" w:afterAutospacing="1" w:line="240" w:lineRule="auto"/>
      <w:ind w:firstLineChars="0"/>
      <w:jc w:val="center"/>
      <w:outlineLvl w:val="0"/>
    </w:pPr>
    <w:rPr>
      <w:rFonts w:ascii="黑体" w:hAnsi="黑体" w:eastAsia="黑体" w:cs="Times New Roman"/>
      <w:snapToGrid w:val="0"/>
      <w:kern w:val="0"/>
      <w:sz w:val="30"/>
      <w:szCs w:val="30"/>
    </w:rPr>
  </w:style>
  <w:style w:type="paragraph" w:styleId="3">
    <w:name w:val="heading 2"/>
    <w:basedOn w:val="1"/>
    <w:next w:val="1"/>
    <w:link w:val="33"/>
    <w:unhideWhenUsed/>
    <w:qFormat/>
    <w:uiPriority w:val="9"/>
    <w:pPr>
      <w:spacing w:before="50" w:beforeLines="50"/>
      <w:ind w:firstLine="0" w:firstLineChars="0"/>
      <w:outlineLvl w:val="1"/>
    </w:pPr>
    <w:rPr>
      <w:rFonts w:cs="Times New Roman"/>
      <w:b/>
      <w:szCs w:val="21"/>
    </w:rPr>
  </w:style>
  <w:style w:type="paragraph" w:styleId="4">
    <w:name w:val="heading 3"/>
    <w:basedOn w:val="1"/>
    <w:next w:val="1"/>
    <w:link w:val="34"/>
    <w:semiHidden/>
    <w:unhideWhenUsed/>
    <w:qFormat/>
    <w:uiPriority w:val="9"/>
    <w:pPr>
      <w:keepNext/>
      <w:keepLines/>
      <w:numPr>
        <w:ilvl w:val="2"/>
        <w:numId w:val="1"/>
      </w:numPr>
      <w:spacing w:before="260" w:after="260" w:line="416" w:lineRule="auto"/>
      <w:ind w:firstLineChars="0"/>
      <w:outlineLvl w:val="2"/>
    </w:pPr>
    <w:rPr>
      <w:b/>
      <w:bCs/>
      <w:sz w:val="32"/>
      <w:szCs w:val="32"/>
    </w:rPr>
  </w:style>
  <w:style w:type="paragraph" w:styleId="5">
    <w:name w:val="heading 4"/>
    <w:basedOn w:val="1"/>
    <w:next w:val="1"/>
    <w:link w:val="35"/>
    <w:semiHidden/>
    <w:unhideWhenUsed/>
    <w:qFormat/>
    <w:uiPriority w:val="9"/>
    <w:pPr>
      <w:keepNext/>
      <w:keepLines/>
      <w:numPr>
        <w:ilvl w:val="3"/>
        <w:numId w:val="1"/>
      </w:numPr>
      <w:spacing w:before="280" w:after="290" w:line="376" w:lineRule="auto"/>
      <w:ind w:firstLineChars="0"/>
      <w:outlineLvl w:val="3"/>
    </w:pPr>
    <w:rPr>
      <w:rFonts w:asciiTheme="majorHAnsi" w:hAnsiTheme="majorHAnsi" w:eastAsiaTheme="majorEastAsia" w:cstheme="majorBidi"/>
      <w:b/>
      <w:bCs/>
      <w:sz w:val="28"/>
      <w:szCs w:val="28"/>
    </w:rPr>
  </w:style>
  <w:style w:type="paragraph" w:styleId="6">
    <w:name w:val="heading 5"/>
    <w:basedOn w:val="1"/>
    <w:next w:val="1"/>
    <w:link w:val="36"/>
    <w:semiHidden/>
    <w:unhideWhenUsed/>
    <w:qFormat/>
    <w:uiPriority w:val="9"/>
    <w:pPr>
      <w:keepNext/>
      <w:keepLines/>
      <w:numPr>
        <w:ilvl w:val="4"/>
        <w:numId w:val="1"/>
      </w:numPr>
      <w:spacing w:before="280" w:after="290" w:line="376" w:lineRule="auto"/>
      <w:ind w:firstLineChars="0"/>
      <w:outlineLvl w:val="4"/>
    </w:pPr>
    <w:rPr>
      <w:b/>
      <w:bCs/>
      <w:sz w:val="28"/>
      <w:szCs w:val="28"/>
    </w:rPr>
  </w:style>
  <w:style w:type="paragraph" w:styleId="7">
    <w:name w:val="heading 6"/>
    <w:basedOn w:val="1"/>
    <w:next w:val="1"/>
    <w:link w:val="37"/>
    <w:semiHidden/>
    <w:unhideWhenUsed/>
    <w:qFormat/>
    <w:uiPriority w:val="9"/>
    <w:pPr>
      <w:keepNext/>
      <w:keepLines/>
      <w:numPr>
        <w:ilvl w:val="5"/>
        <w:numId w:val="1"/>
      </w:numPr>
      <w:spacing w:before="240" w:after="64" w:line="320" w:lineRule="auto"/>
      <w:ind w:firstLineChars="0"/>
      <w:outlineLvl w:val="5"/>
    </w:pPr>
    <w:rPr>
      <w:rFonts w:asciiTheme="majorHAnsi" w:hAnsiTheme="majorHAnsi" w:eastAsiaTheme="majorEastAsia" w:cstheme="majorBidi"/>
      <w:b/>
      <w:bCs/>
      <w:szCs w:val="24"/>
    </w:rPr>
  </w:style>
  <w:style w:type="paragraph" w:styleId="8">
    <w:name w:val="heading 7"/>
    <w:basedOn w:val="1"/>
    <w:next w:val="1"/>
    <w:link w:val="38"/>
    <w:semiHidden/>
    <w:unhideWhenUsed/>
    <w:qFormat/>
    <w:uiPriority w:val="9"/>
    <w:pPr>
      <w:keepNext/>
      <w:keepLines/>
      <w:numPr>
        <w:ilvl w:val="6"/>
        <w:numId w:val="1"/>
      </w:numPr>
      <w:spacing w:before="240" w:after="64" w:line="320" w:lineRule="auto"/>
      <w:ind w:firstLineChars="0"/>
      <w:outlineLvl w:val="6"/>
    </w:pPr>
    <w:rPr>
      <w:b/>
      <w:bCs/>
      <w:szCs w:val="24"/>
    </w:rPr>
  </w:style>
  <w:style w:type="paragraph" w:styleId="9">
    <w:name w:val="heading 8"/>
    <w:basedOn w:val="1"/>
    <w:next w:val="1"/>
    <w:link w:val="39"/>
    <w:semiHidden/>
    <w:unhideWhenUsed/>
    <w:qFormat/>
    <w:uiPriority w:val="9"/>
    <w:pPr>
      <w:keepNext/>
      <w:keepLines/>
      <w:numPr>
        <w:ilvl w:val="7"/>
        <w:numId w:val="1"/>
      </w:numPr>
      <w:spacing w:before="240" w:after="64" w:line="320" w:lineRule="auto"/>
      <w:ind w:firstLineChars="0"/>
      <w:outlineLvl w:val="7"/>
    </w:pPr>
    <w:rPr>
      <w:rFonts w:asciiTheme="majorHAnsi" w:hAnsiTheme="majorHAnsi" w:eastAsiaTheme="majorEastAsia" w:cstheme="majorBidi"/>
      <w:szCs w:val="24"/>
    </w:rPr>
  </w:style>
  <w:style w:type="paragraph" w:styleId="10">
    <w:name w:val="heading 9"/>
    <w:basedOn w:val="1"/>
    <w:next w:val="1"/>
    <w:link w:val="40"/>
    <w:semiHidden/>
    <w:unhideWhenUsed/>
    <w:qFormat/>
    <w:uiPriority w:val="9"/>
    <w:pPr>
      <w:keepNext/>
      <w:keepLines/>
      <w:numPr>
        <w:ilvl w:val="8"/>
        <w:numId w:val="1"/>
      </w:numPr>
      <w:spacing w:before="240" w:after="64" w:line="320" w:lineRule="auto"/>
      <w:ind w:firstLineChars="0"/>
      <w:outlineLvl w:val="8"/>
    </w:pPr>
    <w:rPr>
      <w:rFonts w:asciiTheme="majorHAnsi" w:hAnsiTheme="majorHAnsi" w:eastAsiaTheme="majorEastAsia" w:cstheme="majorBidi"/>
      <w:sz w:val="21"/>
      <w:szCs w:val="21"/>
    </w:rPr>
  </w:style>
  <w:style w:type="character" w:default="1" w:styleId="28">
    <w:name w:val="Default Paragraph Font"/>
    <w:unhideWhenUsed/>
    <w:qFormat/>
    <w:uiPriority w:val="1"/>
  </w:style>
  <w:style w:type="table" w:default="1" w:styleId="26">
    <w:name w:val="Normal Table"/>
    <w:semiHidden/>
    <w:unhideWhenUsed/>
    <w:qFormat/>
    <w:uiPriority w:val="99"/>
    <w:tblPr>
      <w:tblCellMar>
        <w:top w:w="0" w:type="dxa"/>
        <w:left w:w="108" w:type="dxa"/>
        <w:bottom w:w="0" w:type="dxa"/>
        <w:right w:w="108" w:type="dxa"/>
      </w:tblCellMar>
    </w:tblPr>
  </w:style>
  <w:style w:type="paragraph" w:styleId="11">
    <w:name w:val="caption"/>
    <w:basedOn w:val="12"/>
    <w:next w:val="1"/>
    <w:unhideWhenUsed/>
    <w:qFormat/>
    <w:uiPriority w:val="35"/>
    <w:pPr>
      <w:spacing w:after="156"/>
    </w:pPr>
    <w:rPr>
      <w:b/>
    </w:rPr>
  </w:style>
  <w:style w:type="paragraph" w:customStyle="1" w:styleId="12">
    <w:name w:val="表格内容"/>
    <w:basedOn w:val="13"/>
    <w:link w:val="43"/>
    <w:qFormat/>
    <w:uiPriority w:val="0"/>
    <w:pPr>
      <w:widowControl/>
      <w:spacing w:line="240" w:lineRule="auto"/>
      <w:ind w:firstLine="0" w:firstLineChars="0"/>
      <w:jc w:val="center"/>
    </w:pPr>
    <w:rPr>
      <w:rFonts w:ascii="Times New Roman" w:hAnsi="Times New Roman" w:eastAsia="宋体" w:cs="黑体"/>
      <w:b w:val="0"/>
      <w:szCs w:val="24"/>
    </w:rPr>
  </w:style>
  <w:style w:type="paragraph" w:customStyle="1" w:styleId="13">
    <w:name w:val="表格粗"/>
    <w:basedOn w:val="1"/>
    <w:qFormat/>
    <w:uiPriority w:val="0"/>
    <w:pPr>
      <w:adjustRightInd w:val="0"/>
      <w:snapToGrid w:val="0"/>
      <w:spacing w:line="240" w:lineRule="auto"/>
      <w:ind w:firstLine="0" w:firstLineChars="0"/>
      <w:jc w:val="center"/>
    </w:pPr>
    <w:rPr>
      <w:rFonts w:ascii="Times New Roman" w:hAnsi="Times New Roman" w:eastAsia="宋体"/>
      <w:b/>
      <w:bCs/>
      <w:kern w:val="0"/>
      <w:sz w:val="21"/>
      <w:szCs w:val="28"/>
    </w:rPr>
  </w:style>
  <w:style w:type="paragraph" w:styleId="14">
    <w:name w:val="annotation text"/>
    <w:basedOn w:val="1"/>
    <w:qFormat/>
    <w:uiPriority w:val="0"/>
    <w:pPr>
      <w:jc w:val="left"/>
    </w:pPr>
  </w:style>
  <w:style w:type="paragraph" w:styleId="15">
    <w:name w:val="Body Text"/>
    <w:basedOn w:val="1"/>
    <w:link w:val="44"/>
    <w:semiHidden/>
    <w:unhideWhenUsed/>
    <w:qFormat/>
    <w:uiPriority w:val="99"/>
    <w:pPr>
      <w:spacing w:after="120"/>
    </w:pPr>
  </w:style>
  <w:style w:type="paragraph" w:styleId="16">
    <w:name w:val="Body Text Indent 2"/>
    <w:basedOn w:val="1"/>
    <w:next w:val="17"/>
    <w:qFormat/>
    <w:uiPriority w:val="0"/>
    <w:pPr>
      <w:spacing w:before="15" w:line="480" w:lineRule="exact"/>
      <w:ind w:firstLine="496" w:firstLineChars="200"/>
    </w:pPr>
    <w:rPr>
      <w:rFonts w:ascii="宋体" w:hAnsi="宋体"/>
      <w:spacing w:val="4"/>
      <w:sz w:val="24"/>
    </w:rPr>
  </w:style>
  <w:style w:type="paragraph" w:customStyle="1" w:styleId="17">
    <w:name w:val="表格文字"/>
    <w:basedOn w:val="15"/>
    <w:next w:val="1"/>
    <w:qFormat/>
    <w:uiPriority w:val="0"/>
    <w:pPr>
      <w:spacing w:line="280" w:lineRule="exact"/>
      <w:ind w:firstLine="0" w:firstLineChars="0"/>
      <w:jc w:val="left"/>
    </w:pPr>
    <w:rPr>
      <w:sz w:val="18"/>
    </w:rPr>
  </w:style>
  <w:style w:type="paragraph" w:styleId="18">
    <w:name w:val="footer"/>
    <w:basedOn w:val="1"/>
    <w:qFormat/>
    <w:uiPriority w:val="99"/>
    <w:pPr>
      <w:tabs>
        <w:tab w:val="center" w:pos="4153"/>
        <w:tab w:val="right" w:pos="8306"/>
      </w:tabs>
      <w:snapToGrid w:val="0"/>
      <w:jc w:val="left"/>
    </w:pPr>
    <w:rPr>
      <w:kern w:val="0"/>
      <w:sz w:val="18"/>
      <w:szCs w:val="20"/>
    </w:rPr>
  </w:style>
  <w:style w:type="paragraph" w:styleId="19">
    <w:name w:val="toc 1"/>
    <w:basedOn w:val="1"/>
    <w:next w:val="1"/>
    <w:qFormat/>
    <w:uiPriority w:val="0"/>
  </w:style>
  <w:style w:type="paragraph" w:styleId="20">
    <w:name w:val="Subtitle"/>
    <w:basedOn w:val="1"/>
    <w:next w:val="1"/>
    <w:link w:val="41"/>
    <w:qFormat/>
    <w:uiPriority w:val="11"/>
    <w:pPr>
      <w:ind w:firstLine="0" w:firstLineChars="0"/>
      <w:jc w:val="center"/>
    </w:pPr>
  </w:style>
  <w:style w:type="paragraph" w:styleId="21">
    <w:name w:val="table of figures"/>
    <w:basedOn w:val="1"/>
    <w:next w:val="1"/>
    <w:semiHidden/>
    <w:qFormat/>
    <w:uiPriority w:val="0"/>
    <w:pPr>
      <w:ind w:left="840" w:leftChars="200" w:hanging="420" w:hangingChars="200"/>
    </w:pPr>
  </w:style>
  <w:style w:type="paragraph" w:styleId="22">
    <w:name w:val="Normal (Web)"/>
    <w:basedOn w:val="1"/>
    <w:qFormat/>
    <w:uiPriority w:val="0"/>
    <w:rPr>
      <w:sz w:val="24"/>
    </w:rPr>
  </w:style>
  <w:style w:type="paragraph" w:styleId="23">
    <w:name w:val="Title"/>
    <w:basedOn w:val="24"/>
    <w:next w:val="1"/>
    <w:link w:val="42"/>
    <w:qFormat/>
    <w:uiPriority w:val="10"/>
    <w:pPr>
      <w:jc w:val="left"/>
    </w:pPr>
    <w:rPr>
      <w:sz w:val="24"/>
      <w:szCs w:val="28"/>
    </w:rPr>
  </w:style>
  <w:style w:type="paragraph" w:styleId="24">
    <w:name w:val="No Spacing"/>
    <w:basedOn w:val="1"/>
    <w:next w:val="1"/>
    <w:qFormat/>
    <w:uiPriority w:val="1"/>
    <w:pPr>
      <w:spacing w:line="240" w:lineRule="auto"/>
      <w:ind w:firstLine="0" w:firstLineChars="0"/>
      <w:jc w:val="center"/>
    </w:pPr>
    <w:rPr>
      <w:sz w:val="21"/>
    </w:rPr>
  </w:style>
  <w:style w:type="paragraph" w:styleId="25">
    <w:name w:val="Body Text First Indent"/>
    <w:basedOn w:val="15"/>
    <w:qFormat/>
    <w:uiPriority w:val="0"/>
    <w:pPr>
      <w:widowControl w:val="0"/>
      <w:snapToGrid/>
      <w:spacing w:before="0" w:after="120" w:line="240" w:lineRule="auto"/>
      <w:ind w:right="0" w:firstLine="420" w:firstLineChars="100"/>
    </w:pPr>
    <w:rPr>
      <w:kern w:val="2"/>
      <w:sz w:val="21"/>
    </w:rPr>
  </w:style>
  <w:style w:type="table" w:styleId="27">
    <w:name w:val="Table Grid"/>
    <w:basedOn w:val="2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9">
    <w:name w:val="Strong"/>
    <w:qFormat/>
    <w:uiPriority w:val="0"/>
    <w:rPr>
      <w:b/>
      <w:bCs/>
    </w:rPr>
  </w:style>
  <w:style w:type="character" w:styleId="30">
    <w:name w:val="Hyperlink"/>
    <w:basedOn w:val="28"/>
    <w:qFormat/>
    <w:uiPriority w:val="0"/>
    <w:rPr>
      <w:color w:val="0000FF"/>
      <w:u w:val="single"/>
    </w:rPr>
  </w:style>
  <w:style w:type="character" w:styleId="31">
    <w:name w:val="annotation reference"/>
    <w:basedOn w:val="28"/>
    <w:semiHidden/>
    <w:unhideWhenUsed/>
    <w:qFormat/>
    <w:uiPriority w:val="99"/>
    <w:rPr>
      <w:sz w:val="21"/>
      <w:szCs w:val="21"/>
    </w:rPr>
  </w:style>
  <w:style w:type="character" w:customStyle="1" w:styleId="32">
    <w:name w:val="标题 1 字符"/>
    <w:basedOn w:val="28"/>
    <w:link w:val="2"/>
    <w:qFormat/>
    <w:uiPriority w:val="9"/>
    <w:rPr>
      <w:rFonts w:ascii="黑体" w:hAnsi="黑体" w:eastAsia="黑体" w:cs="Times New Roman"/>
      <w:snapToGrid w:val="0"/>
      <w:kern w:val="0"/>
      <w:sz w:val="30"/>
      <w:szCs w:val="30"/>
    </w:rPr>
  </w:style>
  <w:style w:type="character" w:customStyle="1" w:styleId="33">
    <w:name w:val="标题 2 字符"/>
    <w:basedOn w:val="28"/>
    <w:link w:val="3"/>
    <w:qFormat/>
    <w:uiPriority w:val="9"/>
    <w:rPr>
      <w:rFonts w:ascii="Times New Roman" w:hAnsi="Times New Roman" w:eastAsia="宋体" w:cs="Times New Roman"/>
      <w:b/>
      <w:sz w:val="24"/>
      <w:szCs w:val="21"/>
    </w:rPr>
  </w:style>
  <w:style w:type="character" w:customStyle="1" w:styleId="34">
    <w:name w:val="标题 3 字符"/>
    <w:basedOn w:val="28"/>
    <w:link w:val="4"/>
    <w:semiHidden/>
    <w:qFormat/>
    <w:uiPriority w:val="9"/>
    <w:rPr>
      <w:rFonts w:ascii="Times New Roman" w:hAnsi="Times New Roman" w:eastAsia="宋体"/>
      <w:b/>
      <w:bCs/>
      <w:sz w:val="32"/>
      <w:szCs w:val="32"/>
    </w:rPr>
  </w:style>
  <w:style w:type="character" w:customStyle="1" w:styleId="35">
    <w:name w:val="标题 4 字符"/>
    <w:basedOn w:val="28"/>
    <w:link w:val="5"/>
    <w:semiHidden/>
    <w:qFormat/>
    <w:uiPriority w:val="9"/>
    <w:rPr>
      <w:rFonts w:asciiTheme="majorHAnsi" w:hAnsiTheme="majorHAnsi" w:eastAsiaTheme="majorEastAsia" w:cstheme="majorBidi"/>
      <w:b/>
      <w:bCs/>
      <w:sz w:val="28"/>
      <w:szCs w:val="28"/>
    </w:rPr>
  </w:style>
  <w:style w:type="character" w:customStyle="1" w:styleId="36">
    <w:name w:val="标题 5 字符"/>
    <w:basedOn w:val="28"/>
    <w:link w:val="6"/>
    <w:semiHidden/>
    <w:qFormat/>
    <w:uiPriority w:val="9"/>
    <w:rPr>
      <w:rFonts w:ascii="Times New Roman" w:hAnsi="Times New Roman" w:eastAsia="宋体"/>
      <w:b/>
      <w:bCs/>
      <w:sz w:val="28"/>
      <w:szCs w:val="28"/>
    </w:rPr>
  </w:style>
  <w:style w:type="character" w:customStyle="1" w:styleId="37">
    <w:name w:val="标题 6 字符"/>
    <w:basedOn w:val="28"/>
    <w:link w:val="7"/>
    <w:semiHidden/>
    <w:qFormat/>
    <w:uiPriority w:val="9"/>
    <w:rPr>
      <w:rFonts w:asciiTheme="majorHAnsi" w:hAnsiTheme="majorHAnsi" w:eastAsiaTheme="majorEastAsia" w:cstheme="majorBidi"/>
      <w:b/>
      <w:bCs/>
      <w:sz w:val="24"/>
      <w:szCs w:val="24"/>
    </w:rPr>
  </w:style>
  <w:style w:type="character" w:customStyle="1" w:styleId="38">
    <w:name w:val="标题 7 字符"/>
    <w:basedOn w:val="28"/>
    <w:link w:val="8"/>
    <w:semiHidden/>
    <w:qFormat/>
    <w:uiPriority w:val="9"/>
    <w:rPr>
      <w:rFonts w:ascii="Times New Roman" w:hAnsi="Times New Roman" w:eastAsia="宋体"/>
      <w:b/>
      <w:bCs/>
      <w:sz w:val="24"/>
      <w:szCs w:val="24"/>
    </w:rPr>
  </w:style>
  <w:style w:type="character" w:customStyle="1" w:styleId="39">
    <w:name w:val="标题 8 字符"/>
    <w:basedOn w:val="28"/>
    <w:link w:val="9"/>
    <w:semiHidden/>
    <w:qFormat/>
    <w:uiPriority w:val="9"/>
    <w:rPr>
      <w:rFonts w:asciiTheme="majorHAnsi" w:hAnsiTheme="majorHAnsi" w:eastAsiaTheme="majorEastAsia" w:cstheme="majorBidi"/>
      <w:sz w:val="24"/>
      <w:szCs w:val="24"/>
    </w:rPr>
  </w:style>
  <w:style w:type="character" w:customStyle="1" w:styleId="40">
    <w:name w:val="标题 9 字符"/>
    <w:basedOn w:val="28"/>
    <w:link w:val="10"/>
    <w:semiHidden/>
    <w:qFormat/>
    <w:uiPriority w:val="9"/>
    <w:rPr>
      <w:rFonts w:asciiTheme="majorHAnsi" w:hAnsiTheme="majorHAnsi" w:eastAsiaTheme="majorEastAsia" w:cstheme="majorBidi"/>
      <w:szCs w:val="21"/>
    </w:rPr>
  </w:style>
  <w:style w:type="character" w:customStyle="1" w:styleId="41">
    <w:name w:val="副标题 字符"/>
    <w:basedOn w:val="28"/>
    <w:link w:val="20"/>
    <w:qFormat/>
    <w:uiPriority w:val="11"/>
    <w:rPr>
      <w:rFonts w:ascii="Times New Roman" w:hAnsi="Times New Roman" w:eastAsia="宋体"/>
      <w:sz w:val="24"/>
    </w:rPr>
  </w:style>
  <w:style w:type="character" w:customStyle="1" w:styleId="42">
    <w:name w:val="标题 字符"/>
    <w:basedOn w:val="28"/>
    <w:link w:val="23"/>
    <w:qFormat/>
    <w:uiPriority w:val="10"/>
    <w:rPr>
      <w:rFonts w:ascii="Times New Roman" w:hAnsi="Times New Roman" w:eastAsia="宋体"/>
      <w:sz w:val="24"/>
      <w:szCs w:val="28"/>
    </w:rPr>
  </w:style>
  <w:style w:type="character" w:customStyle="1" w:styleId="43">
    <w:name w:val="表格内容 字符"/>
    <w:basedOn w:val="28"/>
    <w:link w:val="12"/>
    <w:qFormat/>
    <w:uiPriority w:val="0"/>
    <w:rPr>
      <w:rFonts w:ascii="Times New Roman" w:hAnsi="Times New Roman" w:eastAsia="宋体" w:cs="黑体"/>
      <w:kern w:val="0"/>
      <w:szCs w:val="24"/>
    </w:rPr>
  </w:style>
  <w:style w:type="character" w:customStyle="1" w:styleId="44">
    <w:name w:val="正文文本 字符"/>
    <w:basedOn w:val="28"/>
    <w:link w:val="15"/>
    <w:semiHidden/>
    <w:qFormat/>
    <w:uiPriority w:val="99"/>
    <w:rPr>
      <w:rFonts w:ascii="Times New Roman" w:hAnsi="Times New Roman" w:eastAsia="宋体"/>
      <w:sz w:val="24"/>
    </w:rPr>
  </w:style>
  <w:style w:type="paragraph" w:customStyle="1" w:styleId="45">
    <w:name w:val="表格内加粗"/>
    <w:basedOn w:val="12"/>
    <w:next w:val="12"/>
    <w:qFormat/>
    <w:uiPriority w:val="0"/>
    <w:rPr>
      <w:b/>
    </w:rPr>
  </w:style>
  <w:style w:type="table" w:customStyle="1" w:styleId="46">
    <w:name w:val="默认表格"/>
    <w:basedOn w:val="26"/>
    <w:qFormat/>
    <w:uiPriority w:val="99"/>
    <w:pPr>
      <w:jc w:val="center"/>
    </w:pPr>
    <w:rPr>
      <w:rFonts w:ascii="Times New Roman" w:hAnsi="Times New Roman" w:eastAsia="宋体" w:cs="Times New Roman"/>
      <w:kern w:val="21"/>
      <w:sz w:val="20"/>
      <w:szCs w:val="20"/>
    </w:rPr>
    <w:tblPr>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cantSplit/>
      <w:jc w:val="center"/>
    </w:trPr>
    <w:tcPr>
      <w:vAlign w:val="center"/>
    </w:tcPr>
  </w:style>
  <w:style w:type="paragraph" w:customStyle="1" w:styleId="47">
    <w:name w:val="Revision"/>
    <w:hidden/>
    <w:semiHidden/>
    <w:qFormat/>
    <w:uiPriority w:val="99"/>
    <w:rPr>
      <w:rFonts w:ascii="Times New Roman" w:hAnsi="Times New Roman" w:eastAsia="宋体" w:cstheme="minorBidi"/>
      <w:kern w:val="2"/>
      <w:sz w:val="24"/>
      <w:szCs w:val="22"/>
      <w:lang w:val="en-US" w:eastAsia="zh-CN" w:bidi="ar-SA"/>
    </w:rPr>
  </w:style>
  <w:style w:type="table" w:customStyle="1" w:styleId="48">
    <w:name w:val="Table Normal"/>
    <w:unhideWhenUsed/>
    <w:qFormat/>
    <w:uiPriority w:val="0"/>
    <w:rPr>
      <w:rFonts w:ascii="Times New Roman" w:hAnsi="Times New Roman" w:eastAsia="宋体" w:cs="Times New Roman"/>
      <w:kern w:val="0"/>
      <w:sz w:val="20"/>
      <w:szCs w:val="20"/>
    </w:rPr>
    <w:tblPr>
      <w:tblCellMar>
        <w:top w:w="0" w:type="dxa"/>
        <w:left w:w="0" w:type="dxa"/>
        <w:bottom w:w="0" w:type="dxa"/>
        <w:right w:w="0" w:type="dxa"/>
      </w:tblCellMar>
    </w:tblPr>
  </w:style>
  <w:style w:type="paragraph" w:customStyle="1" w:styleId="49">
    <w:name w:val="Table Text"/>
    <w:basedOn w:val="1"/>
    <w:semiHidden/>
    <w:qFormat/>
    <w:uiPriority w:val="0"/>
    <w:rPr>
      <w:rFonts w:ascii="Constantia" w:hAnsi="Constantia" w:eastAsia="Constantia" w:cs="Constantia"/>
      <w:sz w:val="21"/>
      <w:szCs w:val="21"/>
      <w:lang w:val="en-US" w:eastAsia="en-US" w:bidi="ar-SA"/>
    </w:rPr>
  </w:style>
  <w:style w:type="character" w:customStyle="1" w:styleId="50">
    <w:name w:val="font01"/>
    <w:basedOn w:val="28"/>
    <w:qFormat/>
    <w:uiPriority w:val="0"/>
    <w:rPr>
      <w:rFonts w:hint="eastAsia" w:ascii="宋体" w:hAnsi="宋体" w:eastAsia="宋体" w:cs="宋体"/>
      <w:color w:val="000000"/>
      <w:sz w:val="24"/>
      <w:szCs w:val="24"/>
      <w:u w:val="none"/>
    </w:rPr>
  </w:style>
  <w:style w:type="paragraph" w:customStyle="1" w:styleId="51">
    <w:name w:val="宋-正文"/>
    <w:basedOn w:val="1"/>
    <w:qFormat/>
    <w:uiPriority w:val="0"/>
    <w:pPr>
      <w:topLinePunct/>
      <w:autoSpaceDE w:val="0"/>
      <w:autoSpaceDN w:val="0"/>
      <w:adjustRightInd w:val="0"/>
    </w:pPr>
    <w:rPr>
      <w:color w:val="000000"/>
      <w:kern w:val="0"/>
      <w:szCs w:val="24"/>
      <w:lang w:val="zh-CN"/>
    </w:rPr>
  </w:style>
  <w:style w:type="paragraph" w:customStyle="1" w:styleId="52">
    <w:name w:val="表文字"/>
    <w:basedOn w:val="1"/>
    <w:qFormat/>
    <w:uiPriority w:val="0"/>
    <w:pPr>
      <w:spacing w:line="240" w:lineRule="auto"/>
      <w:ind w:firstLine="0" w:firstLineChars="0"/>
      <w:jc w:val="center"/>
    </w:pPr>
    <w:rPr>
      <w:sz w:val="21"/>
      <w:szCs w:val="24"/>
    </w:rPr>
  </w:style>
  <w:style w:type="paragraph" w:customStyle="1" w:styleId="53">
    <w:name w:val="图4-X"/>
    <w:basedOn w:val="54"/>
    <w:next w:val="1"/>
    <w:qFormat/>
    <w:uiPriority w:val="0"/>
    <w:pPr>
      <w:numPr>
        <w:numId w:val="2"/>
      </w:numPr>
    </w:pPr>
    <w:rPr>
      <w:color w:val="000000"/>
      <w:szCs w:val="22"/>
    </w:rPr>
  </w:style>
  <w:style w:type="paragraph" w:customStyle="1" w:styleId="54">
    <w:name w:val="图3-X"/>
    <w:basedOn w:val="55"/>
    <w:qFormat/>
    <w:uiPriority w:val="0"/>
    <w:pPr>
      <w:numPr>
        <w:numId w:val="3"/>
      </w:numPr>
    </w:pPr>
  </w:style>
  <w:style w:type="paragraph" w:customStyle="1" w:styleId="55">
    <w:name w:val="图1-X"/>
    <w:basedOn w:val="1"/>
    <w:next w:val="1"/>
    <w:qFormat/>
    <w:uiPriority w:val="0"/>
    <w:pPr>
      <w:numPr>
        <w:ilvl w:val="0"/>
        <w:numId w:val="4"/>
      </w:numPr>
      <w:ind w:firstLineChars="0"/>
      <w:jc w:val="center"/>
    </w:pPr>
    <w:rPr>
      <w:b/>
      <w:kern w:val="0"/>
      <w:sz w:val="21"/>
      <w:szCs w:val="24"/>
      <w:lang w:val="zh-CN"/>
    </w:rPr>
  </w:style>
  <w:style w:type="paragraph" w:customStyle="1" w:styleId="56">
    <w:name w:val="表4-X"/>
    <w:basedOn w:val="57"/>
    <w:qFormat/>
    <w:uiPriority w:val="0"/>
    <w:pPr>
      <w:numPr>
        <w:numId w:val="5"/>
      </w:numPr>
    </w:pPr>
    <w:rPr>
      <w:color w:val="000000"/>
    </w:rPr>
  </w:style>
  <w:style w:type="paragraph" w:customStyle="1" w:styleId="57">
    <w:name w:val="表3-X"/>
    <w:basedOn w:val="58"/>
    <w:next w:val="1"/>
    <w:qFormat/>
    <w:uiPriority w:val="0"/>
    <w:pPr>
      <w:numPr>
        <w:numId w:val="6"/>
      </w:numPr>
    </w:pPr>
  </w:style>
  <w:style w:type="paragraph" w:customStyle="1" w:styleId="58">
    <w:name w:val="表1-x"/>
    <w:basedOn w:val="1"/>
    <w:next w:val="1"/>
    <w:qFormat/>
    <w:uiPriority w:val="0"/>
    <w:pPr>
      <w:numPr>
        <w:ilvl w:val="0"/>
        <w:numId w:val="7"/>
      </w:numPr>
      <w:spacing w:line="240" w:lineRule="auto"/>
      <w:ind w:left="0" w:firstLineChars="0"/>
      <w:jc w:val="center"/>
    </w:pPr>
    <w:rPr>
      <w:b/>
      <w:kern w:val="0"/>
      <w:sz w:val="21"/>
      <w:szCs w:val="20"/>
      <w:lang w:val="zh-CN"/>
    </w:rPr>
  </w:style>
  <w:style w:type="paragraph" w:customStyle="1" w:styleId="59">
    <w:name w:val="报告表格"/>
    <w:basedOn w:val="1"/>
    <w:qFormat/>
    <w:uiPriority w:val="0"/>
    <w:pPr>
      <w:autoSpaceDE w:val="0"/>
      <w:autoSpaceDN w:val="0"/>
      <w:adjustRightInd w:val="0"/>
      <w:spacing w:before="40" w:after="40" w:line="240" w:lineRule="auto"/>
      <w:jc w:val="center"/>
      <w:textAlignment w:val="bottom"/>
    </w:pPr>
    <w:rPr>
      <w:kern w:val="0"/>
      <w:sz w:val="21"/>
      <w:szCs w:val="20"/>
    </w:rPr>
  </w:style>
  <w:style w:type="paragraph" w:customStyle="1" w:styleId="60">
    <w:name w:val="报告书"/>
    <w:basedOn w:val="1"/>
    <w:qFormat/>
    <w:uiPriority w:val="0"/>
    <w:pPr>
      <w:autoSpaceDE w:val="0"/>
      <w:autoSpaceDN w:val="0"/>
      <w:adjustRightInd w:val="0"/>
      <w:spacing w:line="360" w:lineRule="auto"/>
      <w:ind w:firstLine="505"/>
      <w:jc w:val="left"/>
      <w:textAlignment w:val="bottom"/>
    </w:pPr>
    <w:rPr>
      <w:kern w:val="0"/>
      <w:szCs w:val="20"/>
    </w:rPr>
  </w:style>
  <w:style w:type="paragraph" w:customStyle="1" w:styleId="61">
    <w:name w:val="表格"/>
    <w:basedOn w:val="62"/>
    <w:next w:val="1"/>
    <w:qFormat/>
    <w:uiPriority w:val="0"/>
    <w:pPr>
      <w:adjustRightInd w:val="0"/>
      <w:snapToGrid w:val="0"/>
      <w:spacing w:beforeLines="10" w:afterLines="10" w:line="259" w:lineRule="auto"/>
      <w:jc w:val="center"/>
    </w:pPr>
    <w:rPr>
      <w:rFonts w:ascii="宋体"/>
      <w:kern w:val="0"/>
      <w:szCs w:val="20"/>
    </w:rPr>
  </w:style>
  <w:style w:type="paragraph" w:customStyle="1" w:styleId="62">
    <w:name w:val="表格内容数据报告"/>
    <w:basedOn w:val="1"/>
    <w:qFormat/>
    <w:uiPriority w:val="0"/>
    <w:pPr>
      <w:jc w:val="center"/>
      <w:textAlignment w:val="baseline"/>
    </w:pPr>
    <w:rPr>
      <w:rFonts w:ascii="Calibri" w:hAnsi="Calibri" w:cs="黑体"/>
      <w:kern w:val="0"/>
      <w:sz w:val="18"/>
      <w:szCs w:val="20"/>
    </w:rPr>
  </w:style>
  <w:style w:type="paragraph" w:customStyle="1" w:styleId="63">
    <w:name w:val="新表头"/>
    <w:basedOn w:val="1"/>
    <w:qFormat/>
    <w:uiPriority w:val="0"/>
    <w:pPr>
      <w:jc w:val="center"/>
    </w:pPr>
    <w:rPr>
      <w:rFonts w:ascii="Times New Roman" w:hAnsi="Times New Roman" w:eastAsia="黑体"/>
      <w:sz w:val="24"/>
      <w:szCs w:val="24"/>
    </w:rPr>
  </w:style>
  <w:style w:type="paragraph" w:customStyle="1" w:styleId="64">
    <w:name w:val="Default"/>
    <w:basedOn w:val="65"/>
    <w:next w:val="1"/>
    <w:qFormat/>
    <w:uiPriority w:val="0"/>
    <w:pPr>
      <w:widowControl w:val="0"/>
      <w:autoSpaceDE w:val="0"/>
      <w:autoSpaceDN w:val="0"/>
      <w:adjustRightInd w:val="0"/>
    </w:pPr>
    <w:rPr>
      <w:rFonts w:ascii="黑体" w:hAnsi="Calibri" w:eastAsia="黑体" w:cs="黑体"/>
      <w:color w:val="000000"/>
      <w:sz w:val="24"/>
      <w:szCs w:val="24"/>
      <w:lang w:val="en-US" w:eastAsia="zh-CN" w:bidi="ar-SA"/>
    </w:rPr>
  </w:style>
  <w:style w:type="paragraph" w:customStyle="1" w:styleId="65">
    <w:name w:val="纯文本1"/>
    <w:basedOn w:val="1"/>
    <w:qFormat/>
    <w:uiPriority w:val="0"/>
    <w:rPr>
      <w:rFonts w:hint="eastAsia" w:ascii="宋体" w:hAnsi="Courier New"/>
      <w:szCs w:val="22"/>
    </w:rPr>
  </w:style>
  <w:style w:type="paragraph" w:customStyle="1" w:styleId="66">
    <w:name w:val="我的正文"/>
    <w:basedOn w:val="1"/>
    <w:qFormat/>
    <w:uiPriority w:val="0"/>
    <w:pPr>
      <w:overflowPunct w:val="0"/>
      <w:autoSpaceDE w:val="0"/>
      <w:autoSpaceDN w:val="0"/>
      <w:ind w:firstLine="200" w:firstLineChars="200"/>
      <w:jc w:val="both"/>
    </w:pPr>
    <w:rPr>
      <w:rFonts w:ascii="Times New Roman" w:hAnsi="Times New Roman"/>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8" Type="http://schemas.openxmlformats.org/officeDocument/2006/relationships/fontTable" Target="fontTable.xml"/><Relationship Id="rId47" Type="http://schemas.openxmlformats.org/officeDocument/2006/relationships/customXml" Target="../customXml/item3.xml"/><Relationship Id="rId46" Type="http://schemas.openxmlformats.org/officeDocument/2006/relationships/customXml" Target="../customXml/item2.xml"/><Relationship Id="rId45" Type="http://schemas.openxmlformats.org/officeDocument/2006/relationships/numbering" Target="numbering.xml"/><Relationship Id="rId44" Type="http://schemas.openxmlformats.org/officeDocument/2006/relationships/customXml" Target="../customXml/item1.xml"/><Relationship Id="rId43" Type="http://schemas.openxmlformats.org/officeDocument/2006/relationships/image" Target="media/image27.png"/><Relationship Id="rId42" Type="http://schemas.openxmlformats.org/officeDocument/2006/relationships/image" Target="media/image26.png"/><Relationship Id="rId41" Type="http://schemas.openxmlformats.org/officeDocument/2006/relationships/image" Target="media/image25.png"/><Relationship Id="rId40" Type="http://schemas.openxmlformats.org/officeDocument/2006/relationships/image" Target="media/image24.png"/><Relationship Id="rId4" Type="http://schemas.openxmlformats.org/officeDocument/2006/relationships/endnotes" Target="endnotes.xml"/><Relationship Id="rId39" Type="http://schemas.openxmlformats.org/officeDocument/2006/relationships/image" Target="media/image23.png"/><Relationship Id="rId38" Type="http://schemas.openxmlformats.org/officeDocument/2006/relationships/image" Target="media/image22.png"/><Relationship Id="rId37" Type="http://schemas.openxmlformats.org/officeDocument/2006/relationships/image" Target="media/image21.png"/><Relationship Id="rId36" Type="http://schemas.openxmlformats.org/officeDocument/2006/relationships/image" Target="media/image20.png"/><Relationship Id="rId35" Type="http://schemas.openxmlformats.org/officeDocument/2006/relationships/image" Target="media/image19.png"/><Relationship Id="rId34" Type="http://schemas.openxmlformats.org/officeDocument/2006/relationships/image" Target="media/image18.png"/><Relationship Id="rId33" Type="http://schemas.openxmlformats.org/officeDocument/2006/relationships/image" Target="media/image17.png"/><Relationship Id="rId32" Type="http://schemas.openxmlformats.org/officeDocument/2006/relationships/image" Target="media/image16.emf"/><Relationship Id="rId31" Type="http://schemas.openxmlformats.org/officeDocument/2006/relationships/oleObject" Target="embeddings/oleObject3.bin"/><Relationship Id="rId30" Type="http://schemas.openxmlformats.org/officeDocument/2006/relationships/image" Target="media/image15.jpeg"/><Relationship Id="rId3" Type="http://schemas.openxmlformats.org/officeDocument/2006/relationships/footnotes" Target="footnotes.xml"/><Relationship Id="rId29" Type="http://schemas.openxmlformats.org/officeDocument/2006/relationships/image" Target="media/image14.jpeg"/><Relationship Id="rId28" Type="http://schemas.openxmlformats.org/officeDocument/2006/relationships/image" Target="media/image13.jpeg"/><Relationship Id="rId27" Type="http://schemas.openxmlformats.org/officeDocument/2006/relationships/image" Target="media/image12.jpeg"/><Relationship Id="rId26" Type="http://schemas.openxmlformats.org/officeDocument/2006/relationships/image" Target="media/image11.jpeg"/><Relationship Id="rId25" Type="http://schemas.openxmlformats.org/officeDocument/2006/relationships/image" Target="media/image10.jpeg"/><Relationship Id="rId24" Type="http://schemas.openxmlformats.org/officeDocument/2006/relationships/image" Target="media/image9.emf"/><Relationship Id="rId23" Type="http://schemas.openxmlformats.org/officeDocument/2006/relationships/oleObject" Target="embeddings/oleObject2.bin"/><Relationship Id="rId22" Type="http://schemas.openxmlformats.org/officeDocument/2006/relationships/image" Target="media/image8.emf"/><Relationship Id="rId21" Type="http://schemas.openxmlformats.org/officeDocument/2006/relationships/oleObject" Target="embeddings/oleObject1.bin"/><Relationship Id="rId20" Type="http://schemas.openxmlformats.org/officeDocument/2006/relationships/image" Target="media/image7.jpeg"/><Relationship Id="rId2" Type="http://schemas.openxmlformats.org/officeDocument/2006/relationships/settings" Target="settings.xml"/><Relationship Id="rId19" Type="http://schemas.openxmlformats.org/officeDocument/2006/relationships/image" Target="media/image6.png"/><Relationship Id="rId18" Type="http://schemas.openxmlformats.org/officeDocument/2006/relationships/image" Target="media/image5.png"/><Relationship Id="rId17" Type="http://schemas.openxmlformats.org/officeDocument/2006/relationships/image" Target="media/image4.png"/><Relationship Id="rId16" Type="http://schemas.openxmlformats.org/officeDocument/2006/relationships/image" Target="media/image3.png"/><Relationship Id="rId15" Type="http://schemas.openxmlformats.org/officeDocument/2006/relationships/image" Target="media/image2.png"/><Relationship Id="rId14" Type="http://schemas.openxmlformats.org/officeDocument/2006/relationships/image" Target="media/image1.png"/><Relationship Id="rId13" Type="http://schemas.openxmlformats.org/officeDocument/2006/relationships/theme" Target="theme/theme1.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ontractReview xmlns="http://schemas.wps.cn/vas-ai-hub/contract-review">
  <reviewItems>
    <reviewItem>
      <errorID>12300aa7-a766-42f5-9ecc-2046bc53822a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5135E16C</paraID>
      <start>0</start>
      <end>2</end>
      <status>unmodified</status>
      <modifiedWord/>
      <trackRevisions>false</trackRevisions>
    </reviewItem>
    <reviewItem>
      <errorID>7910261e-404f-4038-9f26-77b6c33844ad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1A0B4E58</paraID>
      <start>0</start>
      <end>2</end>
      <status>unmodified</status>
      <modifiedWord/>
      <trackRevisions>false</trackRevisions>
    </reviewItem>
    <reviewItem>
      <errorID>6288656a-5c41-4708-83fc-aa4060d09005</errorID>
      <errorWord>开发区中</errorWord>
      <group>L1_Word</group>
      <groupName>字词问题</groupName>
      <ability>L2_Typo</ability>
      <abilityName>字词错误</abilityName>
      <candidateList>
        <item>开发区</item>
      </candidateList>
      <explain/>
      <paraID>5E368863</paraID>
      <start>11</start>
      <end>15</end>
      <status>unmodified</status>
      <modifiedWord/>
      <trackRevisions>false</trackRevisions>
    </reviewItem>
    <reviewItem>
      <errorID>bf255ff3-a8c7-439b-8e7e-bf74a67e60ff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5ED69DF2</paraID>
      <start>0</start>
      <end>2</end>
      <status>unmodified</status>
      <modifiedWord/>
      <trackRevisions>false</trackRevisions>
    </reviewItem>
    <reviewItem>
      <errorID>27e6b181-4ca1-4b39-a00f-30944d0b4c80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6C3F2F2C</paraID>
      <start>0</start>
      <end>2</end>
      <status>unmodified</status>
      <modifiedWord/>
      <trackRevisions>false</trackRevisions>
    </reviewItem>
    <reviewItem>
      <errorID>c5697308-1284-40a2-9cab-65ae98d2cec6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DF7E4DB</paraID>
      <start>0</start>
      <end>2</end>
      <status>unmodified</status>
      <modifiedWord/>
      <trackRevisions>false</trackRevisions>
    </reviewItem>
    <reviewItem>
      <errorID>cd7196e1-169d-4d1b-9153-451c10d0e6d4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606DAED7</paraID>
      <start>0</start>
      <end>2</end>
      <status>unmodified</status>
      <modifiedWord/>
      <trackRevisions>false</trackRevisions>
    </reviewItem>
    <reviewItem>
      <errorID>770a5e10-c48d-496c-95d6-b89f05c7cc3b</errorID>
      <errorWord>资源节约综合利用</errorWord>
      <group>L1_Political</group>
      <groupName>政治性问题</groupName>
      <ability>L2_Keyword</ability>
      <abilityName>固定表述</abilityName>
      <candidateList>
        <item>资源节约集约利用</item>
      </candidateList>
      <explain>词汇“资源节约集约利用”在特定场景下为固定表述形式，请确认此处的“资源节约综合利用”是否存在不当。</explain>
      <paraID>74D4A89B</paraID>
      <start>243</start>
      <end>251</end>
      <status>unmodified</status>
      <modifiedWord/>
      <trackRevisions>false</trackRevisions>
    </reviewItem>
    <reviewItem>
      <errorID>6524ffab-e6d0-432b-bb6b-656c1b24f717</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53734844</paraID>
      <start>37</start>
      <end>40</end>
      <status>unmodified</status>
      <modifiedWord/>
      <trackRevisions>false</trackRevisions>
    </reviewItem>
    <reviewItem>
      <errorID>02be0936-416f-4763-8404-0ca8c62a44fb</errorID>
      <errorWord>&lt;</errorWord>
      <group>L1_Format</group>
      <groupName>格式问题</groupName>
      <ability>L2_HalfPunc_CN</ability>
      <abilityName>全半角问题</abilityName>
      <candidateList>
        <item>〈</item>
      </candidateList>
      <explain>文本全半角错误。</explain>
      <paraID>65DA33EE</paraID>
      <start>7</start>
      <end>8</end>
      <status>unmodified</status>
      <modifiedWord/>
      <trackRevisions>false</trackRevisions>
    </reviewItem>
    <reviewItem>
      <errorID>2ed63c3e-7af0-4581-8a76-9b65c7a714cb</errorID>
      <errorWord>&gt;》</errorWord>
      <group>L1_Punc</group>
      <groupName>标点问题</groupName>
      <ability>L2_Punc_CN</ability>
      <abilityName>标点符号问题</abilityName>
      <candidateList>
        <item>》</item>
      </candidateList>
      <explain/>
      <paraID>65DA33EE</paraID>
      <start>35</start>
      <end>37</end>
      <status>unmodified</status>
      <modifiedWord/>
      <trackRevisions>false</trackRevisions>
    </reviewItem>
    <reviewItem>
      <errorID>0cc56bb4-2a1c-45a5-990b-8d2f62520f22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19B7DDFA</paraID>
      <start>0</start>
      <end>2</end>
      <status>unmodified</status>
      <modifiedWord/>
      <trackRevisions>false</trackRevisions>
    </reviewItem>
    <reviewItem>
      <errorID>075bc59c-fa91-435e-a603-9880ec086f9e</errorID>
      <errorWord>-</errorWord>
      <group>L1_Format</group>
      <groupName>格式问题</groupName>
      <ability>L2_HalfPunc_CN</ability>
      <abilityName>全半角问题</abilityName>
      <candidateList>
        <item>－</item>
      </candidateList>
      <explain>文本全半角错误。</explain>
      <paraID>33C9C105</paraID>
      <start>108</start>
      <end>109</end>
      <status>unmodified</status>
      <modifiedWord/>
      <trackRevisions>false</trackRevisions>
    </reviewItem>
    <reviewItem>
      <errorID>a015e3f8-9195-42b3-94d7-668c3983c7c8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1F9E65AD</paraID>
      <start>0</start>
      <end>2</end>
      <status>unmodified</status>
      <modifiedWord/>
      <trackRevisions>false</trackRevisions>
    </reviewItem>
    <reviewItem>
      <errorID>ebca1225-1c4f-4c24-a1f8-9ac0e3d3dae4</errorID>
      <errorWord>法律、法规</errorWord>
      <group>L1_Word</group>
      <groupName>字词问题</groupName>
      <ability>L2_Typo</ability>
      <abilityName>字词错误</abilityName>
      <candidateList>
        <item>法律法规</item>
      </candidateList>
      <explain/>
      <paraID>45C05CEE</paraID>
      <start>97</start>
      <end>102</end>
      <status>unmodified</status>
      <modifiedWord/>
      <trackRevisions>false</trackRevisions>
    </reviewItem>
    <reviewItem>
      <errorID>ee1aadb3-b019-4ba8-96e5-0a4766774ed8</errorID>
      <errorWord>)</errorWord>
      <group>L1_Format</group>
      <groupName>格式问题</groupName>
      <ability>L2_HalfPunc_CN</ability>
      <abilityName>全半角问题</abilityName>
      <candidateList>
        <item>）</item>
      </candidateList>
      <explain>文本全半角错误。</explain>
      <paraID>641D8318</paraID>
      <start>49</start>
      <end>50</end>
      <status>unmodified</status>
      <modifiedWord/>
      <trackRevisions>false</trackRevisions>
    </reviewItem>
    <reviewItem>
      <errorID>aacfdc1b-5142-44a3-8931-69f258da3ceb</errorID>
      <errorWord>-</errorWord>
      <group>L1_Format</group>
      <groupName>格式问题</groupName>
      <ability>L2_HalfPunc_CN</ability>
      <abilityName>全半角问题</abilityName>
      <candidateList>
        <item>－</item>
      </candidateList>
      <explain>文本全半角错误。</explain>
      <paraID>65169ED4</paraID>
      <start>2</start>
      <end>3</end>
      <status>unmodified</status>
      <modifiedWord/>
      <trackRevisions>false</trackRevisions>
    </reviewItem>
    <reviewItem>
      <errorID>2ff9ae6f-a4a5-44ce-b018-6f03698c4075</errorID>
      <errorWord>-</errorWord>
      <group>L1_Format</group>
      <groupName>格式问题</groupName>
      <ability>L2_HalfPunc_CN</ability>
      <abilityName>全半角问题</abilityName>
      <candidateList>
        <item>－</item>
      </candidateList>
      <explain>文本全半角错误。</explain>
      <paraID>65169ED4</paraID>
      <start>6</start>
      <end>7</end>
      <status>unmodified</status>
      <modifiedWord/>
      <trackRevisions>false</trackRevisions>
    </reviewItem>
    <reviewItem>
      <errorID>53603c81-22d5-444b-90bb-3805e94357ae</errorID>
      <errorWord>-</errorWord>
      <group>L1_Format</group>
      <groupName>格式问题</groupName>
      <ability>L2_HalfPunc_CN</ability>
      <abilityName>全半角问题</abilityName>
      <candidateList>
        <item>－</item>
      </candidateList>
      <explain>文本全半角错误。</explain>
      <paraID>65169ED4</paraID>
      <start>9</start>
      <end>10</end>
      <status>unmodified</status>
      <modifiedWord/>
      <trackRevisions>false</trackRevisions>
    </reviewItem>
    <reviewItem>
      <errorID>bebb8815-db52-431d-8fe8-77da75e96007</errorID>
      <errorWord>)</errorWord>
      <group>L1_Format</group>
      <groupName>格式问题</groupName>
      <ability>L2_HalfPunc_CN</ability>
      <abilityName>全半角问题</abilityName>
      <candidateList>
        <item>）</item>
      </candidateList>
      <explain>文本全半角错误。</explain>
      <paraID>7F86E10C</paraID>
      <start>49</start>
      <end>50</end>
      <status>unmodified</status>
      <modifiedWord/>
      <trackRevisions>false</trackRevisions>
    </reviewItem>
    <reviewItem>
      <errorID>42a84d3b-160e-4f27-ae55-8bdb6e4acca5</errorID>
      <errorWord>)</errorWord>
      <group>L1_Format</group>
      <groupName>格式问题</groupName>
      <ability>L2_HalfPunc_CN</ability>
      <abilityName>全半角问题</abilityName>
      <candidateList>
        <item>）</item>
      </candidateList>
      <explain>文本全半角错误。</explain>
      <paraID>5BFF1391</paraID>
      <start>59</start>
      <end>60</end>
      <status>unmodified</status>
      <modifiedWord/>
      <trackRevisions>false</trackRevisions>
    </reviewItem>
    <reviewItem>
      <errorID>0465c0b3-1fa1-4e70-8971-15399c603f26</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39FA83CB</paraID>
      <start>78</start>
      <end>79</end>
      <status>unmodified</status>
      <modifiedWord/>
      <trackRevisions>false</trackRevisions>
    </reviewItem>
    <reviewItem>
      <errorID>5dc4e9e9-59e5-43de-bb70-2b575170b3ec</errorID>
      <errorWord>矿产资源开采管理办法</errorWord>
      <group>L1_Knowledge</group>
      <groupName>知识性问题</groupName>
      <ability>L2_Knowledge</ability>
      <abilityName>其他知识</abilityName>
      <candidateList>
        <item>矿产资源开采登记管理办法</item>
      </candidateList>
      <explain>当前法律法规未收录或尚未生效，注意核查是否正确。</explain>
      <paraID>2B14E898</paraID>
      <start>8</start>
      <end>18</end>
      <status>unmodified</status>
      <modifiedWord/>
      <trackRevisions>false</trackRevisions>
    </reviewItem>
    <reviewItem>
      <errorID>71705562-b2ac-45e3-8e68-00a969910e4c</errorID>
      <errorWord>胶粘剂</errorWord>
      <group>L1_Word</group>
      <groupName>字词问题</groupName>
      <ability>L2_Typo</ability>
      <abilityName>字词错误</abilityName>
      <candidateList>
        <item>胶黏剂</item>
      </candidateList>
      <explain/>
      <paraID>68B0FC8B</paraID>
      <start>82</start>
      <end>85</end>
      <status>unmodified</status>
      <modifiedWord/>
      <trackRevisions>false</trackRevisions>
    </reviewItem>
    <reviewItem>
      <errorID>d308062d-4a9d-4a51-99ba-873d33c4348a</errorID>
      <errorWord>-</errorWord>
      <group>L1_Format</group>
      <groupName>格式问题</groupName>
      <ability>L2_HalfPunc_CN</ability>
      <abilityName>全半角问题</abilityName>
      <candidateList>
        <item>－</item>
      </candidateList>
      <explain>文本全半角错误。</explain>
      <paraID>489BDD19</paraID>
      <start>0</start>
      <end>1</end>
      <status>unmodified</status>
      <modifiedWord/>
      <trackRevisions>false</trackRevisions>
    </reviewItem>
    <reviewItem>
      <errorID>860e101b-d926-4d67-81c4-566b0b0ed922</errorID>
      <errorWord>-</errorWord>
      <group>L1_Format</group>
      <groupName>格式问题</groupName>
      <ability>L2_HalfPunc_CN</ability>
      <abilityName>全半角问题</abilityName>
      <candidateList>
        <item>－</item>
      </candidateList>
      <explain>文本全半角错误。</explain>
      <paraID>2C535456</paraID>
      <start>0</start>
      <end>1</end>
      <status>unmodified</status>
      <modifiedWord/>
      <trackRevisions>false</trackRevisions>
    </reviewItem>
    <reviewItem>
      <errorID>c8e48085-119e-48d1-a0b2-7b06539e4a00</errorID>
      <errorWord>护</errorWord>
      <group>L1_Word</group>
      <groupName>字词问题</groupName>
      <ability>L2_Typo</ability>
      <abilityName>字词错误</abilityName>
      <candidateList>
        <item>护和</item>
      </candidateList>
      <explain/>
      <paraID>2C535456</paraID>
      <start>29</start>
      <end>30</end>
      <status>unmodified</status>
      <modifiedWord/>
      <trackRevisions>false</trackRevisions>
    </reviewItem>
    <reviewItem>
      <errorID>e1a8c923-bb84-4ee1-ba77-85e88e6a50c6</errorID>
      <errorWord>-</errorWord>
      <group>L1_Format</group>
      <groupName>格式问题</groupName>
      <ability>L2_HalfPunc_CN</ability>
      <abilityName>全半角问题</abilityName>
      <candidateList>
        <item>－</item>
      </candidateList>
      <explain>文本全半角错误。</explain>
      <paraID>3DD221B1</paraID>
      <start>0</start>
      <end>1</end>
      <status>unmodified</status>
      <modifiedWord/>
      <trackRevisions>false</trackRevisions>
    </reviewItem>
    <reviewItem>
      <errorID>1065e58c-7517-4a06-906d-28607482b1d5</errorID>
      <errorWord>-</errorWord>
      <group>L1_Format</group>
      <groupName>格式问题</groupName>
      <ability>L2_HalfPunc_CN</ability>
      <abilityName>全半角问题</abilityName>
      <candidateList>
        <item>－</item>
      </candidateList>
      <explain>文本全半角错误。</explain>
      <paraID>3A794897</paraID>
      <start>19</start>
      <end>20</end>
      <status>unmodified</status>
      <modifiedWord/>
      <trackRevisions>false</trackRevisions>
    </reviewItem>
    <reviewItem>
      <errorID>2036a2ee-8422-438a-91c3-58ce6b95abe7</errorID>
      <errorWord>-</errorWord>
      <group>L1_Format</group>
      <groupName>格式问题</groupName>
      <ability>L2_HalfPunc_CN</ability>
      <abilityName>全半角问题</abilityName>
      <candidateList>
        <item>－</item>
      </candidateList>
      <explain>文本全半角错误。</explain>
      <paraID>3A9A1125</paraID>
      <start>7</start>
      <end>8</end>
      <status>unmodified</status>
      <modifiedWord/>
      <trackRevisions>false</trackRevisions>
    </reviewItem>
    <reviewItem>
      <errorID>58e763f0-dfc2-4002-95e9-abcb8bf3ca3d</errorID>
      <errorWord>-</errorWord>
      <group>L1_Format</group>
      <groupName>格式问题</groupName>
      <ability>L2_HalfPunc_CN</ability>
      <abilityName>全半角问题</abilityName>
      <candidateList>
        <item>－</item>
      </candidateList>
      <explain>文本全半角错误。</explain>
      <paraID>5513C4E6</paraID>
      <start>7</start>
      <end>8</end>
      <status>unmodified</status>
      <modifiedWord/>
      <trackRevisions>false</trackRevisions>
    </reviewItem>
    <reviewItem>
      <errorID>f0cb5da3-50d6-4349-9926-3a4f6a50a6a9</errorID>
      <errorWord>-</errorWord>
      <group>L1_Format</group>
      <groupName>格式问题</groupName>
      <ability>L2_HalfPunc_CN</ability>
      <abilityName>全半角问题</abilityName>
      <candidateList>
        <item>－</item>
      </candidateList>
      <explain>文本全半角错误。</explain>
      <paraID>2F87172A</paraID>
      <start>7</start>
      <end>8</end>
      <status>unmodified</status>
      <modifiedWord/>
      <trackRevisions>false</trackRevisions>
    </reviewItem>
    <reviewItem>
      <errorID>2b1821bd-7a4e-4abc-87b2-6598b873193f</errorID>
      <errorWord>-</errorWord>
      <group>L1_Format</group>
      <groupName>格式问题</groupName>
      <ability>L2_HalfPunc_CN</ability>
      <abilityName>全半角问题</abilityName>
      <candidateList>
        <item>－</item>
      </candidateList>
      <explain>文本全半角错误。</explain>
      <paraID> DF75CA2</paraID>
      <start>7</start>
      <end>8</end>
      <status>unmodified</status>
      <modifiedWord/>
      <trackRevisions>false</trackRevisions>
    </reviewItem>
    <reviewItem>
      <errorID>27407e76-b1e0-4d70-9f75-2b611c750080</errorID>
      <errorWord>-</errorWord>
      <group>L1_Format</group>
      <groupName>格式问题</groupName>
      <ability>L2_HalfPunc_CN</ability>
      <abilityName>全半角问题</abilityName>
      <candidateList>
        <item>－</item>
      </candidateList>
      <explain>文本全半角错误。</explain>
      <paraID> DF75CA2</paraID>
      <start>47</start>
      <end>48</end>
      <status>unmodified</status>
      <modifiedWord/>
      <trackRevisions>false</trackRevisions>
    </reviewItem>
    <reviewItem>
      <errorID>a7670b99-75f4-4e7c-b578-2e14f75c9780</errorID>
      <errorWord>-</errorWord>
      <group>L1_Format</group>
      <groupName>格式问题</groupName>
      <ability>L2_HalfPunc_CN</ability>
      <abilityName>全半角问题</abilityName>
      <candidateList>
        <item>－</item>
      </candidateList>
      <explain>文本全半角错误。</explain>
      <paraID> DF75CA2</paraID>
      <start>216</start>
      <end>217</end>
      <status>unmodified</status>
      <modifiedWord/>
      <trackRevisions>false</trackRevisions>
    </reviewItem>
    <reviewItem>
      <errorID>3aaaceb2-3047-4d60-866e-ebdb7ad4fede</errorID>
      <errorWord>-</errorWord>
      <group>L1_Format</group>
      <groupName>格式问题</groupName>
      <ability>L2_HalfPunc_CN</ability>
      <abilityName>全半角问题</abilityName>
      <candidateList>
        <item>－</item>
      </candidateList>
      <explain>文本全半角错误。</explain>
      <paraID>41763DB1</paraID>
      <start>7</start>
      <end>8</end>
      <status>unmodified</status>
      <modifiedWord/>
      <trackRevisions>false</trackRevisions>
    </reviewItem>
    <reviewItem>
      <errorID>626cc813-7de6-4696-8dd9-211a634e4ffc</errorID>
      <errorWord>-</errorWord>
      <group>L1_Format</group>
      <groupName>格式问题</groupName>
      <ability>L2_HalfPunc_CN</ability>
      <abilityName>全半角问题</abilityName>
      <candidateList>
        <item>－</item>
      </candidateList>
      <explain>文本全半角错误。</explain>
      <paraID>3CCAEFDE</paraID>
      <start>7</start>
      <end>8</end>
      <status>unmodified</status>
      <modifiedWord/>
      <trackRevisions>false</trackRevisions>
    </reviewItem>
    <reviewItem>
      <errorID>467058ff-63b5-40d2-946a-7718bbab72cd</errorID>
      <errorWord>(</errorWord>
      <group>L1_Format</group>
      <groupName>格式问题</groupName>
      <ability>L2_HalfPunc_CN</ability>
      <abilityName>全半角问题</abilityName>
      <candidateList>
        <item>（</item>
      </candidateList>
      <explain>文本全半角错误。</explain>
      <paraID>3CCAEFDE</paraID>
      <start>152</start>
      <end>153</end>
      <status>unmodified</status>
      <modifiedWord/>
      <trackRevisions>false</trackRevisions>
    </reviewItem>
    <reviewItem>
      <errorID>86b73c28-19fd-4e56-81a7-14782f444b77</errorID>
      <errorWord>)</errorWord>
      <group>L1_Format</group>
      <groupName>格式问题</groupName>
      <ability>L2_HalfPunc_CN</ability>
      <abilityName>全半角问题</abilityName>
      <candidateList>
        <item>）</item>
      </candidateList>
      <explain>文本全半角错误。</explain>
      <paraID>3CCAEFDE</paraID>
      <start>154</start>
      <end>155</end>
      <status>unmodified</status>
      <modifiedWord/>
      <trackRevisions>false</trackRevisions>
    </reviewItem>
    <reviewItem>
      <errorID>4d5d0e42-920e-47e0-ba4d-0a82e16acec1</errorID>
      <errorWord>-</errorWord>
      <group>L1_Format</group>
      <groupName>格式问题</groupName>
      <ability>L2_HalfPunc_CN</ability>
      <abilityName>全半角问题</abilityName>
      <candidateList>
        <item>－</item>
      </candidateList>
      <explain>文本全半角错误。</explain>
      <paraID>3CCAEFDE</paraID>
      <start>209</start>
      <end>210</end>
      <status>unmodified</status>
      <modifiedWord/>
      <trackRevisions>false</trackRevisions>
    </reviewItem>
    <reviewItem>
      <errorID>b1156c88-5181-49c9-af3b-f79237e2d196</errorID>
      <errorWord>-</errorWord>
      <group>L1_Format</group>
      <groupName>格式问题</groupName>
      <ability>L2_HalfPunc_CN</ability>
      <abilityName>全半角问题</abilityName>
      <candidateList>
        <item>－</item>
      </candidateList>
      <explain>文本全半角错误。</explain>
      <paraID>3CCAEFDE</paraID>
      <start>242</start>
      <end>243</end>
      <status>unmodified</status>
      <modifiedWord/>
      <trackRevisions>false</trackRevisions>
    </reviewItem>
    <reviewItem>
      <errorID>62946a4c-957c-4e8a-a339-e85af1115fcf</errorID>
      <errorWord>-</errorWord>
      <group>L1_Format</group>
      <groupName>格式问题</groupName>
      <ability>L2_HalfPunc_CN</ability>
      <abilityName>全半角问题</abilityName>
      <candidateList>
        <item>－</item>
      </candidateList>
      <explain>文本全半角错误。</explain>
      <paraID>3ED5BC30</paraID>
      <start>2</start>
      <end>3</end>
      <status>unmodified</status>
      <modifiedWord/>
      <trackRevisions>false</trackRevisions>
    </reviewItem>
    <reviewItem>
      <errorID>7d914b17-2edc-4973-950d-9788f6c95c77</errorID>
      <errorWord>-</errorWord>
      <group>L1_Format</group>
      <groupName>格式问题</groupName>
      <ability>L2_HalfPunc_CN</ability>
      <abilityName>全半角问题</abilityName>
      <candidateList>
        <item>－</item>
      </candidateList>
      <explain>文本全半角错误。</explain>
      <paraID>3ED5BC30</paraID>
      <start>6</start>
      <end>7</end>
      <status>unmodified</status>
      <modifiedWord/>
      <trackRevisions>false</trackRevisions>
    </reviewItem>
    <reviewItem>
      <errorID>e6a75c62-a2e1-4678-825b-463289c48782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7F44274D</paraID>
      <start>0</start>
      <end>2</end>
      <status>unmodified</status>
      <modifiedWord/>
      <trackRevisions>false</trackRevisions>
    </reviewItem>
    <reviewItem>
      <errorID>ef721398-ddeb-47b0-91d9-ccf1ea0febf1</errorID>
      <errorWord>》</errorWord>
      <group>L1_Word</group>
      <groupName>字词问题</groupName>
      <ability>L2_Typo</ability>
      <abilityName>字词错误</abilityName>
      <candidateList>
        <item>》等</item>
      </candidateList>
      <explain/>
      <paraID>7F44274D</paraID>
      <start>445</start>
      <end>446</end>
      <status>unmodified</status>
      <modifiedWord/>
      <trackRevisions>false</trackRevisions>
    </reviewItem>
    <reviewItem>
      <errorID>e48124c5-2aad-4eca-9678-6af9185e5c2a</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4603CD79</paraID>
      <start>7</start>
      <end>8</end>
      <status>unmodified</status>
      <modifiedWord/>
      <trackRevisions>false</trackRevisions>
    </reviewItem>
    <reviewItem>
      <errorID>7569b4c0-db79-45c8-8e66-a24500e0575c</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4603CD79</paraID>
      <start>49</start>
      <end>50</end>
      <status>unmodified</status>
      <modifiedWord/>
      <trackRevisions>false</trackRevisions>
    </reviewItem>
    <reviewItem>
      <errorID>2ed469c2-abd9-486d-9756-138ae2871922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40B9FB99</paraID>
      <start>0</start>
      <end>2</end>
      <status>unmodified</status>
      <modifiedWord/>
      <trackRevisions>false</trackRevisions>
    </reviewItem>
    <reviewItem>
      <errorID>3979289c-c248-4654-b914-a6c1f0b22510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FDEAE41</paraID>
      <start>0</start>
      <end>2</end>
      <status>unmodified</status>
      <modifiedWord/>
      <trackRevisions>false</trackRevisions>
    </reviewItem>
    <reviewItem>
      <errorID>32204b4d-8318-45a2-b636-aba87c8c8162</errorID>
      <errorWord>,</errorWord>
      <group>L1_Format</group>
      <groupName>格式问题</groupName>
      <ability>L2_HalfPunc_CN</ability>
      <abilityName>全半角问题</abilityName>
      <candidateList>
        <item>，</item>
      </candidateList>
      <explain>文本全半角错误。</explain>
      <paraID>6857EE57</paraID>
      <start>43</start>
      <end>44</end>
      <status>unmodified</status>
      <modifiedWord/>
      <trackRevisions>false</trackRevisions>
    </reviewItem>
    <reviewItem>
      <errorID>1fe25b8a-31d0-404c-9ce8-ffdc5263722e</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28AA77C9</paraID>
      <start>0</start>
      <end>2</end>
      <status>unmodified</status>
      <modifiedWord/>
      <trackRevisions>false</trackRevisions>
    </reviewItem>
    <reviewItem>
      <errorID>0abc1740-f33b-46c9-a42d-522353ab15db</errorID>
      <errorWord>胶粘剂</errorWord>
      <group>L1_Word</group>
      <groupName>字词问题</groupName>
      <ability>L2_Typo</ability>
      <abilityName>字词错误</abilityName>
      <candidateList>
        <item>胶黏剂</item>
      </candidateList>
      <explain/>
      <paraID>1210C82A</paraID>
      <start>38</start>
      <end>41</end>
      <status>unmodified</status>
      <modifiedWord/>
      <trackRevisions>false</trackRevisions>
    </reviewItem>
    <reviewItem>
      <errorID>754a52a0-780d-4666-a817-c1386ea2ffac</errorID>
      <errorWord>(</errorWord>
      <group>L1_Format</group>
      <groupName>格式问题</groupName>
      <ability>L2_HalfPunc_CN</ability>
      <abilityName>全半角问题</abilityName>
      <candidateList>
        <item>（</item>
      </candidateList>
      <explain>文本全半角错误。</explain>
      <paraID>1210C82A</paraID>
      <start>108</start>
      <end>109</end>
      <status>unmodified</status>
      <modifiedWord/>
      <trackRevisions>false</trackRevisions>
    </reviewItem>
    <reviewItem>
      <errorID>9c707bb8-c71b-439d-803d-bb9cab2f5753</errorID>
      <errorWord>)</errorWord>
      <group>L1_Format</group>
      <groupName>格式问题</groupName>
      <ability>L2_HalfPunc_CN</ability>
      <abilityName>全半角问题</abilityName>
      <candidateList>
        <item>）</item>
      </candidateList>
      <explain>文本全半角错误。</explain>
      <paraID>1210C82A</paraID>
      <start>110</start>
      <end>111</end>
      <status>unmodified</status>
      <modifiedWord/>
      <trackRevisions>false</trackRevisions>
    </reviewItem>
    <reviewItem>
      <errorID>8a4d7dbd-8668-4832-8495-cfc03d9ce19c</errorID>
      <errorWord>胶粘剂</errorWord>
      <group>L1_Word</group>
      <groupName>字词问题</groupName>
      <ability>L2_Typo</ability>
      <abilityName>字词错误</abilityName>
      <candidateList>
        <item>胶黏剂</item>
      </candidateList>
      <explain/>
      <paraID>1210C82A</paraID>
      <start>211</start>
      <end>214</end>
      <status>unmodified</status>
      <modifiedWord/>
      <trackRevisions>false</trackRevisions>
    </reviewItem>
    <reviewItem>
      <errorID>7e42255b-8815-436e-94bc-b75a99b172ca</errorID>
      <errorWord>胶粘剂</errorWord>
      <group>L1_Word</group>
      <groupName>字词问题</groupName>
      <ability>L2_Typo</ability>
      <abilityName>字词错误</abilityName>
      <candidateList>
        <item>胶黏剂</item>
      </candidateList>
      <explain/>
      <paraID>6C8AF165</paraID>
      <start>22</start>
      <end>25</end>
      <status>unmodified</status>
      <modifiedWord/>
      <trackRevisions>false</trackRevisions>
    </reviewItem>
    <reviewItem>
      <errorID>01e2713c-8d7b-4d7c-b479-4a2107e3e9f7</errorID>
      <errorWord>，</errorWord>
      <group>L1_Word</group>
      <groupName>字词问题</groupName>
      <ability>L2_Typo</ability>
      <abilityName>字词错误</abilityName>
      <candidateList>
        <item>，对</item>
      </candidateList>
      <explain/>
      <paraID>15C85F95</paraID>
      <start>31</start>
      <end>32</end>
      <status>unmodified</status>
      <modifiedWord/>
      <trackRevisions>false</trackRevisions>
    </reviewItem>
    <reviewItem>
      <errorID>55389384-dc22-47d7-9e45-602282b40b2e</errorID>
      <errorWord>(</errorWord>
      <group>L1_Format</group>
      <groupName>格式问题</groupName>
      <ability>L2_HalfPunc_CN</ability>
      <abilityName>全半角问题</abilityName>
      <candidateList>
        <item>（</item>
      </candidateList>
      <explain>文本全半角错误。</explain>
      <paraID>78945ACF</paraID>
      <start>114</start>
      <end>115</end>
      <status>unmodified</status>
      <modifiedWord/>
      <trackRevisions>false</trackRevisions>
    </reviewItem>
    <reviewItem>
      <errorID>6a50c01b-26ed-45d9-a60b-2aa9a90cb987</errorID>
      <errorWord>)</errorWord>
      <group>L1_Format</group>
      <groupName>格式问题</groupName>
      <ability>L2_HalfPunc_CN</ability>
      <abilityName>全半角问题</abilityName>
      <candidateList>
        <item>）</item>
      </candidateList>
      <explain>文本全半角错误。</explain>
      <paraID>78945ACF</paraID>
      <start>116</start>
      <end>117</end>
      <status>unmodified</status>
      <modifiedWord/>
      <trackRevisions>false</trackRevisions>
    </reviewItem>
    <reviewItem>
      <errorID>e036db8f-5ad3-4aa1-8c2b-b8be23a76527</errorID>
      <errorWord>(</errorWord>
      <group>L1_Format</group>
      <groupName>格式问题</groupName>
      <ability>L2_HalfPunc_CN</ability>
      <abilityName>全半角问题</abilityName>
      <candidateList>
        <item>（</item>
      </candidateList>
      <explain>文本全半角错误。</explain>
      <paraID>78945ACF</paraID>
      <start>133</start>
      <end>134</end>
      <status>unmodified</status>
      <modifiedWord/>
      <trackRevisions>false</trackRevisions>
    </reviewItem>
    <reviewItem>
      <errorID>13fae344-5ce6-42f5-a130-891b8a2466d0</errorID>
      <errorWord>)</errorWord>
      <group>L1_Format</group>
      <groupName>格式问题</groupName>
      <ability>L2_HalfPunc_CN</ability>
      <abilityName>全半角问题</abilityName>
      <candidateList>
        <item>）</item>
      </candidateList>
      <explain>文本全半角错误。</explain>
      <paraID>78945ACF</paraID>
      <start>135</start>
      <end>136</end>
      <status>unmodified</status>
      <modifiedWord/>
      <trackRevisions>false</trackRevisions>
    </reviewItem>
    <reviewItem>
      <errorID>b9fb8800-ec12-46b9-a448-f25639dc5bbf</errorID>
      <errorWord>设</errorWord>
      <group>L1_Word</group>
      <groupName>字词问题</groupName>
      <ability>L2_Typo</ability>
      <abilityName>字词错误</abilityName>
      <candidateList>
        <item>设置</item>
      </candidateList>
      <explain>〈动〉❶设立：这座剧院是为儿童～的。❷安放；安装：～障碍。</explain>
      <paraID>15646739</paraID>
      <start>169</start>
      <end>170</end>
      <status>unmodified</status>
      <modifiedWord/>
      <trackRevisions>false</trackRevisions>
    </reviewItem>
    <reviewItem>
      <errorID>7be8d936-7228-4200-b751-4f22b1f6a8d2</errorID>
      <errorWord>程</errorWord>
      <group>L1_Word</group>
      <groupName>字词问题</groupName>
      <ability>L2_Typo</ability>
      <abilityName>字词错误</abilityName>
      <candidateList>
        <item>程中</item>
      </candidateList>
      <explain/>
      <paraID>47D8B8C5</paraID>
      <start>83</start>
      <end>84</end>
      <status>unmodified</status>
      <modifiedWord/>
      <trackRevisions>false</trackRevisions>
    </reviewItem>
    <reviewItem>
      <errorID>bfe5e56c-ecf5-48d8-ab68-1a8c5bbfc7e3</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2A5FB795</paraID>
      <start>0</start>
      <end>2</end>
      <status>unmodified</status>
      <modifiedWord/>
      <trackRevisions>false</trackRevisions>
    </reviewItem>
    <reviewItem>
      <errorID>291dc8fc-6061-4189-ba80-d4cf4e29e4fe</errorID>
      <errorWord>；</errorWord>
      <group>L1_Word</group>
      <groupName>字词问题</groupName>
      <ability>L2_Typo</ability>
      <abilityName>字词错误</abilityName>
      <candidateList>
        <item>；对</item>
      </candidateList>
      <explain/>
      <paraID>63C2175C</paraID>
      <start>58</start>
      <end>59</end>
      <status>unmodified</status>
      <modifiedWord/>
      <trackRevisions>false</trackRevisions>
    </reviewItem>
    <reviewItem>
      <errorID>634e4883-c847-482b-93e5-922219ed9956</errorID>
      <errorWord>；</errorWord>
      <group>L1_Word</group>
      <groupName>字词问题</groupName>
      <ability>L2_Typo</ability>
      <abilityName>字词错误</abilityName>
      <candidateList>
        <item>；对</item>
      </candidateList>
      <explain/>
      <paraID>49A3D3DB</paraID>
      <start>90</start>
      <end>91</end>
      <status>unmodified</status>
      <modifiedWord/>
      <trackRevisions>false</trackRevisions>
    </reviewItem>
    <reviewItem>
      <errorID>118388e0-804f-4691-bd98-ef079ebc7621</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2457DC51</paraID>
      <start>0</start>
      <end>2</end>
      <status>unmodified</status>
      <modifiedWord/>
      <trackRevisions>false</trackRevisions>
    </reviewItem>
    <reviewItem>
      <errorID>7bb39dae-3cb4-4c47-a49d-730c3b88cb61</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4BEB3D3A</paraID>
      <start>0</start>
      <end>2</end>
      <status>unmodified</status>
      <modifiedWord/>
      <trackRevisions>false</trackRevisions>
    </reviewItem>
    <reviewItem>
      <errorID>b6d2ed23-259d-463f-86aa-0260c1c15249</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22EDC11D</paraID>
      <start>0</start>
      <end>2</end>
      <status>unmodified</status>
      <modifiedWord/>
      <trackRevisions>false</trackRevisions>
    </reviewItem>
    <reviewItem>
      <errorID>db986158-b9da-4a29-a8f8-9afdc6c3e941</errorID>
      <errorWord>级</errorWord>
      <group>L1_Word</group>
      <groupName>字词问题</groupName>
      <ability>L2_Typo</ability>
      <abilityName>字词错误</abilityName>
      <candidateList>
        <item>及</item>
      </candidateList>
      <explain>存在发音相同字词的误用。</explain>
      <paraID>2E61F4A9</paraID>
      <start>7</start>
      <end>8</end>
      <status>unmodified</status>
      <modifiedWord/>
      <trackRevisions>false</trackRevisions>
    </reviewItem>
    <reviewItem>
      <errorID>1e5b079f-144a-4a20-b052-4bc4b21fd85d</errorID>
      <errorWord>程</errorWord>
      <group>L1_Word</group>
      <groupName>字词问题</groupName>
      <ability>L2_Typo</ability>
      <abilityName>字词错误</abilityName>
      <candidateList>
        <item>程中</item>
      </candidateList>
      <explain/>
      <paraID>61F208EA</paraID>
      <start>13</start>
      <end>14</end>
      <status>unmodified</status>
      <modifiedWord/>
      <trackRevisions>false</trackRevisions>
    </reviewItem>
    <reviewItem>
      <errorID>a9d04763-60a6-42e3-8c36-5468f0bf2f0f</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46E8E7DA</paraID>
      <start>0</start>
      <end>2</end>
      <status>unmodified</status>
      <modifiedWord/>
      <trackRevisions>false</trackRevisions>
    </reviewItem>
    <reviewItem>
      <errorID>c3c18b21-77fa-4c93-b0d8-44e2359398c7</errorID>
      <errorWord>连续二周</errorWord>
      <group>L1_Word</group>
      <groupName>字词问题</groupName>
      <ability>L2_Typo</ability>
      <abilityName>字词错误</abilityName>
      <candidateList>
        <item>连续两周</item>
      </candidateList>
      <explain/>
      <paraID>7DD0F48B</paraID>
      <start>68</start>
      <end>72</end>
      <status>unmodified</status>
      <modifiedWord/>
      <trackRevisions>false</trackRevisions>
    </reviewItem>
    <reviewItem>
      <errorID>6437bd80-0b04-4e43-90b2-b49289f42e3b</errorID>
      <errorWord>超过半年以上</errorWord>
      <group>L1_Grammar</group>
      <groupName>语法问题</groupName>
      <ability>L2_Grammar</ability>
      <abilityName>语法错误</abilityName>
      <candidateList>
        <item>超过半年</item>
      </candidateList>
      <explain>该表达中的“超过半年以上”存在语义重复。</explain>
      <paraID>7DD0F48B</paraID>
      <start>181</start>
      <end>187</end>
      <status>unmodified</status>
      <modifiedWord/>
      <trackRevisions>false</trackRevisions>
    </reviewItem>
    <reviewItem>
      <errorID>36d66c66-cafa-469f-89bd-2fdc89a27b87</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3835188E</paraID>
      <start>213</start>
      <end>216</end>
      <status>unmodified</status>
      <modifiedWord/>
      <trackRevisions>false</trackRevisions>
    </reviewItem>
    <reviewItem>
      <errorID>774f33b9-4c69-478d-a77c-aba807188aaf</errorID>
      <errorWord>(</errorWord>
      <group>L1_Format</group>
      <groupName>格式问题</groupName>
      <ability>L2_HalfPunc_CN</ability>
      <abilityName>全半角问题</abilityName>
      <candidateList>
        <item>（</item>
      </candidateList>
      <explain>文本全半角错误。</explain>
      <paraID>3835188E</paraID>
      <start>238</start>
      <end>239</end>
      <status>unmodified</status>
      <modifiedWord/>
      <trackRevisions>false</trackRevisions>
    </reviewItem>
    <reviewItem>
      <errorID>1503bb04-4eb5-4511-9b8a-c60db696557f</errorID>
      <errorWord>)</errorWord>
      <group>L1_Format</group>
      <groupName>格式问题</groupName>
      <ability>L2_HalfPunc_CN</ability>
      <abilityName>全半角问题</abilityName>
      <candidateList>
        <item>）</item>
      </candidateList>
      <explain>文本全半角错误。</explain>
      <paraID>3835188E</paraID>
      <start>251</start>
      <end>252</end>
      <status>unmodified</status>
      <modifiedWord/>
      <trackRevisions>false</trackRevisions>
    </reviewItem>
    <reviewItem>
      <errorID>4eaefe6b-1dfc-425e-b564-5bb6174bed95</errorID>
      <errorWord>(</errorWord>
      <group>L1_Format</group>
      <groupName>格式问题</groupName>
      <ability>L2_HalfPunc_CN</ability>
      <abilityName>全半角问题</abilityName>
      <candidateList>
        <item>（</item>
      </candidateList>
      <explain>文本全半角错误。</explain>
      <paraID>15E676CE</paraID>
      <start>61</start>
      <end>62</end>
      <status>unmodified</status>
      <modifiedWord/>
      <trackRevisions>false</trackRevisions>
    </reviewItem>
    <reviewItem>
      <errorID>53afa838-49ea-48bc-be6a-25a95190dcd7</errorID>
      <errorWord>)</errorWord>
      <group>L1_Format</group>
      <groupName>格式问题</groupName>
      <ability>L2_HalfPunc_CN</ability>
      <abilityName>全半角问题</abilityName>
      <candidateList>
        <item>）</item>
      </candidateList>
      <explain>文本全半角错误。</explain>
      <paraID>15E676CE</paraID>
      <start>71</start>
      <end>72</end>
      <status>unmodified</status>
      <modifiedWord/>
      <trackRevisions>false</trackRevisions>
    </reviewItem>
    <reviewItem>
      <errorID>389dd98d-3874-462d-ae7e-7d1a8a214d7e</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E8A36E8</paraID>
      <start>0</start>
      <end>3</end>
      <status>unmodified</status>
      <modifiedWord/>
      <trackRevisions>false</trackRevisions>
    </reviewItem>
    <reviewItem>
      <errorID>7fa82ff2-d3ea-471f-85c9-cf0a0883214b</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 E8A36E8</paraID>
      <start>43</start>
      <end>44</end>
      <status>unmodified</status>
      <modifiedWord/>
      <trackRevisions>false</trackRevisions>
    </reviewItem>
    <reviewItem>
      <errorID>f0a4eec8-16e5-4a59-8054-0c73942625c9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403518C3</paraID>
      <start>0</start>
      <end>2</end>
      <status>unmodified</status>
      <modifiedWord/>
      <trackRevisions>false</trackRevisions>
    </reviewItem>
    <reviewItem>
      <errorID>c802dec9-5aa3-465a-8259-9f3e55ab1097</errorID>
      <errorWord>外逸</errorWord>
      <group>L1_Word</group>
      <groupName>字词问题</groupName>
      <ability>L2_Typo</ability>
      <abilityName>字词错误</abilityName>
      <candidateList>
        <item>外溢</item>
      </candidateList>
      <explain/>
      <paraID>7F257DBA</paraID>
      <start>36</start>
      <end>38</end>
      <status>unmodified</status>
      <modifiedWord/>
      <trackRevisions>false</trackRevisions>
    </reviewItem>
    <reviewItem>
      <errorID>0630fd16-78c8-4d20-b8f6-4bfa26765a16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283216F1</paraID>
      <start>0</start>
      <end>2</end>
      <status>unmodified</status>
      <modifiedWord/>
      <trackRevisions>false</trackRevisions>
    </reviewItem>
    <reviewItem>
      <errorID>788d1066-adbf-44cd-93d0-b3bd3c0c0d74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D5BF645</paraID>
      <start>0</start>
      <end>2</end>
      <status>unmodified</status>
      <modifiedWord/>
      <trackRevisions>false</trackRevisions>
    </reviewItem>
    <reviewItem>
      <errorID>cfa43514-7df9-43c5-a2bb-64f64d5f56cc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4F2B520F</paraID>
      <start>0</start>
      <end>2</end>
      <status>unmodified</status>
      <modifiedWord/>
      <trackRevisions>false</trackRevisions>
    </reviewItem>
    <reviewItem>
      <errorID>6c3b213e-9871-42af-8d7f-4bc050edd74a</errorID>
      <errorWord>外逸</errorWord>
      <group>L1_Word</group>
      <groupName>字词问题</groupName>
      <ability>L2_Typo</ability>
      <abilityName>字词错误</abilityName>
      <candidateList>
        <item>外溢</item>
      </candidateList>
      <explain/>
      <paraID>64030ED0</paraID>
      <start>37</start>
      <end>39</end>
      <status>unmodified</status>
      <modifiedWord/>
      <trackRevisions>false</trackRevisions>
    </reviewItem>
    <reviewItem>
      <errorID>e5f134f9-f6cc-435f-945a-393a1a20f9d3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B4A80E8</paraID>
      <start>0</start>
      <end>2</end>
      <status>unmodified</status>
      <modifiedWord/>
      <trackRevisions>false</trackRevisions>
    </reviewItem>
    <reviewItem>
      <errorID>acb5b7c9-da43-491d-9d98-6b882e2a70c4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10B48A2C</paraID>
      <start>0</start>
      <end>2</end>
      <status>unmodified</status>
      <modifiedWord/>
      <trackRevisions>false</trackRevisions>
    </reviewItem>
    <reviewItem>
      <errorID>f0bd0483-8a69-407f-89e5-6f029155255e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CBC8AF4</paraID>
      <start>0</start>
      <end>2</end>
      <status>unmodified</status>
      <modifiedWord/>
      <trackRevisions>false</trackRevisions>
    </reviewItem>
    <reviewItem>
      <errorID>fba65a6a-b553-4246-830a-7171eda17e18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42CB0269</paraID>
      <start>0</start>
      <end>2</end>
      <status>unmodified</status>
      <modifiedWord/>
      <trackRevisions>false</trackRevisions>
    </reviewItem>
    <reviewItem>
      <errorID>9596b8cc-25e1-454b-a20c-e26dd5bca3cb</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747F4445</paraID>
      <start>0</start>
      <end>2</end>
      <status>unmodified</status>
      <modifiedWord/>
      <trackRevisions>false</trackRevisions>
    </reviewItem>
    <reviewItem>
      <errorID>6b831827-0182-4a61-93db-0239c2c2813c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64A7E779</paraID>
      <start>0</start>
      <end>2</end>
      <status>unmodified</status>
      <modifiedWord/>
      <trackRevisions>false</trackRevisions>
    </reviewItem>
    <reviewItem>
      <errorID>3a47b223-0885-4c07-98ee-853eb39c35fe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688760C0</paraID>
      <start>0</start>
      <end>2</end>
      <status>unmodified</status>
      <modifiedWord/>
      <trackRevisions>false</trackRevisions>
    </reviewItem>
    <reviewItem>
      <errorID>4f3a5570-29b9-4bfc-9943-cfd0a18ce0a1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3537C655</paraID>
      <start>0</start>
      <end>2</end>
      <status>unmodified</status>
      <modifiedWord/>
      <trackRevisions>false</trackRevisions>
    </reviewItem>
    <reviewItem>
      <errorID>dbecaf75-c8ff-4ff7-b1ca-47a1b014d37d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518A5B2</paraID>
      <start>0</start>
      <end>2</end>
      <status>unmodified</status>
      <modifiedWord/>
      <trackRevisions>false</trackRevisions>
    </reviewItem>
    <reviewItem>
      <errorID>54dba92c-f66a-4a7b-aa0f-dc7f5351c1d7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4663FD60</paraID>
      <start>0</start>
      <end>2</end>
      <status>unmodified</status>
      <modifiedWord/>
      <trackRevisions>false</trackRevisions>
    </reviewItem>
    <reviewItem>
      <errorID>1da31503-6364-4df8-951a-b5b154371554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6772C4B6</paraID>
      <start>0</start>
      <end>2</end>
      <status>unmodified</status>
      <modifiedWord/>
      <trackRevisions>false</trackRevisions>
    </reviewItem>
    <reviewItem>
      <errorID>116fa470-8551-421e-b8df-b7982f7c25d1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8696814</paraID>
      <start>0</start>
      <end>2</end>
      <status>unmodified</status>
      <modifiedWord/>
      <trackRevisions>false</trackRevisions>
    </reviewItem>
    <reviewItem>
      <errorID>526d9e38-55d9-4f05-8b2f-e74bc6e88d7e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7941208F</paraID>
      <start>0</start>
      <end>2</end>
      <status>unmodified</status>
      <modifiedWord/>
      <trackRevisions>false</trackRevisions>
    </reviewItem>
    <reviewItem>
      <errorID>61ae9a10-129d-41f2-adc0-10cf286db7fa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45B4EAD3</paraID>
      <start>0</start>
      <end>2</end>
      <status>unmodified</status>
      <modifiedWord/>
      <trackRevisions>false</trackRevisions>
    </reviewItem>
    <reviewItem>
      <errorID>f07448b5-2fc6-4b00-a4f7-40cdf2bd1d5f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7EEC205F</paraID>
      <start>0</start>
      <end>2</end>
      <status>unmodified</status>
      <modifiedWord/>
      <trackRevisions>false</trackRevisions>
    </reviewItem>
    <reviewItem>
      <errorID>4733722a-3276-44e1-8b02-e60500f83ead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6445C09E</paraID>
      <start>0</start>
      <end>2</end>
      <status>unmodified</status>
      <modifiedWord/>
      <trackRevisions>false</trackRevisions>
    </reviewItem>
    <reviewItem>
      <errorID>5d1fcf06-b231-4f20-904c-f0c64f53a333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468C6051</paraID>
      <start>0</start>
      <end>2</end>
      <status>unmodified</status>
      <modifiedWord/>
      <trackRevisions>false</trackRevisions>
    </reviewItem>
    <reviewItem>
      <errorID>027ba065-1d50-4bc4-91f9-2950826d2bdc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389AF393</paraID>
      <start>0</start>
      <end>2</end>
      <status>unmodified</status>
      <modifiedWord/>
      <trackRevisions>false</trackRevisions>
    </reviewItem>
    <reviewItem>
      <errorID>9bf231d9-27f3-40ce-ad10-7ce47e90a86a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72A50751</paraID>
      <start>0</start>
      <end>2</end>
      <status>unmodified</status>
      <modifiedWord/>
      <trackRevisions>false</trackRevisions>
    </reviewItem>
    <reviewItem>
      <errorID>c58377c1-c4ee-40b5-a762-b7286773e653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49742770</paraID>
      <start>0</start>
      <end>2</end>
      <status>unmodified</status>
      <modifiedWord/>
      <trackRevisions>false</trackRevisions>
    </reviewItem>
    <reviewItem>
      <errorID>3760bec2-1dfc-48a7-95ee-8e50648610e8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21BB7241</paraID>
      <start>0</start>
      <end>2</end>
      <status>unmodified</status>
      <modifiedWord/>
      <trackRevisions>false</trackRevisions>
    </reviewItem>
    <reviewItem>
      <errorID>7cc27c0f-e188-4d28-bb29-273322c869fa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1D30B20C</paraID>
      <start>0</start>
      <end>2</end>
      <status>unmodified</status>
      <modifiedWord/>
      <trackRevisions>false</trackRevisions>
    </reviewItem>
    <reviewItem>
      <errorID>c2bace36-c3e4-4a32-b40c-a8a334eada55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72A44338</paraID>
      <start>0</start>
      <end>2</end>
      <status>unmodified</status>
      <modifiedWord/>
      <trackRevisions>false</trackRevisions>
    </reviewItem>
    <reviewItem>
      <errorID>f7cb930e-679b-4951-9691-497d8b616a4b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27ADDC06</paraID>
      <start>0</start>
      <end>2</end>
      <status>unmodified</status>
      <modifiedWord/>
      <trackRevisions>false</trackRevisions>
    </reviewItem>
    <reviewItem>
      <errorID>ff4cf120-3135-4488-9072-9fb04a4a971d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35855C38</paraID>
      <start>0</start>
      <end>2</end>
      <status>unmodified</status>
      <modifiedWord/>
      <trackRevisions>false</trackRevisions>
    </reviewItem>
    <reviewItem>
      <errorID>960e1ce8-ad68-466c-b79c-9b04f5874d82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6129148A</paraID>
      <start>0</start>
      <end>2</end>
      <status>unmodified</status>
      <modifiedWord/>
      <trackRevisions>false</trackRevisions>
    </reviewItem>
    <reviewItem>
      <errorID>a99fdb2c-16e8-40c6-8973-119c7cb52ee3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78236F76</paraID>
      <start>0</start>
      <end>2</end>
      <status>unmodified</status>
      <modifiedWord/>
      <trackRevisions>false</trackRevisions>
    </reviewItem>
    <reviewItem>
      <errorID>7e1d78ab-1339-43b2-86ae-cf4801f49b4b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2FCC46DF</paraID>
      <start>0</start>
      <end>2</end>
      <status>unmodified</status>
      <modifiedWord/>
      <trackRevisions>false</trackRevisions>
    </reviewItem>
    <reviewItem>
      <errorID>2beb9e70-7280-4d1f-aa58-035004a9fcab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6345E835</paraID>
      <start>0</start>
      <end>2</end>
      <status>unmodified</status>
      <modifiedWord/>
      <trackRevisions>false</trackRevisions>
    </reviewItem>
    <reviewItem>
      <errorID>aa70982b-5b88-4b76-9bb7-d4ffec4ca834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3B7129D5</paraID>
      <start>0</start>
      <end>2</end>
      <status>unmodified</status>
      <modifiedWord/>
      <trackRevisions>false</trackRevisions>
    </reviewItem>
    <reviewItem>
      <errorID>bfea72c8-d271-41fb-808a-2d7dad45bf13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163B4AD7</paraID>
      <start>0</start>
      <end>2</end>
      <status>unmodified</status>
      <modifiedWord/>
      <trackRevisions>false</trackRevisions>
    </reviewItem>
    <reviewItem>
      <errorID>eebe74f8-8992-43b5-a7d1-741e1c4aab63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79A5A95</paraID>
      <start>0</start>
      <end>2</end>
      <status>unmodified</status>
      <modifiedWord/>
      <trackRevisions>false</trackRevisions>
    </reviewItem>
    <reviewItem>
      <errorID>ff4e59eb-6471-40de-8526-837c73adde1b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373499BE</paraID>
      <start>0</start>
      <end>2</end>
      <status>unmodified</status>
      <modifiedWord/>
      <trackRevisions>false</trackRevisions>
    </reviewItem>
    <reviewItem>
      <errorID>9a5246e8-2291-4559-93a6-09257a3d23ea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1172A3B6</paraID>
      <start>0</start>
      <end>2</end>
      <status>unmodified</status>
      <modifiedWord/>
      <trackRevisions>false</trackRevisions>
    </reviewItem>
    <reviewItem>
      <errorID>80cc5f1b-d72c-4a7c-b257-a285dba0bb3d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2FA3097B</paraID>
      <start>0</start>
      <end>2</end>
      <status>unmodified</status>
      <modifiedWord/>
      <trackRevisions>false</trackRevisions>
    </reviewItem>
    <reviewItem>
      <errorID>1e17b78a-59e6-4208-be88-9a265f467229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474E8BC5</paraID>
      <start>0</start>
      <end>2</end>
      <status>unmodified</status>
      <modifiedWord/>
      <trackRevisions>false</trackRevisions>
    </reviewItem>
    <reviewItem>
      <errorID>7a933906-8643-41cf-95ad-3c3fc199806d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6C3CA48A</paraID>
      <start>0</start>
      <end>2</end>
      <status>unmodified</status>
      <modifiedWord/>
      <trackRevisions>false</trackRevisions>
    </reviewItem>
    <reviewItem>
      <errorID>db05b14a-7c5f-4516-b01a-fe417738b673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4CC4CDDE</paraID>
      <start>0</start>
      <end>2</end>
      <status>unmodified</status>
      <modifiedWord/>
      <trackRevisions>false</trackRevisions>
    </reviewItem>
    <reviewItem>
      <errorID>6d450b63-918d-499d-a2f7-8ecfb5d5e2a5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723DF297</paraID>
      <start>0</start>
      <end>2</end>
      <status>unmodified</status>
      <modifiedWord/>
      <trackRevisions>false</trackRevisions>
    </reviewItem>
    <reviewItem>
      <errorID>c547727c-569c-4c67-afb5-a9af64482ef6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1D4F4AB4</paraID>
      <start>0</start>
      <end>2</end>
      <status>unmodified</status>
      <modifiedWord/>
      <trackRevisions>false</trackRevisions>
    </reviewItem>
    <reviewItem>
      <errorID>efe7c7dc-fb70-4da4-aaa6-f556327e1c54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79EC3FB5</paraID>
      <start>0</start>
      <end>2</end>
      <status>unmodified</status>
      <modifiedWord/>
      <trackRevisions>false</trackRevisions>
    </reviewItem>
    <reviewItem>
      <errorID>d533651d-a66d-4c7e-9491-9e3a16e02dc8</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7C933F05</paraID>
      <start>60</start>
      <end>61</end>
      <status>unmodified</status>
      <modifiedWord/>
      <trackRevisions>false</trackRevisions>
    </reviewItem>
    <reviewItem>
      <errorID>edb826e5-05e6-428d-b8e2-1dbf5b32f283</errorID>
      <errorWord>-</errorWord>
      <group>L1_Format</group>
      <groupName>格式问题</groupName>
      <ability>L2_HalfPunc_CN</ability>
      <abilityName>全半角问题</abilityName>
      <candidateList>
        <item>－</item>
      </candidateList>
      <explain>文本全半角错误。</explain>
      <paraID>7615E5A7</paraID>
      <start>78</start>
      <end>79</end>
      <status>unmodified</status>
      <modifiedWord/>
      <trackRevisions>false</trackRevisions>
    </reviewItem>
    <reviewItem>
      <errorID>ff923fde-a544-4366-bbbe-2a9eb1688d4e</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7615E5A7</paraID>
      <start>95</start>
      <end>96</end>
      <status>unmodified</status>
      <modifiedWord/>
      <trackRevisions>false</trackRevisions>
    </reviewItem>
    <reviewItem>
      <errorID>2b06f06b-842e-4bd3-9238-7f183fd73495</errorID>
      <errorWord>~</errorWord>
      <group>L1_Format</group>
      <groupName>格式问题</groupName>
      <ability>L2_HalfPunc_CN</ability>
      <abilityName>全半角问题</abilityName>
      <candidateList>
        <item>～</item>
      </candidateList>
      <explain>文本全半角错误。</explain>
      <paraID>59BC4AC0</paraID>
      <start>109</start>
      <end>110</end>
      <status>unmodified</status>
      <modifiedWord/>
      <trackRevisions>false</trackRevisions>
    </reviewItem>
    <reviewItem>
      <errorID>0717dee5-7831-43fa-aa07-d751fe5f2ae0</errorID>
      <errorWord>~</errorWord>
      <group>L1_Format</group>
      <groupName>格式问题</groupName>
      <ability>L2_HalfPunc_CN</ability>
      <abilityName>全半角问题</abilityName>
      <candidateList>
        <item>～</item>
      </candidateList>
      <explain>文本全半角错误。</explain>
      <paraID> 1E5FF0D</paraID>
      <start>60</start>
      <end>61</end>
      <status>unmodified</status>
      <modifiedWord/>
      <trackRevisions>false</trackRevisions>
    </reviewItem>
    <reviewItem>
      <errorID>89a44b27-e36c-4bac-8195-b2b73206cafc</errorID>
      <errorWord>~</errorWord>
      <group>L1_Format</group>
      <groupName>格式问题</groupName>
      <ability>L2_HalfPunc_CN</ability>
      <abilityName>全半角问题</abilityName>
      <candidateList>
        <item>～</item>
      </candidateList>
      <explain>文本全半角错误。</explain>
      <paraID> 1E5FF0D</paraID>
      <start>82</start>
      <end>83</end>
      <status>unmodified</status>
      <modifiedWord/>
      <trackRevisions>false</trackRevisions>
    </reviewItem>
    <reviewItem>
      <errorID>f04e2e6a-2a26-406b-8a76-1f07b7b62b9a</errorID>
      <errorWord>~</errorWord>
      <group>L1_Format</group>
      <groupName>格式问题</groupName>
      <ability>L2_HalfPunc_CN</ability>
      <abilityName>全半角问题</abilityName>
      <candidateList>
        <item>～</item>
      </candidateList>
      <explain>文本全半角错误。</explain>
      <paraID>63C78DBC</paraID>
      <start>8</start>
      <end>9</end>
      <status>unmodified</status>
      <modifiedWord/>
      <trackRevisions>false</trackRevisions>
    </reviewItem>
    <reviewItem>
      <errorID>717db7d1-0eac-4f39-a67f-725de975677b</errorID>
      <errorWord>~</errorWord>
      <group>L1_Format</group>
      <groupName>格式问题</groupName>
      <ability>L2_HalfPunc_CN</ability>
      <abilityName>全半角问题</abilityName>
      <candidateList>
        <item>～</item>
      </candidateList>
      <explain>文本全半角错误。</explain>
      <paraID>63C78DBC</paraID>
      <start>165</start>
      <end>166</end>
      <status>unmodified</status>
      <modifiedWord/>
      <trackRevisions>false</trackRevisions>
    </reviewItem>
    <reviewItem>
      <errorID>8dd16695-92b3-4a7a-a531-2daa1660a6fc</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435EE514</paraID>
      <start>29</start>
      <end>30</end>
      <status>unmodified</status>
      <modifiedWord/>
      <trackRevisions>false</trackRevisions>
    </reviewItem>
    <reviewItem>
      <errorID>89773295-61ae-4735-8173-3c6be4e018a3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3C03C435</paraID>
      <start>0</start>
      <end>2</end>
      <status>unmodified</status>
      <modifiedWord/>
      <trackRevisions>false</trackRevisions>
    </reviewItem>
    <reviewItem>
      <errorID>f0ab99e6-a663-4531-94af-6b6b34a613a2</errorID>
      <errorWord>环境影响评价法</errorWord>
      <group>L1_Knowledge</group>
      <groupName>知识性问题</groupName>
      <ability>L2_Knowledge</ability>
      <abilityName>其他知识</abilityName>
      <candidateList>
        <item>中华人民共和国环境影响评价法</item>
      </candidateList>
      <explain>当前法律法规名称使用简称，请注意是否应当使用全称。</explain>
      <paraID>654B812D</paraID>
      <start>3</start>
      <end>10</end>
      <status>unmodified</status>
      <modifiedWord/>
      <trackRevisions>false</trackRevisions>
    </reviewItem>
    <reviewItem>
      <errorID>f8606bc1-8b3a-4848-882c-0be229f564b4</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654B812D</paraID>
      <start>10</start>
      <end>13</end>
      <status>unmodified</status>
      <modifiedWord/>
      <trackRevisions>false</trackRevisions>
    </reviewItem>
    <reviewItem>
      <errorID>86006374-45a2-4ee1-a450-51bf4de12732</errorID>
      <errorWord>）</errorWord>
      <group>L1_Word</group>
      <groupName>字词问题</groupName>
      <ability>L2_Typo</ability>
      <abilityName>字词错误</abilityName>
      <candidateList>
        <item>）等</item>
      </candidateList>
      <explain/>
      <paraID>654B812D</paraID>
      <start>64</start>
      <end>65</end>
      <status>unmodified</status>
      <modifiedWord/>
      <trackRevisions>false</trackRevisions>
    </reviewItem>
    <reviewItem>
      <errorID>e2280f50-c5bb-40ec-b0d0-56f9fae3f4fa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13AFEBAC</paraID>
      <start>0</start>
      <end>2</end>
      <status>unmodified</status>
      <modifiedWord/>
      <trackRevisions>false</trackRevisions>
    </reviewItem>
    <reviewItem>
      <errorID>2ac77d2e-8f3a-4727-9894-4d4c54bb909f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282C4CF9</paraID>
      <start>0</start>
      <end>2</end>
      <status>unmodified</status>
      <modifiedWord/>
      <trackRevisions>false</trackRevisions>
    </reviewItem>
    <reviewItem>
      <errorID>4368360e-924e-47e7-bef0-59cf9ab8095a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2AE944AE</paraID>
      <start>0</start>
      <end>2</end>
      <status>unmodified</status>
      <modifiedWord/>
      <trackRevisions>false</trackRevisions>
    </reviewItem>
    <reviewItem>
      <errorID>7031f417-69ac-43d7-b4c3-a01fd708f885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17BC517F</paraID>
      <start>0</start>
      <end>2</end>
      <status>unmodified</status>
      <modifiedWord/>
      <trackRevisions>false</trackRevisions>
    </reviewItem>
    <reviewItem>
      <errorID>d0cb75f7-621f-43f7-93c8-3a762a46a597</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6E6BF0C2</paraID>
      <start>0</start>
      <end>2</end>
      <status>unmodified</status>
      <modifiedWord/>
      <trackRevisions>false</trackRevisions>
    </reviewItem>
    <reviewItem>
      <errorID>377f866a-f6b7-44bc-8583-5c81fd1e719e</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604A790B</paraID>
      <start>0</start>
      <end>2</end>
      <status>unmodified</status>
      <modifiedWord/>
      <trackRevisions>false</trackRevisions>
    </reviewItem>
    <reviewItem>
      <errorID>5e25812e-4223-4f4f-9ce2-7b637bc5d89a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6B3BEDC</paraID>
      <start>0</start>
      <end>3</end>
      <status>unmodified</status>
      <modifiedWord/>
      <trackRevisions>false</trackRevisions>
    </reviewItem>
    <reviewItem>
      <errorID>9140c5b0-7eeb-4ca4-8e16-dadacd9d4808</errorID>
      <errorWord>(</errorWord>
      <group>L1_Format</group>
      <groupName>格式问题</groupName>
      <ability>L2_HalfPunc_CN</ability>
      <abilityName>全半角问题</abilityName>
      <candidateList>
        <item>（</item>
      </candidateList>
      <explain>文本全半角错误。</explain>
      <paraID> 6B3BEDC</paraID>
      <start>13</start>
      <end>14</end>
      <status>unmodified</status>
      <modifiedWord/>
      <trackRevisions>false</trackRevisions>
    </reviewItem>
    <reviewItem>
      <errorID>b54c9ba5-9547-44a1-896a-50299a01d482</errorID>
      <errorWord>)</errorWord>
      <group>L1_Format</group>
      <groupName>格式问题</groupName>
      <ability>L2_HalfPunc_CN</ability>
      <abilityName>全半角问题</abilityName>
      <candidateList>
        <item>）</item>
      </candidateList>
      <explain>文本全半角错误。</explain>
      <paraID> 6B3BEDC</paraID>
      <start>25</start>
      <end>26</end>
      <status>unmodified</status>
      <modifiedWord/>
      <trackRevisions>false</trackRevisions>
    </reviewItem>
    <reviewItem>
      <errorID>21e1cc04-ac01-4fc0-b5e2-807e594be0c3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C16CCE3</paraID>
      <start>0</start>
      <end>3</end>
      <status>unmodified</status>
      <modifiedWord/>
      <trackRevisions>false</trackRevisions>
    </reviewItem>
    <reviewItem>
      <errorID>30af9df2-35aa-4f5c-b152-682865a730e7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29FF1ED0</paraID>
      <start>0</start>
      <end>3</end>
      <status>unmodified</status>
      <modifiedWord/>
      <trackRevisions>false</trackRevisions>
    </reviewItem>
    <reviewItem>
      <errorID>7269bfc3-0592-4eed-ad92-c9b27a9ecf8e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56523673</paraID>
      <start>0</start>
      <end>3</end>
      <status>unmodified</status>
      <modifiedWord/>
      <trackRevisions>false</trackRevisions>
    </reviewItem>
    <reviewItem>
      <errorID>30584f8d-085a-4534-b11c-240049b1b8cf</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BC4A55F</paraID>
      <start>0</start>
      <end>2</end>
      <status>unmodified</status>
      <modifiedWord/>
      <trackRevisions>false</trackRevisions>
    </reviewItem>
    <reviewItem>
      <errorID>e10393c1-2a7f-4b3c-8537-3ccd36f6df47</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227A5E4D</paraID>
      <start>0</start>
      <end>2</end>
      <status>unmodified</status>
      <modifiedWord/>
      <trackRevisions>false</trackRevisions>
    </reviewItem>
    <reviewItem>
      <errorID>5e7cca1a-ee0b-4bb3-bdeb-467b9ab235c6</errorID>
      <errorWord>(</errorWord>
      <group>L1_Format</group>
      <groupName>格式问题</groupName>
      <ability>L2_HalfPunc_CN</ability>
      <abilityName>全半角问题</abilityName>
      <candidateList>
        <item>（</item>
      </candidateList>
      <explain>文本全半角错误。</explain>
      <paraID>227A5E4D</paraID>
      <start>28</start>
      <end>29</end>
      <status>unmodified</status>
      <modifiedWord/>
      <trackRevisions>false</trackRevisions>
    </reviewItem>
    <reviewItem>
      <errorID>879a55d5-291e-496c-b852-47e4fd0394e7</errorID>
      <errorWord>)</errorWord>
      <group>L1_Format</group>
      <groupName>格式问题</groupName>
      <ability>L2_HalfPunc_CN</ability>
      <abilityName>全半角问题</abilityName>
      <candidateList>
        <item>）</item>
      </candidateList>
      <explain>文本全半角错误。</explain>
      <paraID>227A5E4D</paraID>
      <start>58</start>
      <end>59</end>
      <status>unmodified</status>
      <modifiedWord/>
      <trackRevisions>false</trackRevisions>
    </reviewItem>
    <reviewItem>
      <errorID>20cc1c68-a07b-410a-8eb9-732132d9f32e</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727D3720</paraID>
      <start>0</start>
      <end>2</end>
      <status>unmodified</status>
      <modifiedWord/>
      <trackRevisions>false</trackRevisions>
    </reviewItem>
    <reviewItem>
      <errorID>efba61b9-8fda-4bc6-b004-9ecc5bae3feb</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14CF279C</paraID>
      <start>0</start>
      <end>3</end>
      <status>unmodified</status>
      <modifiedWord/>
      <trackRevisions>false</trackRevisions>
    </reviewItem>
    <reviewItem>
      <errorID>dc6ea306-8b48-41cc-86be-8504a11dff51</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3C44710D</paraID>
      <start>0</start>
      <end>3</end>
      <status>unmodified</status>
      <modifiedWord/>
      <trackRevisions>false</trackRevisions>
    </reviewItem>
    <reviewItem>
      <errorID>34350ebe-aee8-4358-aac4-c6b2c72f6c4b</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488C4C6A</paraID>
      <start>0</start>
      <end>3</end>
      <status>unmodified</status>
      <modifiedWord/>
      <trackRevisions>false</trackRevisions>
    </reviewItem>
    <reviewItem>
      <errorID>6b0cb784-df44-44b5-bd55-3274696e01b6</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577257BA</paraID>
      <start>0</start>
      <end>3</end>
      <status>unmodified</status>
      <modifiedWord/>
      <trackRevisions>false</trackRevisions>
    </reviewItem>
    <reviewItem>
      <errorID>a0e19ca9-3926-4d60-bb8f-6e98bda20b7e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324701E6</paraID>
      <start>0</start>
      <end>2</end>
      <status>unmodified</status>
      <modifiedWord/>
      <trackRevisions>false</trackRevisions>
    </reviewItem>
    <reviewItem>
      <errorID>f93577b6-d1df-4b47-99b1-d9d79d1ed5e4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508405B</paraID>
      <start>0</start>
      <end>2</end>
      <status>unmodified</status>
      <modifiedWord/>
      <trackRevisions>false</trackRevisions>
    </reviewItem>
    <reviewItem>
      <errorID>3bde7b89-67a7-415b-bce8-18f24ad2228a</errorID>
      <errorWord>(</errorWord>
      <group>L1_Format</group>
      <groupName>格式问题</groupName>
      <ability>L2_HalfPunc_CN</ability>
      <abilityName>全半角问题</abilityName>
      <candidateList>
        <item>（</item>
      </candidateList>
      <explain>文本全半角错误。</explain>
      <paraID>3398505D</paraID>
      <start>47</start>
      <end>48</end>
      <status>unmodified</status>
      <modifiedWord/>
      <trackRevisions>false</trackRevisions>
    </reviewItem>
    <reviewItem>
      <errorID>3785ffd6-3d80-4e67-8387-19bec14fd776</errorID>
      <errorWord>)</errorWord>
      <group>L1_Format</group>
      <groupName>格式问题</groupName>
      <ability>L2_HalfPunc_CN</ability>
      <abilityName>全半角问题</abilityName>
      <candidateList>
        <item>）</item>
      </candidateList>
      <explain>文本全半角错误。</explain>
      <paraID>3398505D</paraID>
      <start>65</start>
      <end>66</end>
      <status>unmodified</status>
      <modifiedWord/>
      <trackRevisions>false</trackRevisions>
    </reviewItem>
    <reviewItem>
      <errorID>69530121-4cda-4bd3-95b1-ffc7c77841a7</errorID>
      <errorWord>(</errorWord>
      <group>L1_Format</group>
      <groupName>格式问题</groupName>
      <ability>L2_HalfPunc_CN</ability>
      <abilityName>全半角问题</abilityName>
      <candidateList>
        <item>（</item>
      </candidateList>
      <explain>文本全半角错误。</explain>
      <paraID>3398505D</paraID>
      <start>117</start>
      <end>118</end>
      <status>unmodified</status>
      <modifiedWord/>
      <trackRevisions>false</trackRevisions>
    </reviewItem>
    <reviewItem>
      <errorID>99d359a0-f510-4766-996f-f3dae5376fe7</errorID>
      <errorWord>)</errorWord>
      <group>L1_Format</group>
      <groupName>格式问题</groupName>
      <ability>L2_HalfPunc_CN</ability>
      <abilityName>全半角问题</abilityName>
      <candidateList>
        <item>）</item>
      </candidateList>
      <explain>文本全半角错误。</explain>
      <paraID>3398505D</paraID>
      <start>122</start>
      <end>123</end>
      <status>unmodified</status>
      <modifiedWord/>
      <trackRevisions>false</trackRevisions>
    </reviewItem>
    <reviewItem>
      <errorID>7b703c15-e482-4314-88d9-87ad875436ff</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6FD0B536</paraID>
      <start>0</start>
      <end>2</end>
      <status>unmodified</status>
      <modifiedWord/>
      <trackRevisions>false</trackRevisions>
    </reviewItem>
    <reviewItem>
      <errorID>81e842c9-3ec0-4051-8027-89840e730c87</errorID>
      <errorWord>(</errorWord>
      <group>L1_Format</group>
      <groupName>格式问题</groupName>
      <ability>L2_HalfPunc_CN</ability>
      <abilityName>全半角问题</abilityName>
      <candidateList>
        <item>（</item>
      </candidateList>
      <explain>文本全半角错误。</explain>
      <paraID>6FD0B536</paraID>
      <start>49</start>
      <end>50</end>
      <status>unmodified</status>
      <modifiedWord/>
      <trackRevisions>false</trackRevisions>
    </reviewItem>
    <reviewItem>
      <errorID>22efa569-c076-4939-97d2-77a829cabb47</errorID>
      <errorWord>)</errorWord>
      <group>L1_Format</group>
      <groupName>格式问题</groupName>
      <ability>L2_HalfPunc_CN</ability>
      <abilityName>全半角问题</abilityName>
      <candidateList>
        <item>）</item>
      </candidateList>
      <explain>文本全半角错误。</explain>
      <paraID>6FD0B536</paraID>
      <start>67</start>
      <end>68</end>
      <status>unmodified</status>
      <modifiedWord/>
      <trackRevisions>false</trackRevisions>
    </reviewItem>
    <reviewItem>
      <errorID>d3ad8250-518e-4a5e-9c33-31f7eb260352</errorID>
      <errorWord>(</errorWord>
      <group>L1_Format</group>
      <groupName>格式问题</groupName>
      <ability>L2_HalfPunc_CN</ability>
      <abilityName>全半角问题</abilityName>
      <candidateList>
        <item>（</item>
      </candidateList>
      <explain>文本全半角错误。</explain>
      <paraID>6FD0B536</paraID>
      <start>119</start>
      <end>120</end>
      <status>unmodified</status>
      <modifiedWord/>
      <trackRevisions>false</trackRevisions>
    </reviewItem>
    <reviewItem>
      <errorID>d26ace9c-8bb8-46e3-b24e-8abaf937b120</errorID>
      <errorWord>)</errorWord>
      <group>L1_Format</group>
      <groupName>格式问题</groupName>
      <ability>L2_HalfPunc_CN</ability>
      <abilityName>全半角问题</abilityName>
      <candidateList>
        <item>）</item>
      </candidateList>
      <explain>文本全半角错误。</explain>
      <paraID>6FD0B536</paraID>
      <start>124</start>
      <end>125</end>
      <status>unmodified</status>
      <modifiedWord/>
      <trackRevisions>false</trackRevisions>
    </reviewItem>
    <reviewItem>
      <errorID>0e884b4e-7eeb-4a58-bb7f-f4c8d425e506</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3CD07ABE</paraID>
      <start>0</start>
      <end>2</end>
      <status>unmodified</status>
      <modifiedWord/>
      <trackRevisions>false</trackRevisions>
    </reviewItem>
    <reviewItem>
      <errorID>0fb835c8-ec67-4eba-9e5c-7c1afea6b257</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2B7D6B43</paraID>
      <start>0</start>
      <end>2</end>
      <status>unmodified</status>
      <modifiedWord/>
      <trackRevisions>false</trackRevisions>
    </reviewItem>
    <reviewItem>
      <errorID>fff94685-bf4f-407e-94df-906f39ea3b03</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1C7414A3</paraID>
      <start>0</start>
      <end>2</end>
      <status>unmodified</status>
      <modifiedWord/>
      <trackRevisions>false</trackRevisions>
    </reviewItem>
    <reviewItem>
      <errorID>91d48e44-c179-4d6c-b524-a9d04996baae</errorID>
      <errorWord>)</errorWord>
      <group>L1_Format</group>
      <groupName>格式问题</groupName>
      <ability>L2_HalfPunc_CN</ability>
      <abilityName>全半角问题</abilityName>
      <candidateList>
        <item>）</item>
      </candidateList>
      <explain>文本全半角错误。</explain>
      <paraID>5B69A435</paraID>
      <start>37</start>
      <end>38</end>
      <status>unmodified</status>
      <modifiedWord/>
      <trackRevisions>false</trackRevisions>
    </reviewItem>
    <reviewItem>
      <errorID>b09dd3ff-587c-4396-b3f4-68bb636bd193</errorID>
      <errorWord>、</errorWord>
      <group>L1_Punc</group>
      <groupName>标点问题</groupName>
      <ability>L2_Punc_CN</ability>
      <abilityName>标点符号问题</abilityName>
      <candidateList>
        <item>.</item>
      </candidateList>
      <explain/>
      <paraID>7DBD99DC</paraID>
      <start>1</start>
      <end>2</end>
      <status>unmodified</status>
      <modifiedWord/>
      <trackRevisions>false</trackRevisions>
    </reviewItem>
    <reviewItem>
      <errorID>4f8dd6c0-1436-4623-a28b-c3467303021b</errorID>
      <errorWord>10%~40%</errorWord>
      <group>L1_Knowledge</group>
      <groupName>知识性问题</groupName>
      <ability>L2_Knowledge</ability>
      <abilityName>其他知识</abilityName>
      <candidateList>
        <item>10%～40%</item>
      </candidateList>
      <explain>1. “10%~40%”中的单位“%”仅出现在后一个数字上，容易引起歧义；根据《现代汉语标点符号数字用法规范手册》，数字表示范围两边需要使用统一的格式。2. 根据标点国标 4.13 中的规则，数字、时间或地域连接符应使用（视觉上更长的）“—”或“～”。</explain>
      <paraID>1FD78080</paraID>
      <start>33</start>
      <end>40</end>
      <status>unmodified</status>
      <modifiedWord/>
      <trackRevisions>false</trackRevisions>
    </reviewItem>
    <reviewItem>
      <errorID>dec3f165-3e8a-46d4-8448-eb92c3e29288</errorID>
      <errorWord>10%~20%</errorWord>
      <group>L1_Knowledge</group>
      <groupName>知识性问题</groupName>
      <ability>L2_Knowledge</ability>
      <abilityName>其他知识</abilityName>
      <candidateList>
        <item>10%～20%</item>
      </candidateList>
      <explain>1. “10%~20%”中的单位“%”仅出现在后一个数字上，容易引起歧义；根据《现代汉语标点符号数字用法规范手册》，数字表示范围两边需要使用统一的格式。2. 根据标点国标 4.13 中的规则，数字、时间或地域连接符应使用（视觉上更长的）“—”或“～”。</explain>
      <paraID>1FD78080</paraID>
      <start>44</start>
      <end>51</end>
      <status>unmodified</status>
      <modifiedWord/>
      <trackRevisions>false</trackRevisions>
    </reviewItem>
    <reviewItem>
      <errorID>69c91181-cd1d-4b0a-917c-e6c3a5ec81fa</errorID>
      <errorWord>(</errorWord>
      <group>L1_Format</group>
      <groupName>格式问题</groupName>
      <ability>L2_HalfPunc_CN</ability>
      <abilityName>全半角问题</abilityName>
      <candidateList>
        <item>（</item>
      </candidateList>
      <explain>文本全半角错误。</explain>
      <paraID>1FD78080</paraID>
      <start>104</start>
      <end>105</end>
      <status>unmodified</status>
      <modifiedWord/>
      <trackRevisions>false</trackRevisions>
    </reviewItem>
    <reviewItem>
      <errorID>8fc44025-9349-4d89-9dc2-6a87f69480f5</errorID>
      <errorWord>)</errorWord>
      <group>L1_Format</group>
      <groupName>格式问题</groupName>
      <ability>L2_HalfPunc_CN</ability>
      <abilityName>全半角问题</abilityName>
      <candidateList>
        <item>）</item>
      </candidateList>
      <explain>文本全半角错误。</explain>
      <paraID>1FD78080</paraID>
      <start>108</start>
      <end>109</end>
      <status>unmodified</status>
      <modifiedWord/>
      <trackRevisions>false</trackRevisions>
    </reviewItem>
    <reviewItem>
      <errorID>f490d210-aec2-4d7b-83ef-ec2c93bdb966</errorID>
      <errorWord>(</errorWord>
      <group>L1_Format</group>
      <groupName>格式问题</groupName>
      <ability>L2_HalfPunc_CN</ability>
      <abilityName>全半角问题</abilityName>
      <candidateList>
        <item>（</item>
      </candidateList>
      <explain>文本全半角错误。</explain>
      <paraID>1FD78080</paraID>
      <start>113</start>
      <end>114</end>
      <status>unmodified</status>
      <modifiedWord/>
      <trackRevisions>false</trackRevisions>
    </reviewItem>
    <reviewItem>
      <errorID>47c0e840-5d11-4431-92be-c13dda29a065</errorID>
      <errorWord>)</errorWord>
      <group>L1_Format</group>
      <groupName>格式问题</groupName>
      <ability>L2_HalfPunc_CN</ability>
      <abilityName>全半角问题</abilityName>
      <candidateList>
        <item>）</item>
      </candidateList>
      <explain>文本全半角错误。</explain>
      <paraID>1FD78080</paraID>
      <start>117</start>
      <end>118</end>
      <status>unmodified</status>
      <modifiedWord/>
      <trackRevisions>false</trackRevisions>
    </reviewItem>
    <reviewItem>
      <errorID>cab8e423-a219-4f45-a69f-ea054bd690f7</errorID>
      <errorWord>、</errorWord>
      <group>L1_Punc</group>
      <groupName>标点问题</groupName>
      <ability>L2_Punc_CN</ability>
      <abilityName>标点符号问题</abilityName>
      <candidateList>
        <item>.</item>
      </candidateList>
      <explain/>
      <paraID>744A7DC3</paraID>
      <start>1</start>
      <end>2</end>
      <status>unmodified</status>
      <modifiedWord/>
      <trackRevisions>false</trackRevisions>
    </reviewItem>
    <reviewItem>
      <errorID>cad1a652-0b6a-480c-bdb8-191bcc394158</errorID>
      <errorWord>、</errorWord>
      <group>L1_Punc</group>
      <groupName>标点问题</groupName>
      <ability>L2_Punc_CN</ability>
      <abilityName>标点符号问题</abilityName>
      <candidateList>
        <item>.</item>
      </candidateList>
      <explain/>
      <paraID>450A16E3</paraID>
      <start>1</start>
      <end>2</end>
      <status>unmodified</status>
      <modifiedWord/>
      <trackRevisions>false</trackRevisions>
    </reviewItem>
    <reviewItem>
      <errorID>66202bcf-71d4-4385-b094-e4d8210bf326</errorID>
      <errorWord>、</errorWord>
      <group>L1_Punc</group>
      <groupName>标点问题</groupName>
      <ability>L2_Punc_CN</ability>
      <abilityName>标点符号问题</abilityName>
      <candidateList>
        <item>.</item>
      </candidateList>
      <explain/>
      <paraID>32A103D7</paraID>
      <start>1</start>
      <end>2</end>
      <status>unmodified</status>
      <modifiedWord/>
      <trackRevisions>false</trackRevisions>
    </reviewItem>
    <reviewItem>
      <errorID>47290b82-4b33-4294-a0f1-63ebdd8f3ee7</errorID>
      <errorWord>、</errorWord>
      <group>L1_Punc</group>
      <groupName>标点问题</groupName>
      <ability>L2_Punc_CN</ability>
      <abilityName>标点符号问题</abilityName>
      <candidateList>
        <item>.</item>
      </candidateList>
      <explain/>
      <paraID>1EB9C566</paraID>
      <start>1</start>
      <end>2</end>
      <status>unmodified</status>
      <modifiedWord/>
      <trackRevisions>false</trackRevisions>
    </reviewItem>
    <reviewItem>
      <errorID>4b8bbc75-882d-4ed3-bd33-0a481ccacbcc</errorID>
      <errorWord>、</errorWord>
      <group>L1_Punc</group>
      <groupName>标点问题</groupName>
      <ability>L2_Punc_CN</ability>
      <abilityName>标点符号问题</abilityName>
      <candidateList>
        <item>.</item>
      </candidateList>
      <explain/>
      <paraID>3E03E3E8</paraID>
      <start>1</start>
      <end>2</end>
      <status>unmodified</status>
      <modifiedWord/>
      <trackRevisions>false</trackRevisions>
    </reviewItem>
    <reviewItem>
      <errorID>bbfb4041-ddac-49d9-b196-76ce79f18b12</errorID>
      <errorWord>......</errorWord>
      <group>L1_Punc</group>
      <groupName>标点问题</groupName>
      <ability>L2_Punc_CN</ability>
      <abilityName>标点符号问题</abilityName>
      <candidateList>
        <item>……</item>
      </candidateList>
      <explain/>
      <paraID> 3C5D96C</paraID>
      <start>240</start>
      <end>246</end>
      <status>unmodified</status>
      <modifiedWord/>
      <trackRevisions>false</trackRevisions>
    </reviewItem>
    <reviewItem>
      <errorID>89e8ceb0-8213-4553-96d0-e59300db3fda</errorID>
      <errorWord>(</errorWord>
      <group>L1_Format</group>
      <groupName>格式问题</groupName>
      <ability>L2_HalfPunc_CN</ability>
      <abilityName>全半角问题</abilityName>
      <candidateList>
        <item>（</item>
      </candidateList>
      <explain>文本全半角错误。</explain>
      <paraID>39A5BCD4</paraID>
      <start>33</start>
      <end>34</end>
      <status>unmodified</status>
      <modifiedWord/>
      <trackRevisions>false</trackRevisions>
    </reviewItem>
    <reviewItem>
      <errorID>919b3a88-fbff-4009-a64d-b86f355f5c1a</errorID>
      <errorWord>)</errorWord>
      <group>L1_Format</group>
      <groupName>格式问题</groupName>
      <ability>L2_HalfPunc_CN</ability>
      <abilityName>全半角问题</abilityName>
      <candidateList>
        <item>）</item>
      </candidateList>
      <explain>文本全半角错误。</explain>
      <paraID>39A5BCD4</paraID>
      <start>37</start>
      <end>38</end>
      <status>unmodified</status>
      <modifiedWord/>
      <trackRevisions>false</trackRevisions>
    </reviewItem>
    <reviewItem>
      <errorID>e2f79e15-bf32-45a7-b4da-8c8d7f1f2f0e</errorID>
      <errorWord>(</errorWord>
      <group>L1_Format</group>
      <groupName>格式问题</groupName>
      <ability>L2_HalfPunc_CN</ability>
      <abilityName>全半角问题</abilityName>
      <candidateList>
        <item>（</item>
      </candidateList>
      <explain>文本全半角错误。</explain>
      <paraID>39A5BCD4</paraID>
      <start>48</start>
      <end>49</end>
      <status>unmodified</status>
      <modifiedWord/>
      <trackRevisions>false</trackRevisions>
    </reviewItem>
    <reviewItem>
      <errorID>6a2b2071-eac2-44ac-b707-3c714eaf1420</errorID>
      <errorWord>)</errorWord>
      <group>L1_Format</group>
      <groupName>格式问题</groupName>
      <ability>L2_HalfPunc_CN</ability>
      <abilityName>全半角问题</abilityName>
      <candidateList>
        <item>）</item>
      </candidateList>
      <explain>文本全半角错误。</explain>
      <paraID>39A5BCD4</paraID>
      <start>53</start>
      <end>54</end>
      <status>unmodified</status>
      <modifiedWord/>
      <trackRevisions>false</trackRevisions>
    </reviewItem>
    <reviewItem>
      <errorID>0942c2e2-ddab-4f97-aa68-2698372c558e</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5C3BA6C5</paraID>
      <start>0</start>
      <end>2</end>
      <status>unmodified</status>
      <modifiedWord/>
      <trackRevisions>false</trackRevisions>
    </reviewItem>
    <reviewItem>
      <errorID>10ba5363-5a0a-42b6-8d3a-cd3a9641ae6d</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5626037B</paraID>
      <start>0</start>
      <end>2</end>
      <status>unmodified</status>
      <modifiedWord/>
      <trackRevisions>false</trackRevisions>
    </reviewItem>
    <reviewItem>
      <errorID>83633a8c-185c-436a-9cbc-d732f569bdd6</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1360CA5F</paraID>
      <start>0</start>
      <end>2</end>
      <status>unmodified</status>
      <modifiedWord/>
      <trackRevisions>false</trackRevisions>
    </reviewItem>
    <reviewItem>
      <errorID>fface3d8-0e3a-4c9a-b7b9-1049c78c2b91</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44AD6761</paraID>
      <start>0</start>
      <end>2</end>
      <status>unmodified</status>
      <modifiedWord/>
      <trackRevisions>false</trackRevisions>
    </reviewItem>
    <reviewItem>
      <errorID>c56f683a-07ef-4f37-9369-7c66730d72cf</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5F3F8C2B</paraID>
      <start>0</start>
      <end>2</end>
      <status>unmodified</status>
      <modifiedWord/>
      <trackRevisions>false</trackRevisions>
    </reviewItem>
    <reviewItem>
      <errorID>cef221e1-9413-4908-bb26-04e23a64c7bc</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727D371F</paraID>
      <start>0</start>
      <end>2</end>
      <status>unmodified</status>
      <modifiedWord/>
      <trackRevisions>false</trackRevisions>
    </reviewItem>
    <reviewItem>
      <errorID>5b386605-e920-4c06-b1f0-e42b23c2b1a2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1AF95084</paraID>
      <start>0</start>
      <end>2</end>
      <status>unmodified</status>
      <modifiedWord/>
      <trackRevisions>false</trackRevisions>
    </reviewItem>
    <reviewItem>
      <errorID>874513ee-0173-4df3-b4a4-387f56dc9cec</errorID>
      <errorWord>(</errorWord>
      <group>L1_Format</group>
      <groupName>格式问题</groupName>
      <ability>L2_HalfPunc_CN</ability>
      <abilityName>全半角问题</abilityName>
      <candidateList>
        <item>（</item>
      </candidateList>
      <explain>文本全半角错误。</explain>
      <paraID>7F464692</paraID>
      <start>3</start>
      <end>4</end>
      <status>unmodified</status>
      <modifiedWord/>
      <trackRevisions>false</trackRevisions>
    </reviewItem>
    <reviewItem>
      <errorID>bde0b50f-e1f0-4d3f-afbd-5812e857134b</errorID>
      <errorWord>)</errorWord>
      <group>L1_Format</group>
      <groupName>格式问题</groupName>
      <ability>L2_HalfPunc_CN</ability>
      <abilityName>全半角问题</abilityName>
      <candidateList>
        <item>）</item>
      </candidateList>
      <explain>文本全半角错误。</explain>
      <paraID>7F464692</paraID>
      <start>7</start>
      <end>8</end>
      <status>unmodified</status>
      <modifiedWord/>
      <trackRevisions>false</trackRevisions>
    </reviewItem>
    <reviewItem>
      <errorID>976e121e-d896-4821-be4c-b41a70b028fd</errorID>
      <errorWord>(</errorWord>
      <group>L1_Format</group>
      <groupName>格式问题</groupName>
      <ability>L2_HalfPunc_CN</ability>
      <abilityName>全半角问题</abilityName>
      <candidateList>
        <item>（</item>
      </candidateList>
      <explain>文本全半角错误。</explain>
      <paraID>3B7FC4CF</paraID>
      <start>17</start>
      <end>18</end>
      <status>unmodified</status>
      <modifiedWord/>
      <trackRevisions>false</trackRevisions>
    </reviewItem>
    <reviewItem>
      <errorID>3ecd6bb5-d728-44ea-acba-d5b6af60339f</errorID>
      <errorWord>)</errorWord>
      <group>L1_Format</group>
      <groupName>格式问题</groupName>
      <ability>L2_HalfPunc_CN</ability>
      <abilityName>全半角问题</abilityName>
      <candidateList>
        <item>）</item>
      </candidateList>
      <explain>文本全半角错误。</explain>
      <paraID>3B7FC4CF</paraID>
      <start>27</start>
      <end>28</end>
      <status>unmodified</status>
      <modifiedWord/>
      <trackRevisions>false</trackRevisions>
    </reviewItem>
    <reviewItem>
      <errorID>31b0e5d9-6408-473c-b9bf-e7fda0e953c8</errorID>
      <errorWord>~</errorWord>
      <group>L1_Format</group>
      <groupName>格式问题</groupName>
      <ability>L2_HalfPunc_CN</ability>
      <abilityName>全半角问题</abilityName>
      <candidateList>
        <item>～</item>
      </candidateList>
      <explain>文本全半角错误。</explain>
      <paraID>38333265</paraID>
      <start>5</start>
      <end>6</end>
      <status>unmodified</status>
      <modifiedWord/>
      <trackRevisions>false</trackRevisions>
    </reviewItem>
    <reviewItem>
      <errorID>21a9b622-1c80-469c-80af-1f8f266785aa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232A1D13</paraID>
      <start>0</start>
      <end>2</end>
      <status>unmodified</status>
      <modifiedWord/>
      <trackRevisions>false</trackRevisions>
    </reviewItem>
    <reviewItem>
      <errorID>5fc5a77f-2653-4982-9410-06b80da3af97</errorID>
      <errorWord>(</errorWord>
      <group>L1_Format</group>
      <groupName>格式问题</groupName>
      <ability>L2_HalfPunc_CN</ability>
      <abilityName>全半角问题</abilityName>
      <candidateList>
        <item>（</item>
      </candidateList>
      <explain>文本全半角错误。</explain>
      <paraID>2E928357</paraID>
      <start>110</start>
      <end>111</end>
      <status>unmodified</status>
      <modifiedWord/>
      <trackRevisions>false</trackRevisions>
    </reviewItem>
    <reviewItem>
      <errorID>694bcc6e-5628-4195-8d28-24252fdba005</errorID>
      <errorWord>)</errorWord>
      <group>L1_Format</group>
      <groupName>格式问题</groupName>
      <ability>L2_HalfPunc_CN</ability>
      <abilityName>全半角问题</abilityName>
      <candidateList>
        <item>）</item>
      </candidateList>
      <explain>文本全半角错误。</explain>
      <paraID>2E928357</paraID>
      <start>129</start>
      <end>130</end>
      <status>unmodified</status>
      <modifiedWord/>
      <trackRevisions>false</trackRevisions>
    </reviewItem>
    <reviewItem>
      <errorID>8a3cea2f-5727-4b9d-a686-b82c63a0e126</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591E9721</paraID>
      <start>0</start>
      <end>2</end>
      <status>unmodified</status>
      <modifiedWord/>
      <trackRevisions>false</trackRevisions>
    </reviewItem>
    <reviewItem>
      <errorID>c226a1d1-822c-4ce1-b4a9-5963aa4d986d</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2B4C4617</paraID>
      <start>0</start>
      <end>2</end>
      <status>unmodified</status>
      <modifiedWord/>
      <trackRevisions>false</trackRevisions>
    </reviewItem>
    <reviewItem>
      <errorID>6374e444-19be-4a03-a996-a29222508174</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37BE8E3</paraID>
      <start>0</start>
      <end>2</end>
      <status>unmodified</status>
      <modifiedWord/>
      <trackRevisions>false</trackRevisions>
    </reviewItem>
    <reviewItem>
      <errorID>b3e8abfd-977a-49f2-bdd0-bf809a0a1e38</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4249B52A</paraID>
      <start>0</start>
      <end>2</end>
      <status>unmodified</status>
      <modifiedWord/>
      <trackRevisions>false</trackRevisions>
    </reviewItem>
    <reviewItem>
      <errorID>d8a432ec-b4f1-4a5d-8770-2bb8fb4e23fe</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4FC74CBF</paraID>
      <start>0</start>
      <end>2</end>
      <status>unmodified</status>
      <modifiedWord/>
      <trackRevisions>false</trackRevisions>
    </reviewItem>
    <reviewItem>
      <errorID>796a6874-3699-46f9-a4b2-7f319dd57a75</errorID>
      <errorWord>房</errorWord>
      <group>L1_Word</group>
      <groupName>字词问题</groupName>
      <ability>L2_Typo</ability>
      <abilityName>字词错误</abilityName>
      <candidateList>
        <item>房和</item>
      </candidateList>
      <explain/>
      <paraID>56A0771E</paraID>
      <start>74</start>
      <end>75</end>
      <status>unmodified</status>
      <modifiedWord/>
      <trackRevisions>false</trackRevisions>
    </reviewItem>
    <reviewItem>
      <errorID>928ec4f4-d9f1-4f1c-884f-9fa92cac5645</errorID>
      <errorWord>（</errorWord>
      <group>L1_Punc</group>
      <groupName>标点问题</groupName>
      <ability>L2_Punc_CN</ability>
      <abilityName>标点符号问题</abilityName>
      <candidateList/>
      <explain>同一形式括号套用。</explain>
      <paraID>56A0771E</paraID>
      <start>233</start>
      <end>234</end>
      <status>unmodified</status>
      <modifiedWord/>
      <trackRevisions>false</trackRevisions>
    </reviewItem>
    <reviewItem>
      <errorID>a1acdaf3-e395-4437-b8bd-4a6d362f701c</errorID>
      <errorWord>）</errorWord>
      <group>L1_Punc</group>
      <groupName>标点问题</groupName>
      <ability>L2_Punc_CN</ability>
      <abilityName>标点符号问题</abilityName>
      <candidateList/>
      <explain>同一形式括号套用。</explain>
      <paraID>56A0771E</paraID>
      <start>244</start>
      <end>245</end>
      <status>unmodified</status>
      <modifiedWord/>
      <trackRevisions>false</trackRevisions>
    </reviewItem>
    <reviewItem>
      <errorID>ad679e33-ac78-4053-9b9a-6158fdc35591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236FDA6D</paraID>
      <start>0</start>
      <end>2</end>
      <status>unmodified</status>
      <modifiedWord/>
      <trackRevisions>false</trackRevisions>
    </reviewItem>
    <reviewItem>
      <errorID>c35cfe4e-8472-4ef6-bc66-50e2421e9348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346591B7</paraID>
      <start>0</start>
      <end>2</end>
      <status>unmodified</status>
      <modifiedWord/>
      <trackRevisions>false</trackRevisions>
    </reviewItem>
    <reviewItem>
      <errorID>af11bae5-d3c9-42b0-b3f8-f9ed3459fb37</errorID>
      <errorWord>-</errorWord>
      <group>L1_Format</group>
      <groupName>格式问题</groupName>
      <ability>L2_HalfPunc_CN</ability>
      <abilityName>全半角问题</abilityName>
      <candidateList>
        <item>－</item>
      </candidateList>
      <explain>文本全半角错误。</explain>
      <paraID>4FA119DB</paraID>
      <start>58</start>
      <end>59</end>
      <status>unmodified</status>
      <modifiedWord/>
      <trackRevisions>false</trackRevisions>
    </reviewItem>
    <reviewItem>
      <errorID>acc9bcbb-0cd5-4b76-905f-b2e672354ca0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510B7356</paraID>
      <start>0</start>
      <end>2</end>
      <status>unmodified</status>
      <modifiedWord/>
      <trackRevisions>false</trackRevisions>
    </reviewItem>
    <reviewItem>
      <errorID>ea31d6e9-4825-4729-96c6-f70120872471</errorID>
      <errorWord>》（试行）</errorWord>
      <group>L1_Word</group>
      <groupName>字词问题</groupName>
      <ability>L2_Typo</ability>
      <abilityName>字词错误</abilityName>
      <candidateList>
        <item>（试行）》</item>
      </candidateList>
      <explain/>
      <paraID>59E29047</paraID>
      <start>27</start>
      <end>32</end>
      <status>unmodified</status>
      <modifiedWord/>
      <trackRevisions>false</trackRevisions>
    </reviewItem>
    <reviewItem>
      <errorID>4804064d-745a-4bbe-a0fe-81db31d81563</errorID>
      <errorWord>2025年10月08日</errorWord>
      <group>L1_Knowledge</group>
      <groupName>知识性问题</groupName>
      <ability>L2_Time</ability>
      <abilityName>日期时间</abilityName>
      <candidateList>
        <item>2025年10月8日</item>
      </candidateList>
      <explain>根据日常书写习惯，日期一般会省略前导零。</explain>
      <paraID>18151AE9</paraID>
      <start>33</start>
      <end>44</end>
      <status>unmodified</status>
      <modifiedWord/>
      <trackRevisions>false</trackRevisions>
    </reviewItem>
    <reviewItem>
      <errorID>6e24e231-fef8-4eb2-9007-4620403ca538</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1FD04ED</paraID>
      <start>10</start>
      <end>11</end>
      <status>unmodified</status>
      <modifiedWord/>
      <trackRevisions>false</trackRevisions>
    </reviewItem>
    <reviewItem>
      <errorID>fa7444f0-306e-4057-80ad-c96043bef033</errorID>
      <errorWord>(</errorWord>
      <group>L1_Format</group>
      <groupName>格式问题</groupName>
      <ability>L2_HalfPunc_CN</ability>
      <abilityName>全半角问题</abilityName>
      <candidateList>
        <item>（</item>
      </candidateList>
      <explain>文本全半角错误。</explain>
      <paraID>7A95072D</paraID>
      <start>4</start>
      <end>5</end>
      <status>unmodified</status>
      <modifiedWord/>
      <trackRevisions>false</trackRevisions>
    </reviewItem>
    <reviewItem>
      <errorID>dd6c1a40-1996-4358-8f7f-76c4641623f0</errorID>
      <errorWord>)</errorWord>
      <group>L1_Format</group>
      <groupName>格式问题</groupName>
      <ability>L2_HalfPunc_CN</ability>
      <abilityName>全半角问题</abilityName>
      <candidateList>
        <item>）</item>
      </candidateList>
      <explain>文本全半角错误。</explain>
      <paraID>7A95072D</paraID>
      <start>14</start>
      <end>15</end>
      <status>unmodified</status>
      <modifiedWord/>
      <trackRevisions>false</trackRevisions>
    </reviewItem>
    <reviewItem>
      <errorID>f1f4ca96-9ecc-4083-8b6b-2f7b03a68011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5053FF1C</paraID>
      <start>0</start>
      <end>2</end>
      <status>unmodified</status>
      <modifiedWord/>
      <trackRevisions>false</trackRevisions>
    </reviewItem>
    <reviewItem>
      <errorID>699a051d-8cf2-44bc-bb1a-d8093a94ea40</errorID>
      <errorWord>-</errorWord>
      <group>L1_Format</group>
      <groupName>格式问题</groupName>
      <ability>L2_HalfPunc_CN</ability>
      <abilityName>全半角问题</abilityName>
      <candidateList>
        <item>－</item>
      </candidateList>
      <explain>文本全半角错误。</explain>
      <paraID>71F99AF2</paraID>
      <start>13</start>
      <end>14</end>
      <status>unmodified</status>
      <modifiedWord/>
      <trackRevisions>false</trackRevisions>
    </reviewItem>
    <reviewItem>
      <errorID>5d0aafc0-f298-458c-a8f0-11ca063bb5a7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1925DDB3</paraID>
      <start>0</start>
      <end>2</end>
      <status>unmodified</status>
      <modifiedWord/>
      <trackRevisions>false</trackRevisions>
    </reviewItem>
    <reviewItem>
      <errorID>23003527-43e8-4ec6-bddd-afeab6acc07f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707FB45D</paraID>
      <start>0</start>
      <end>2</end>
      <status>unmodified</status>
      <modifiedWord/>
      <trackRevisions>false</trackRevisions>
    </reviewItem>
    <reviewItem>
      <errorID>21d95ed7-e215-454c-843c-19e3cc31c460</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5F60C210</paraID>
      <start>0</start>
      <end>2</end>
      <status>unmodified</status>
      <modifiedWord/>
      <trackRevisions>false</trackRevisions>
    </reviewItem>
    <reviewItem>
      <errorID>d564dcc3-6cc9-4fe6-bcb7-7212ee742174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2FC46D98</paraID>
      <start>0</start>
      <end>2</end>
      <status>unmodified</status>
      <modifiedWord/>
      <trackRevisions>false</trackRevisions>
    </reviewItem>
    <reviewItem>
      <errorID>3af49cfe-fde2-40d9-8eb5-31380866e69d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3BBC7228</paraID>
      <start>0</start>
      <end>2</end>
      <status>unmodified</status>
      <modifiedWord/>
      <trackRevisions>false</trackRevisions>
    </reviewItem>
    <reviewItem>
      <errorID>e6e1c1be-61ae-449f-84a6-865830d64e5a</errorID>
      <errorWord>(</errorWord>
      <group>L1_Format</group>
      <groupName>格式问题</groupName>
      <ability>L2_HalfPunc_CN</ability>
      <abilityName>全半角问题</abilityName>
      <candidateList>
        <item>（</item>
      </candidateList>
      <explain>文本全半角错误。</explain>
      <paraID>20E4C493</paraID>
      <start>51</start>
      <end>52</end>
      <status>unmodified</status>
      <modifiedWord/>
      <trackRevisions>false</trackRevisions>
    </reviewItem>
    <reviewItem>
      <errorID>a8cbe2a8-3f47-4659-a236-42b601fb31bf</errorID>
      <errorWord>)</errorWord>
      <group>L1_Format</group>
      <groupName>格式问题</groupName>
      <ability>L2_HalfPunc_CN</ability>
      <abilityName>全半角问题</abilityName>
      <candidateList>
        <item>）</item>
      </candidateList>
      <explain>文本全半角错误。</explain>
      <paraID>20E4C493</paraID>
      <start>57</start>
      <end>58</end>
      <status>unmodified</status>
      <modifiedWord/>
      <trackRevisions>false</trackRevisions>
    </reviewItem>
    <reviewItem>
      <errorID>a30057a0-cdca-47df-b098-ab631ec2a9c9</errorID>
      <errorWord>&lt;</errorWord>
      <group>L1_Format</group>
      <groupName>格式问题</groupName>
      <ability>L2_HalfPunc_CN</ability>
      <abilityName>全半角问题</abilityName>
      <candidateList>
        <item>〈</item>
      </candidateList>
      <explain>文本全半角错误。</explain>
      <paraID>20E4C493</paraID>
      <start>134</start>
      <end>135</end>
      <status>unmodified</status>
      <modifiedWord/>
      <trackRevisions>false</trackRevisions>
    </reviewItem>
    <reviewItem>
      <errorID>07b552ae-6803-4146-af86-d189c516b2b3</errorID>
      <errorWord>&gt;的通知》</errorWord>
      <group>L1_Punc</group>
      <groupName>标点问题</groupName>
      <ability>L2_Punc_CN</ability>
      <abilityName>标点符号问题</abilityName>
      <candidateList>
        <item>〉的通知》</item>
      </candidateList>
      <explain/>
      <paraID>20E4C493</paraID>
      <start>149</start>
      <end>154</end>
      <status>unmodified</status>
      <modifiedWord/>
      <trackRevisions>false</trackRevisions>
    </reviewItem>
    <reviewItem>
      <errorID>f007eb61-28e0-4c04-9e18-bb30381aa351</errorID>
      <errorWord>（</errorWord>
      <group>L1_Format</group>
      <groupName>格式问题</groupName>
      <ability>L2_HalfPunc_CN</ability>
      <abilityName>全半角问题</abilityName>
      <candidateList>
        <item>(</item>
      </candidateList>
      <explain>文本全半角错误。</explain>
      <paraID>75E3D0C7</paraID>
      <start>0</start>
      <end>1</end>
      <status>unmodified</status>
      <modifiedWord/>
      <trackRevisions>false</trackRevisions>
    </reviewItem>
    <reviewItem>
      <errorID>e3f02030-ce68-4297-80ba-a22883251dae</errorID>
      <errorWord>）</errorWord>
      <group>L1_Format</group>
      <groupName>格式问题</groupName>
      <ability>L2_HalfPunc_CN</ability>
      <abilityName>全半角问题</abilityName>
      <candidateList>
        <item>)</item>
      </candidateList>
      <explain>文本全半角错误。</explain>
      <paraID>75E3D0C7</paraID>
      <start>6</start>
      <end>7</end>
      <status>unmodified</status>
      <modifiedWord/>
      <trackRevisions>false</trackRevisions>
    </reviewItem>
    <reviewItem>
      <errorID>f146c35f-02d9-4662-9600-c1fbad1eacdf</errorID>
      <errorWord>（</errorWord>
      <group>L1_Format</group>
      <groupName>格式问题</groupName>
      <ability>L2_HalfPunc_CN</ability>
      <abilityName>全半角问题</abilityName>
      <candidateList>
        <item>(</item>
      </candidateList>
      <explain>文本全半角错误。</explain>
      <paraID>4459DE8B</paraID>
      <start>0</start>
      <end>1</end>
      <status>unmodified</status>
      <modifiedWord/>
      <trackRevisions>false</trackRevisions>
    </reviewItem>
    <reviewItem>
      <errorID>caa3bb68-3ca8-4e38-8317-e221830d5a68</errorID>
      <errorWord>）</errorWord>
      <group>L1_Format</group>
      <groupName>格式问题</groupName>
      <ability>L2_HalfPunc_CN</ability>
      <abilityName>全半角问题</abilityName>
      <candidateList>
        <item>)</item>
      </candidateList>
      <explain>文本全半角错误。</explain>
      <paraID>4459DE8B</paraID>
      <start>6</start>
      <end>7</end>
      <status>unmodified</status>
      <modifiedWord/>
      <trackRevisions>false</trackRevisions>
    </reviewItem>
    <reviewItem>
      <errorID>9434807d-a182-41dd-96e1-977108ed9a2b</errorID>
      <errorWord>&lt;</errorWord>
      <group>L1_Format</group>
      <groupName>格式问题</groupName>
      <ability>L2_HalfPunc_CN</ability>
      <abilityName>全半角问题</abilityName>
      <candidateList>
        <item>〈</item>
      </candidateList>
      <explain>文本全半角错误。</explain>
      <paraID>68458518</paraID>
      <start>5</start>
      <end>6</end>
      <status>unmodified</status>
      <modifiedWord/>
      <trackRevisions>false</trackRevisions>
    </reviewItem>
    <reviewItem>
      <errorID>07d623c3-6c20-4cac-a47b-693afdd58395</errorID>
      <errorWord>&gt;的通知》</errorWord>
      <group>L1_Punc</group>
      <groupName>标点问题</groupName>
      <ability>L2_Punc_CN</ability>
      <abilityName>标点符号问题</abilityName>
      <candidateList>
        <item>〉的通知》</item>
      </candidateList>
      <explain/>
      <paraID>68458518</paraID>
      <start>20</start>
      <end>25</end>
      <status>unmodified</status>
      <modifiedWord/>
      <trackRevisions>false</trackRevisions>
    </reviewItem>
    <reviewItem>
      <errorID>e09b5daf-a28f-489b-86d7-81d987e17861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364B000A</paraID>
      <start>0</start>
      <end>2</end>
      <status>unmodified</status>
      <modifiedWord/>
      <trackRevisions>false</trackRevisions>
    </reviewItem>
    <reviewItem>
      <errorID>1ba4e658-1d10-408f-8322-f4c200f6bb46</errorID>
      <errorWord>达</errorWord>
      <group>L1_Word</group>
      <groupName>字词问题</groupName>
      <ability>L2_Typo</ability>
      <abilityName>字词错误</abilityName>
      <candidateList>
        <item>达到</item>
      </candidateList>
      <explain>〈动〉到（多指抽象事物或程度）：达得到｜达不到｜目的没有～｜～国际水平。</explain>
      <paraID>42C9739E</paraID>
      <start>53</start>
      <end>54</end>
      <status>unmodified</status>
      <modifiedWord/>
      <trackRevisions>false</trackRevisions>
    </reviewItem>
    <reviewItem>
      <errorID>9eb10ff8-0b72-4e48-be9e-e22d7acd2745</errorID>
      <errorWord>～</errorWord>
      <group>L1_Format</group>
      <groupName>格式问题</groupName>
      <ability>L2_HalfPunc_CN</ability>
      <abilityName>全半角问题</abilityName>
      <candidateList>
        <item>~</item>
      </candidateList>
      <explain>文本全半角错误。</explain>
      <paraID>47C659A7</paraID>
      <start>1</start>
      <end>2</end>
      <status>unmodified</status>
      <modifiedWord/>
      <trackRevisions>false</trackRevisions>
    </reviewItem>
    <reviewItem>
      <errorID>76d69c60-ca9a-4eee-b132-fb6384768c42</errorID>
      <errorWord>（</errorWord>
      <group>L1_Format</group>
      <groupName>格式问题</groupName>
      <ability>L2_HalfPunc_CN</ability>
      <abilityName>全半角问题</abilityName>
      <candidateList>
        <item>(</item>
      </candidateList>
      <explain>文本全半角错误。</explain>
      <paraID> B1FD4C7</paraID>
      <start>1</start>
      <end>2</end>
      <status>unmodified</status>
      <modifiedWord/>
      <trackRevisions>false</trackRevisions>
    </reviewItem>
    <reviewItem>
      <errorID>cfe761f7-6620-44b0-a993-d46a3ead483d</errorID>
      <errorWord>）</errorWord>
      <group>L1_Format</group>
      <groupName>格式问题</groupName>
      <ability>L2_HalfPunc_CN</ability>
      <abilityName>全半角问题</abilityName>
      <candidateList>
        <item>)</item>
      </candidateList>
      <explain>文本全半角错误。</explain>
      <paraID> B1FD4C7</paraID>
      <start>3</start>
      <end>4</end>
      <status>unmodified</status>
      <modifiedWord/>
      <trackRevisions>false</trackRevisions>
    </reviewItem>
    <reviewItem>
      <errorID>fbd45d3a-f0c2-4804-b20c-b64616da1158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7BE2ED57</paraID>
      <start>0</start>
      <end>2</end>
      <status>unmodified</status>
      <modifiedWord/>
      <trackRevisions>false</trackRevisions>
    </reviewItem>
    <reviewItem>
      <errorID>637f5b95-8213-434f-80ec-a4343a355386</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62B8924B</paraID>
      <start>2</start>
      <end>3</end>
      <status>unmodified</status>
      <modifiedWord/>
      <trackRevisions>false</trackRevisions>
    </reviewItem>
    <reviewItem>
      <errorID>c8e9b3e6-5f0a-4d01-be4a-e5035ce2850a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22C17D69</paraID>
      <start>0</start>
      <end>2</end>
      <status>unmodified</status>
      <modifiedWord/>
      <trackRevisions>false</trackRevisions>
    </reviewItem>
    <reviewItem>
      <errorID>b4fa5d14-3722-464d-80a1-1bc4c5b6cc9e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3033F212</paraID>
      <start>0</start>
      <end>2</end>
      <status>unmodified</status>
      <modifiedWord/>
      <trackRevisions>false</trackRevisions>
    </reviewItem>
    <reviewItem>
      <errorID>b9243e95-9117-4f37-9546-b2548c09857b</errorID>
      <errorWord>达</errorWord>
      <group>L1_Word</group>
      <groupName>字词问题</groupName>
      <ability>L2_Typo</ability>
      <abilityName>字词错误</abilityName>
      <candidateList>
        <item>达到</item>
      </candidateList>
      <explain>〈动〉到（多指抽象事物或程度）：达得到｜达不到｜目的没有～｜～国际水平。</explain>
      <paraID> F0629D5</paraID>
      <start>18</start>
      <end>19</end>
      <status>unmodified</status>
      <modifiedWord/>
      <trackRevisions>false</trackRevisions>
    </reviewItem>
    <reviewItem>
      <errorID>9f5a327c-6b7b-4bec-bde2-adc69d8f9ffc</errorID>
      <errorWord>：</errorWord>
      <group>L1_Format</group>
      <groupName>格式问题</groupName>
      <ability>L2_HalfPunc_CN</ability>
      <abilityName>全半角问题</abilityName>
      <candidateList>
        <item>:</item>
      </candidateList>
      <explain>文本全半角错误。</explain>
      <paraID> 355B7FF</paraID>
      <start>3</start>
      <end>4</end>
      <status>unmodified</status>
      <modifiedWord/>
      <trackRevisions>false</trackRevisions>
    </reviewItem>
    <reviewItem>
      <errorID>0af226b0-08a3-462e-b485-0be7129e32e2</errorID>
      <errorWord>；</errorWord>
      <group>L1_Format</group>
      <groupName>格式问题</groupName>
      <ability>L2_HalfPunc_CN</ability>
      <abilityName>全半角问题</abilityName>
      <candidateList>
        <item>;</item>
      </candidateList>
      <explain>文本全半角错误。</explain>
      <paraID> 355B7FF</paraID>
      <start>35</start>
      <end>36</end>
      <status>unmodified</status>
      <modifiedWord/>
      <trackRevisions>false</trackRevisions>
    </reviewItem>
    <reviewItem>
      <errorID>53a93f9a-84c3-4119-90c9-8b6c0d86b574</errorID>
      <errorWord>：</errorWord>
      <group>L1_Format</group>
      <groupName>格式问题</groupName>
      <ability>L2_HalfPunc_CN</ability>
      <abilityName>全半角问题</abilityName>
      <candidateList>
        <item>:</item>
      </candidateList>
      <explain>文本全半角错误。</explain>
      <paraID> A807094</paraID>
      <start>5</start>
      <end>6</end>
      <status>unmodified</status>
      <modifiedWord/>
      <trackRevisions>false</trackRevisions>
    </reviewItem>
    <reviewItem>
      <errorID>f5ad52bf-4fd6-4357-8bd3-417f003da382</errorID>
      <errorWord>；</errorWord>
      <group>L1_Format</group>
      <groupName>格式问题</groupName>
      <ability>L2_HalfPunc_CN</ability>
      <abilityName>全半角问题</abilityName>
      <candidateList>
        <item>;</item>
      </candidateList>
      <explain>文本全半角错误。</explain>
      <paraID> A807094</paraID>
      <start>36</start>
      <end>37</end>
      <status>unmodified</status>
      <modifiedWord/>
      <trackRevisions>false</trackRevisions>
    </reviewItem>
    <reviewItem>
      <errorID>8eb49809-2bde-4883-9eda-7955ad9f8f61</errorID>
      <errorWord>：</errorWord>
      <group>L1_Format</group>
      <groupName>格式问题</groupName>
      <ability>L2_HalfPunc_CN</ability>
      <abilityName>全半角问题</abilityName>
      <candidateList>
        <item>:</item>
      </candidateList>
      <explain>文本全半角错误。</explain>
      <paraID>14C6ACC6</paraID>
      <start>2</start>
      <end>3</end>
      <status>unmodified</status>
      <modifiedWord/>
      <trackRevisions>false</trackRevisions>
    </reviewItem>
    <reviewItem>
      <errorID>9eab2c4b-d112-4919-9b0e-12e95600325a</errorID>
      <errorWord>：</errorWord>
      <group>L1_Format</group>
      <groupName>格式问题</groupName>
      <ability>L2_HalfPunc_CN</ability>
      <abilityName>全半角问题</abilityName>
      <candidateList>
        <item>:</item>
      </candidateList>
      <explain>文本全半角错误。</explain>
      <paraID> 61669C7</paraID>
      <start>3</start>
      <end>4</end>
      <status>unmodified</status>
      <modifiedWord/>
      <trackRevisions>false</trackRevisions>
    </reviewItem>
    <reviewItem>
      <errorID>9268417e-2a8c-4c09-8280-f932867f07b8</errorID>
      <errorWord>：</errorWord>
      <group>L1_Format</group>
      <groupName>格式问题</groupName>
      <ability>L2_HalfPunc_CN</ability>
      <abilityName>全半角问题</abilityName>
      <candidateList>
        <item>:</item>
      </candidateList>
      <explain>文本全半角错误。</explain>
      <paraID>24E4A4B4</paraID>
      <start>5</start>
      <end>6</end>
      <status>unmodified</status>
      <modifiedWord/>
      <trackRevisions>false</trackRevisions>
    </reviewItem>
    <reviewItem>
      <errorID>81d0cab5-39a1-4a03-9179-c27a0d809be5</errorID>
      <errorWord>：</errorWord>
      <group>L1_Format</group>
      <groupName>格式问题</groupName>
      <ability>L2_HalfPunc_CN</ability>
      <abilityName>全半角问题</abilityName>
      <candidateList>
        <item>:</item>
      </candidateList>
      <explain>文本全半角错误。</explain>
      <paraID>60CE327D</paraID>
      <start>2</start>
      <end>3</end>
      <status>unmodified</status>
      <modifiedWord/>
      <trackRevisions>false</trackRevisions>
    </reviewItem>
    <reviewItem>
      <errorID>21b892f5-e831-4e47-a2c6-e9d648ebcdf1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3C1BFD92</paraID>
      <start>0</start>
      <end>2</end>
      <status>unmodified</status>
      <modifiedWord/>
      <trackRevisions>false</trackRevisions>
    </reviewItem>
    <reviewItem>
      <errorID>e490f35b-edae-4011-b6b1-be4798d7c775</errorID>
      <errorWord>程</errorWord>
      <group>L1_Word</group>
      <groupName>字词问题</groupName>
      <ability>L2_Typo</ability>
      <abilityName>字词错误</abilityName>
      <candidateList>
        <item>程中</item>
      </candidateList>
      <explain/>
      <paraID>555D269A</paraID>
      <start>6</start>
      <end>7</end>
      <status>unmodified</status>
      <modifiedWord/>
      <trackRevisions>false</trackRevisions>
    </reviewItem>
    <reviewItem>
      <errorID>3e433da6-7047-41f1-a428-1cdf5e8af974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6EBCD086</paraID>
      <start>0</start>
      <end>2</end>
      <status>unmodified</status>
      <modifiedWord/>
      <trackRevisions>false</trackRevisions>
    </reviewItem>
    <reviewItem>
      <errorID>7342b11b-a987-438c-a556-5fdf71aa381a</errorID>
      <errorWord>施工场地设</errorWord>
      <group>L1_Word</group>
      <groupName>字词问题</groupName>
      <ability>L2_Typo</ability>
      <abilityName>字词错误</abilityName>
      <candidateList>
        <item>施工场地设置</item>
      </candidateList>
      <explain/>
      <paraID>6290009A</paraID>
      <start>15</start>
      <end>20</end>
      <status>unmodified</status>
      <modifiedWord/>
      <trackRevisions>false</trackRevisions>
    </reviewItem>
    <reviewItem>
      <errorID>3b99ac1d-0e9a-4781-a19e-89a6c524cd4a</errorID>
      <errorWord>，</errorWord>
      <group>L1_Word</group>
      <groupName>字词问题</groupName>
      <ability>L2_Typo</ability>
      <abilityName>字词错误</abilityName>
      <candidateList>
        <item>，在</item>
      </candidateList>
      <explain/>
      <paraID>6290009A</paraID>
      <start>27</start>
      <end>28</end>
      <status>unmodified</status>
      <modifiedWord/>
      <trackRevisions>false</trackRevisions>
    </reviewItem>
    <reviewItem>
      <errorID>79495475-7f52-4424-a563-386aa0ddae0e</errorID>
      <errorWord>，</errorWord>
      <group>L1_Word</group>
      <groupName>字词问题</groupName>
      <ability>L2_Typo</ability>
      <abilityName>字词错误</abilityName>
      <candidateList>
        <item>，在</item>
      </candidateList>
      <explain/>
      <paraID>207A7EFE</paraID>
      <start>51</start>
      <end>52</end>
      <status>unmodified</status>
      <modifiedWord/>
      <trackRevisions>false</trackRevisions>
    </reviewItem>
    <reviewItem>
      <errorID>15a2f33c-ebee-4300-bb83-31c3a75ad2ab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641418DD</paraID>
      <start>0</start>
      <end>2</end>
      <status>unmodified</status>
      <modifiedWord/>
      <trackRevisions>false</trackRevisions>
    </reviewItem>
    <reviewItem>
      <errorID>8a7f98ef-d931-4d4b-8957-e88790d16b0e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6BE9885C</paraID>
      <start>0</start>
      <end>2</end>
      <status>unmodified</status>
      <modifiedWord/>
      <trackRevisions>false</trackRevisions>
    </reviewItem>
    <reviewItem>
      <errorID>b88395a0-5d92-4922-91db-228efa2b1260</errorID>
      <errorWord>场</errorWord>
      <group>L1_Word</group>
      <groupName>字词问题</groupName>
      <ability>L2_Typo</ability>
      <abilityName>字词错误</abilityName>
      <candidateList>
        <item>厂</item>
      </candidateList>
      <explain>存在发音相同字词的误用。</explain>
      <paraID>  FDAD78</paraID>
      <start>126</start>
      <end>127</end>
      <status>unmodified</status>
      <modifiedWord/>
      <trackRevisions>false</trackRevisions>
    </reviewItem>
    <reviewItem>
      <errorID>e06f4f90-c10f-4974-837f-857144a0abf1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27274472</paraID>
      <start>0</start>
      <end>2</end>
      <status>unmodified</status>
      <modifiedWord/>
      <trackRevisions>false</trackRevisions>
    </reviewItem>
    <reviewItem>
      <errorID>dbe141fb-0781-4bf9-b2d4-ab70c77e2a99</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7B486DDD</paraID>
      <start>0</start>
      <end>2</end>
      <status>unmodified</status>
      <modifiedWord/>
      <trackRevisions>false</trackRevisions>
    </reviewItem>
    <reviewItem>
      <errorID>eca4cdf5-10be-42f2-8cc3-dab80cc8f276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7574A8D4</paraID>
      <start>0</start>
      <end>2</end>
      <status>unmodified</status>
      <modifiedWord/>
      <trackRevisions>false</trackRevisions>
    </reviewItem>
    <reviewItem>
      <errorID>705ba5eb-7941-435a-80bb-28151455c502</errorID>
      <errorWord>&lt;</errorWord>
      <group>L1_Format</group>
      <groupName>格式问题</groupName>
      <ability>L2_HalfPunc_CN</ability>
      <abilityName>全半角问题</abilityName>
      <candidateList>
        <item>〈</item>
      </candidateList>
      <explain>文本全半角错误。</explain>
      <paraID>66D21148</paraID>
      <start>99</start>
      <end>100</end>
      <status>unmodified</status>
      <modifiedWord/>
      <trackRevisions>false</trackRevisions>
    </reviewItem>
    <reviewItem>
      <errorID>a94a93b0-86f1-4ea3-a9e5-59db0574657e</errorID>
      <errorWord>&gt;的通知》</errorWord>
      <group>L1_Punc</group>
      <groupName>标点问题</groupName>
      <ability>L2_Punc_CN</ability>
      <abilityName>标点符号问题</abilityName>
      <candidateList>
        <item>〉的通知》</item>
      </candidateList>
      <explain/>
      <paraID>66D21148</paraID>
      <start>114</start>
      <end>119</end>
      <status>unmodified</status>
      <modifiedWord/>
      <trackRevisions>false</trackRevisions>
    </reviewItem>
    <reviewItem>
      <errorID>104e2caf-f2d1-4de4-9ee4-989b672f00d0</errorID>
      <errorWord>(</errorWord>
      <group>L1_Format</group>
      <groupName>格式问题</groupName>
      <ability>L2_HalfPunc_CN</ability>
      <abilityName>全半角问题</abilityName>
      <candidateList>
        <item>（</item>
      </candidateList>
      <explain>文本全半角错误。</explain>
      <paraID>43F14118</paraID>
      <start>4</start>
      <end>5</end>
      <status>unmodified</status>
      <modifiedWord/>
      <trackRevisions>false</trackRevisions>
    </reviewItem>
    <reviewItem>
      <errorID>e83771f9-e53a-404f-8a25-514df9e96aa9</errorID>
      <errorWord>)</errorWord>
      <group>L1_Format</group>
      <groupName>格式问题</groupName>
      <ability>L2_HalfPunc_CN</ability>
      <abilityName>全半角问题</abilityName>
      <candidateList>
        <item>）</item>
      </candidateList>
      <explain>文本全半角错误。</explain>
      <paraID>43F14118</paraID>
      <start>10</start>
      <end>11</end>
      <status>unmodified</status>
      <modifiedWord/>
      <trackRevisions>false</trackRevisions>
    </reviewItem>
    <reviewItem>
      <errorID>b8d53f4e-3521-404f-8ab3-d3749fb727db</errorID>
      <errorWord>(</errorWord>
      <group>L1_Format</group>
      <groupName>格式问题</groupName>
      <ability>L2_HalfPunc_CN</ability>
      <abilityName>全半角问题</abilityName>
      <candidateList>
        <item>（</item>
      </candidateList>
      <explain>文本全半角错误。</explain>
      <paraID>6F12249B</paraID>
      <start>74</start>
      <end>75</end>
      <status>unmodified</status>
      <modifiedWord/>
      <trackRevisions>false</trackRevisions>
    </reviewItem>
    <reviewItem>
      <errorID>a629e1ca-611c-44f5-9987-add0e4b43201</errorID>
      <errorWord>)</errorWord>
      <group>L1_Format</group>
      <groupName>格式问题</groupName>
      <ability>L2_HalfPunc_CN</ability>
      <abilityName>全半角问题</abilityName>
      <candidateList>
        <item>）</item>
      </candidateList>
      <explain>文本全半角错误。</explain>
      <paraID>6F12249B</paraID>
      <start>85</start>
      <end>86</end>
      <status>unmodified</status>
      <modifiedWord/>
      <trackRevisions>false</trackRevisions>
    </reviewItem>
    <reviewItem>
      <errorID>6cc6fbca-0465-4b01-9b11-b01503237bd1</errorID>
      <errorWord>(</errorWord>
      <group>L1_Format</group>
      <groupName>格式问题</groupName>
      <ability>L2_HalfPunc_CN</ability>
      <abilityName>全半角问题</abilityName>
      <candidateList>
        <item>（</item>
      </candidateList>
      <explain>文本全半角错误。</explain>
      <paraID>58E80A8C</paraID>
      <start>6</start>
      <end>7</end>
      <status>unmodified</status>
      <modifiedWord/>
      <trackRevisions>false</trackRevisions>
    </reviewItem>
    <reviewItem>
      <errorID>0d75e35e-222c-4e6a-895a-04827ddcd934</errorID>
      <errorWord>)</errorWord>
      <group>L1_Format</group>
      <groupName>格式问题</groupName>
      <ability>L2_HalfPunc_CN</ability>
      <abilityName>全半角问题</abilityName>
      <candidateList>
        <item>）</item>
      </candidateList>
      <explain>文本全半角错误。</explain>
      <paraID>58E80A8C</paraID>
      <start>12</start>
      <end>13</end>
      <status>unmodified</status>
      <modifiedWord/>
      <trackRevisions>false</trackRevisions>
    </reviewItem>
    <reviewItem>
      <errorID>cfcb4691-cb1d-46a6-ac85-b05f814a996f</errorID>
      <errorWord>高</errorWord>
      <group>L1_Word</group>
      <groupName>字词问题</groupName>
      <ability>L2_Typo</ability>
      <abilityName>字词错误</abilityName>
      <candidateList>
        <item>高的</item>
      </candidateList>
      <explain/>
      <paraID> 8BF3073</paraID>
      <start>121</start>
      <end>122</end>
      <status>unmodified</status>
      <modifiedWord/>
      <trackRevisions>false</trackRevisions>
    </reviewItem>
    <reviewItem>
      <errorID>f164502f-338a-4911-99bd-f8b197397dad</errorID>
      <errorWord>专</errorWord>
      <group>L1_Word</group>
      <groupName>字词问题</groupName>
      <ability>L2_Typo</ability>
      <abilityName>字词错误</abilityName>
      <candidateList>
        <item>专项</item>
      </candidateList>
      <explain/>
      <paraID>4EB11252</paraID>
      <start>96</start>
      <end>98</end>
      <status>modified</status>
      <modifiedWord>专项</modifiedWord>
      <trackRevisions>false</trackRevisions>
    </reviewItem>
    <reviewItem>
      <errorID>55c4e7ce-6422-4ecb-8a8e-658a5e7debbb</errorID>
      <errorWord>，在</errorWord>
      <group>L1_Word</group>
      <groupName>字词问题</groupName>
      <ability>L2_Typo</ability>
      <abilityName>字词错误</abilityName>
      <candidateList>
        <item>，</item>
      </candidateList>
      <explain/>
      <paraID>6FD3CD23</paraID>
      <start>13</start>
      <end>15</end>
      <status>unmodified</status>
      <modifiedWord/>
      <trackRevisions>false</trackRevisions>
    </reviewItem>
    <reviewItem>
      <errorID>cf403937-51c8-4fb5-a330-8942e45cc210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77EF43E4</paraID>
      <start>0</start>
      <end>2</end>
      <status>unmodified</status>
      <modifiedWord/>
      <trackRevisions>false</trackRevisions>
    </reviewItem>
    <reviewItem>
      <errorID>5d89e491-47d3-4c25-9b87-1ac64fc4e323</errorID>
      <errorWord>：</errorWord>
      <group>L1_Format</group>
      <groupName>格式问题</groupName>
      <ability>L2_HalfPunc_CN</ability>
      <abilityName>全半角问题</abilityName>
      <candidateList>
        <item>:</item>
      </candidateList>
      <explain>文本全半角错误。</explain>
      <paraID>5B3A9223</paraID>
      <start>120</start>
      <end>121</end>
      <status>unmodified</status>
      <modifiedWord/>
      <trackRevisions>false</trackRevisions>
    </reviewItem>
    <reviewItem>
      <errorID>72908f28-6ebf-4a1b-9548-107b5a0a9a8c</errorID>
      <errorWord>处理达《城镇污水</errorWord>
      <group>L1_Word</group>
      <groupName>字词问题</groupName>
      <ability>L2_Typo</ability>
      <abilityName>字词错误</abilityName>
      <candidateList>
        <item>处理达到《城镇污水</item>
      </candidateList>
      <explain/>
      <paraID>360D9CC3</paraID>
      <start>117</start>
      <end>125</end>
      <status>unmodified</status>
      <modifiedWord/>
      <trackRevisions>false</trackRevisions>
    </reviewItem>
    <reviewItem>
      <errorID>c380fa82-62af-4475-a089-2b48b07c28c7</errorID>
      <errorWord>（</errorWord>
      <group>L1_Punc</group>
      <groupName>标点问题</groupName>
      <ability>L2_Punc_CN</ability>
      <abilityName>标点符号问题</abilityName>
      <candidateList/>
      <explain>同一形式括号套用。</explain>
      <paraID>6F3CFB06</paraID>
      <start>124</start>
      <end>125</end>
      <status>unmodified</status>
      <modifiedWord/>
      <trackRevisions>false</trackRevisions>
    </reviewItem>
    <reviewItem>
      <errorID>0798af5d-05c9-4918-bc16-51770dd392a1</errorID>
      <errorWord>）</errorWord>
      <group>L1_Punc</group>
      <groupName>标点问题</groupName>
      <ability>L2_Punc_CN</ability>
      <abilityName>标点符号问题</abilityName>
      <candidateList/>
      <explain>同一形式括号套用。</explain>
      <paraID>6F3CFB06</paraID>
      <start>129</start>
      <end>130</end>
      <status>unmodified</status>
      <modifiedWord/>
      <trackRevisions>false</trackRevisions>
    </reviewItem>
    <reviewItem>
      <errorID>b6ceecd0-3244-4fe8-92e8-9e894fd193b0</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3D17F6CB</paraID>
      <start>215</start>
      <end>216</end>
      <status>unmodified</status>
      <modifiedWord/>
      <trackRevisions>false</trackRevisions>
    </reviewItem>
    <reviewItem>
      <errorID>85793df5-0620-4c2f-84f9-2f2a8a90c665</errorID>
      <errorWord>(</errorWord>
      <group>L1_Format</group>
      <groupName>格式问题</groupName>
      <ability>L2_HalfPunc_CN</ability>
      <abilityName>全半角问题</abilityName>
      <candidateList>
        <item>（</item>
      </candidateList>
      <explain>文本全半角错误。</explain>
      <paraID>3D17F6CB</paraID>
      <start>309</start>
      <end>310</end>
      <status>unmodified</status>
      <modifiedWord/>
      <trackRevisions>false</trackRevisions>
    </reviewItem>
    <reviewItem>
      <errorID>b0f3100f-69ab-4803-9e12-009acaf7d704</errorID>
      <errorWord>)</errorWord>
      <group>L1_Format</group>
      <groupName>格式问题</groupName>
      <ability>L2_HalfPunc_CN</ability>
      <abilityName>全半角问题</abilityName>
      <candidateList>
        <item>）</item>
      </candidateList>
      <explain>文本全半角错误。</explain>
      <paraID>3D17F6CB</paraID>
      <start>322</start>
      <end>323</end>
      <status>unmodified</status>
      <modifiedWord/>
      <trackRevisions>false</trackRevisions>
    </reviewItem>
    <reviewItem>
      <errorID>84e0c955-680b-4330-a474-9e7c047f79de</errorID>
      <errorWord>，</errorWord>
      <group>L1_Format</group>
      <groupName>格式问题</groupName>
      <ability>L2_HalfPunc_CN</ability>
      <abilityName>全半角问题</abilityName>
      <candidateList>
        <item>,</item>
      </candidateList>
      <explain>文本全半角错误。</explain>
      <paraID>6E378B53</paraID>
      <start>10</start>
      <end>11</end>
      <status>unmodified</status>
      <modifiedWord/>
      <trackRevisions>false</trackRevisions>
    </reviewItem>
    <reviewItem>
      <errorID>ef997af6-d9e8-4d6b-8add-30864ad48cb3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3AA1B38F</paraID>
      <start>0</start>
      <end>2</end>
      <status>unmodified</status>
      <modifiedWord/>
      <trackRevisions>false</trackRevisions>
    </reviewItem>
    <reviewItem>
      <errorID>ddf56578-2595-4c8d-9a31-2ffe45c1b928</errorID>
      <errorWord>)</errorWord>
      <group>L1_Format</group>
      <groupName>格式问题</groupName>
      <ability>L2_HalfPunc_CN</ability>
      <abilityName>全半角问题</abilityName>
      <candidateList>
        <item>）</item>
      </candidateList>
      <explain>文本全半角错误。</explain>
      <paraID>36294F77</paraID>
      <start>14</start>
      <end>15</end>
      <status>unmodified</status>
      <modifiedWord/>
      <trackRevisions>false</trackRevisions>
    </reviewItem>
    <reviewItem>
      <errorID>65e84095-8f9a-4cba-9676-c9fbbe299a09</errorID>
      <errorWord>（</errorWord>
      <group>L1_Punc</group>
      <groupName>标点问题</groupName>
      <ability>L2_Punc_CN</ability>
      <abilityName>标点符号问题</abilityName>
      <candidateList/>
      <explain>同一形式括号套用。</explain>
      <paraID>44BB4598</paraID>
      <start>3</start>
      <end>4</end>
      <status>unmodified</status>
      <modifiedWord/>
      <trackRevisions>false</trackRevisions>
    </reviewItem>
    <reviewItem>
      <errorID>5c0ed806-5074-48c6-9ec2-cc9bca37150c</errorID>
      <errorWord>(</errorWord>
      <group>L1_Punc</group>
      <groupName>标点问题</groupName>
      <ability>L2_Punc_CN</ability>
      <abilityName>标点符号问题</abilityName>
      <candidateList/>
      <explain>同一形式括号套用。</explain>
      <paraID>44BB4598</paraID>
      <start>6</start>
      <end>7</end>
      <status>unmodified</status>
      <modifiedWord/>
      <trackRevisions>false</trackRevisions>
    </reviewItem>
    <reviewItem>
      <errorID>112ab9c5-9662-4f1c-83cf-30e684bcc2c3</errorID>
      <errorWord>)</errorWord>
      <group>L1_Punc</group>
      <groupName>标点问题</groupName>
      <ability>L2_Punc_CN</ability>
      <abilityName>标点符号问题</abilityName>
      <candidateList/>
      <explain>同一形式括号套用。</explain>
      <paraID>44BB4598</paraID>
      <start>8</start>
      <end>9</end>
      <status>unmodified</status>
      <modifiedWord/>
      <trackRevisions>false</trackRevisions>
    </reviewItem>
    <reviewItem>
      <errorID>d8600c97-25a6-49d2-ad6a-09005559b47e</errorID>
      <errorWord>）</errorWord>
      <group>L1_Punc</group>
      <groupName>标点问题</groupName>
      <ability>L2_Punc_CN</ability>
      <abilityName>标点符号问题</abilityName>
      <candidateList/>
      <explain>同一形式括号套用。</explain>
      <paraID>44BB4598</paraID>
      <start>9</start>
      <end>10</end>
      <status>unmodified</status>
      <modifiedWord/>
      <trackRevisions>false</trackRevisions>
    </reviewItem>
    <reviewItem>
      <errorID>e65cfda1-6b53-4c0c-bc0d-af2c91bb28f7</errorID>
      <errorWord>（</errorWord>
      <group>L1_Punc</group>
      <groupName>标点问题</groupName>
      <ability>L2_Punc_CN</ability>
      <abilityName>标点符号问题</abilityName>
      <candidateList/>
      <explain>同一形式括号套用。</explain>
      <paraID>5F69B73A</paraID>
      <start>4</start>
      <end>5</end>
      <status>unmodified</status>
      <modifiedWord/>
      <trackRevisions>false</trackRevisions>
    </reviewItem>
    <reviewItem>
      <errorID>6876639a-e65c-47e2-9528-2fb11571e261</errorID>
      <errorWord>(</errorWord>
      <group>L1_Punc</group>
      <groupName>标点问题</groupName>
      <ability>L2_Punc_CN</ability>
      <abilityName>标点符号问题</abilityName>
      <candidateList/>
      <explain>同一形式括号套用。</explain>
      <paraID>5F69B73A</paraID>
      <start>7</start>
      <end>8</end>
      <status>unmodified</status>
      <modifiedWord/>
      <trackRevisions>false</trackRevisions>
    </reviewItem>
    <reviewItem>
      <errorID>fe726be7-6e60-43ae-acd1-eae703427598</errorID>
      <errorWord>)</errorWord>
      <group>L1_Punc</group>
      <groupName>标点问题</groupName>
      <ability>L2_Punc_CN</ability>
      <abilityName>标点符号问题</abilityName>
      <candidateList/>
      <explain>同一形式括号套用。</explain>
      <paraID>5F69B73A</paraID>
      <start>9</start>
      <end>10</end>
      <status>unmodified</status>
      <modifiedWord/>
      <trackRevisions>false</trackRevisions>
    </reviewItem>
    <reviewItem>
      <errorID>4b918dc1-2659-4707-97dd-cb4621cea9ca</errorID>
      <errorWord>）</errorWord>
      <group>L1_Punc</group>
      <groupName>标点问题</groupName>
      <ability>L2_Punc_CN</ability>
      <abilityName>标点符号问题</abilityName>
      <candidateList/>
      <explain>同一形式括号套用。</explain>
      <paraID>5F69B73A</paraID>
      <start>10</start>
      <end>11</end>
      <status>unmodified</status>
      <modifiedWord/>
      <trackRevisions>false</trackRevisions>
    </reviewItem>
    <reviewItem>
      <errorID>999246a9-3e79-4c1b-b4f6-ce958d5edd7e</errorID>
      <errorWord>（</errorWord>
      <group>L1_Punc</group>
      <groupName>标点问题</groupName>
      <ability>L2_Punc_CN</ability>
      <abilityName>标点符号问题</abilityName>
      <candidateList/>
      <explain>同一形式括号套用。</explain>
      <paraID>5810D58C</paraID>
      <start>84</start>
      <end>85</end>
      <status>unmodified</status>
      <modifiedWord/>
      <trackRevisions>false</trackRevisions>
    </reviewItem>
    <reviewItem>
      <errorID>159521dc-9c40-4f95-97c8-ecdb8ae74ee2</errorID>
      <errorWord>(</errorWord>
      <group>L1_Punc</group>
      <groupName>标点问题</groupName>
      <ability>L2_Punc_CN</ability>
      <abilityName>标点符号问题</abilityName>
      <candidateList/>
      <explain>同一形式括号套用。</explain>
      <paraID>5810D58C</paraID>
      <start>93</start>
      <end>94</end>
      <status>unmodified</status>
      <modifiedWord/>
      <trackRevisions>false</trackRevisions>
    </reviewItem>
    <reviewItem>
      <errorID>54ba9c4d-905c-438a-b0fa-e16311efade2</errorID>
      <errorWord>)</errorWord>
      <group>L1_Punc</group>
      <groupName>标点问题</groupName>
      <ability>L2_Punc_CN</ability>
      <abilityName>标点符号问题</abilityName>
      <candidateList/>
      <explain>同一形式括号套用。</explain>
      <paraID>5810D58C</paraID>
      <start>95</start>
      <end>96</end>
      <status>unmodified</status>
      <modifiedWord/>
      <trackRevisions>false</trackRevisions>
    </reviewItem>
    <reviewItem>
      <errorID>40c43929-0718-4120-95ad-149904cf6cdd</errorID>
      <errorWord>(</errorWord>
      <group>L1_Punc</group>
      <groupName>标点问题</groupName>
      <ability>L2_Punc_CN</ability>
      <abilityName>标点符号问题</abilityName>
      <candidateList/>
      <explain>同一形式括号套用。</explain>
      <paraID>5810D58C</paraID>
      <start>104</start>
      <end>105</end>
      <status>unmodified</status>
      <modifiedWord/>
      <trackRevisions>false</trackRevisions>
    </reviewItem>
    <reviewItem>
      <errorID>3c070177-050b-4ace-8864-1db912bf65a2</errorID>
      <errorWord>)</errorWord>
      <group>L1_Punc</group>
      <groupName>标点问题</groupName>
      <ability>L2_Punc_CN</ability>
      <abilityName>标点符号问题</abilityName>
      <candidateList/>
      <explain>同一形式括号套用。</explain>
      <paraID>5810D58C</paraID>
      <start>106</start>
      <end>107</end>
      <status>unmodified</status>
      <modifiedWord/>
      <trackRevisions>false</trackRevisions>
    </reviewItem>
    <reviewItem>
      <errorID>7c7ba632-2863-49a8-98a3-9bacf44200c9</errorID>
      <errorWord>）</errorWord>
      <group>L1_Punc</group>
      <groupName>标点问题</groupName>
      <ability>L2_Punc_CN</ability>
      <abilityName>标点符号问题</abilityName>
      <candidateList/>
      <explain>同一形式括号套用。</explain>
      <paraID>5810D58C</paraID>
      <start>107</start>
      <end>108</end>
      <status>unmodified</status>
      <modifiedWord/>
      <trackRevisions>false</trackRevisions>
    </reviewItem>
    <reviewItem>
      <errorID>59bdcabd-2aae-4224-ad1e-3da9f235f823</errorID>
      <errorWord>（</errorWord>
      <group>L1_Punc</group>
      <groupName>标点问题</groupName>
      <ability>L2_Punc_CN</ability>
      <abilityName>标点符号问题</abilityName>
      <candidateList/>
      <explain>同一形式括号套用。</explain>
      <paraID>3D1593D6</paraID>
      <start>6</start>
      <end>7</end>
      <status>unmodified</status>
      <modifiedWord/>
      <trackRevisions>false</trackRevisions>
    </reviewItem>
    <reviewItem>
      <errorID>7c89b9b7-e2f8-4c9a-ad2f-96baf5bd3532</errorID>
      <errorWord>）</errorWord>
      <group>L1_Punc</group>
      <groupName>标点问题</groupName>
      <ability>L2_Punc_CN</ability>
      <abilityName>标点符号问题</abilityName>
      <candidateList/>
      <explain>同一形式括号套用。</explain>
      <paraID>3D1593D6</paraID>
      <start>8</start>
      <end>9</end>
      <status>unmodified</status>
      <modifiedWord/>
      <trackRevisions>false</trackRevisions>
    </reviewItem>
    <reviewItem>
      <errorID>c4b28444-14ff-4b3e-9e48-622bd6fd48a0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47B244D</paraID>
      <start>0</start>
      <end>2</end>
      <status>unmodified</status>
      <modifiedWord/>
      <trackRevisions>false</trackRevisions>
    </reviewItem>
    <reviewItem>
      <errorID>75939c75-4f33-4984-952e-f61ea1ca2671</errorID>
      <errorWord>集</errorWord>
      <group>L1_Word</group>
      <groupName>字词问题</groupName>
      <ability>L2_Typo</ability>
      <abilityName>字词错误</abilityName>
      <candidateList>
        <item>积</item>
      </candidateList>
      <explain/>
      <paraID>40D13158</paraID>
      <start>66</start>
      <end>67</end>
      <status>unmodified</status>
      <modifiedWord/>
      <trackRevisions>false</trackRevisions>
    </reviewItem>
    <reviewItem>
      <errorID>7a0f3c98-0fd9-4ef3-a926-da64e5da4a0f</errorID>
      <errorWord>（</errorWord>
      <group>L1_Punc</group>
      <groupName>标点问题</groupName>
      <ability>L2_Punc_CN</ability>
      <abilityName>标点符号问题</abilityName>
      <candidateList/>
      <explain>同一形式括号套用。</explain>
      <paraID>4626690C</paraID>
      <start>50</start>
      <end>51</end>
      <status>unmodified</status>
      <modifiedWord/>
      <trackRevisions>false</trackRevisions>
    </reviewItem>
    <reviewItem>
      <errorID>925d9726-f5c0-44c4-8ceb-762f1918b22f</errorID>
      <errorWord>）</errorWord>
      <group>L1_Punc</group>
      <groupName>标点问题</groupName>
      <ability>L2_Punc_CN</ability>
      <abilityName>标点符号问题</abilityName>
      <candidateList/>
      <explain>同一形式括号套用。</explain>
      <paraID>4626690C</paraID>
      <start>55</start>
      <end>56</end>
      <status>unmodified</status>
      <modifiedWord/>
      <trackRevisions>false</trackRevisions>
    </reviewItem>
    <reviewItem>
      <errorID>098c1ec0-5ffc-4fde-bf47-e14a04789684</errorID>
      <errorWord>程</errorWord>
      <group>L1_Word</group>
      <groupName>字词问题</groupName>
      <ability>L2_Typo</ability>
      <abilityName>字词错误</abilityName>
      <candidateList>
        <item>程中</item>
      </candidateList>
      <explain/>
      <paraID>1B6041BF</paraID>
      <start>21</start>
      <end>22</end>
      <status>unmodified</status>
      <modifiedWord/>
      <trackRevisions>false</trackRevisions>
    </reviewItem>
    <reviewItem>
      <errorID>74461b97-2eb3-4074-be0d-bbbb7bed5380</errorID>
      <errorWord>，</errorWord>
      <group>L1_Format</group>
      <groupName>格式问题</groupName>
      <ability>L2_HalfPunc_CN</ability>
      <abilityName>全半角问题</abilityName>
      <candidateList>
        <item>, </item>
      </candidateList>
      <explain>文本全半角错误。</explain>
      <paraID>6405D44E</paraID>
      <start>1</start>
      <end>2</end>
      <status>unmodified</status>
      <modifiedWord/>
      <trackRevisions>false</trackRevisions>
    </reviewItem>
    <reviewItem>
      <errorID>a74c9d66-d727-4277-b2ea-945fcb1e73bd</errorID>
      <errorWord>，</errorWord>
      <group>L1_Format</group>
      <groupName>格式问题</groupName>
      <ability>L2_HalfPunc_CN</ability>
      <abilityName>全半角问题</abilityName>
      <candidateList>
        <item>, </item>
      </candidateList>
      <explain>文本全半角错误。</explain>
      <paraID>61E88DE5</paraID>
      <start>1</start>
      <end>2</end>
      <status>unmodified</status>
      <modifiedWord/>
      <trackRevisions>false</trackRevisions>
    </reviewItem>
    <reviewItem>
      <errorID>bf864673-7376-4eee-b2c3-44da0bef06c3</errorID>
      <errorWord>，</errorWord>
      <group>L1_Format</group>
      <groupName>格式问题</groupName>
      <ability>L2_HalfPunc_CN</ability>
      <abilityName>全半角问题</abilityName>
      <candidateList>
        <item>, </item>
      </candidateList>
      <explain>文本全半角错误。</explain>
      <paraID>6D4C8CCF</paraID>
      <start>1</start>
      <end>2</end>
      <status>unmodified</status>
      <modifiedWord/>
      <trackRevisions>false</trackRevisions>
    </reviewItem>
    <reviewItem>
      <errorID>76b76da6-5175-4f34-ab99-f06dc3eb9377</errorID>
      <errorWord>，</errorWord>
      <group>L1_Format</group>
      <groupName>格式问题</groupName>
      <ability>L2_HalfPunc_CN</ability>
      <abilityName>全半角问题</abilityName>
      <candidateList>
        <item>, </item>
      </candidateList>
      <explain>文本全半角错误。</explain>
      <paraID>57B4870A</paraID>
      <start>1</start>
      <end>2</end>
      <status>unmodified</status>
      <modifiedWord/>
      <trackRevisions>false</trackRevisions>
    </reviewItem>
    <reviewItem>
      <errorID>d9798ecf-2e91-4709-8bbe-c584e6bc4eb2</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727F42C8</paraID>
      <start>126</start>
      <end>127</end>
      <status>unmodified</status>
      <modifiedWord/>
      <trackRevisions>false</trackRevisions>
    </reviewItem>
    <reviewItem>
      <errorID>0430fa0c-06ee-4dbf-aa51-30b7de7abdd3</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727F42C8</paraID>
      <start>165</start>
      <end>166</end>
      <status>unmodified</status>
      <modifiedWord/>
      <trackRevisions>false</trackRevisions>
    </reviewItem>
    <reviewItem>
      <errorID>03cd5081-4393-4e62-b65e-b0f03f6828ec</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273D6BDD</paraID>
      <start>0</start>
      <end>2</end>
      <status>unmodified</status>
      <modifiedWord/>
      <trackRevisions>false</trackRevisions>
    </reviewItem>
    <reviewItem>
      <errorID>c4ad6153-a060-4c83-9694-9f509d61e9a4</errorID>
      <errorWord>-</errorWord>
      <group>L1_Format</group>
      <groupName>格式问题</groupName>
      <ability>L2_HalfPunc_CN</ability>
      <abilityName>全半角问题</abilityName>
      <candidateList>
        <item>－</item>
      </candidateList>
      <explain>文本全半角错误。</explain>
      <paraID> 88B57F6</paraID>
      <start>37</start>
      <end>38</end>
      <status>unmodified</status>
      <modifiedWord/>
      <trackRevisions>false</trackRevisions>
    </reviewItem>
    <reviewItem>
      <errorID>aac802b9-6806-470b-83b8-8d461e3e065d</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7AEBE711</paraID>
      <start>0</start>
      <end>2</end>
      <status>unmodified</status>
      <modifiedWord/>
      <trackRevisions>false</trackRevisions>
    </reviewItem>
    <reviewItem>
      <errorID>d7c77261-914a-4378-931a-c84c15d79fbf</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345921D6</paraID>
      <start>0</start>
      <end>2</end>
      <status>unmodified</status>
      <modifiedWord/>
      <trackRevisions>false</trackRevisions>
    </reviewItem>
    <reviewItem>
      <errorID>3780c732-7d05-403c-9116-414f0d837124</errorID>
      <errorWord>-</errorWord>
      <group>L1_Format</group>
      <groupName>格式问题</groupName>
      <ability>L2_HalfPunc_CN</ability>
      <abilityName>全半角问题</abilityName>
      <candidateList>
        <item>－</item>
      </candidateList>
      <explain>文本全半角错误。</explain>
      <paraID> 252AC0D</paraID>
      <start>29</start>
      <end>30</end>
      <status>unmodified</status>
      <modifiedWord/>
      <trackRevisions>false</trackRevisions>
    </reviewItem>
    <reviewItem>
      <errorID>d1b371a5-125b-4585-962f-4d56db1718d3</errorID>
      <errorWord>-</errorWord>
      <group>L1_Format</group>
      <groupName>格式问题</groupName>
      <ability>L2_HalfPunc_CN</ability>
      <abilityName>全半角问题</abilityName>
      <candidateList>
        <item>－</item>
      </candidateList>
      <explain>文本全半角错误。</explain>
      <paraID> 252AC0D</paraID>
      <start>30</start>
      <end>31</end>
      <status>unmodified</status>
      <modifiedWord/>
      <trackRevisions>false</trackRevisions>
    </reviewItem>
    <reviewItem>
      <errorID>f501e11c-af23-4269-be9a-8f849df2698f</errorID>
      <errorWord>-</errorWord>
      <group>L1_Format</group>
      <groupName>格式问题</groupName>
      <ability>L2_HalfPunc_CN</ability>
      <abilityName>全半角问题</abilityName>
      <candidateList>
        <item>－</item>
      </candidateList>
      <explain>文本全半角错误。</explain>
      <paraID>6AAD8796</paraID>
      <start>29</start>
      <end>30</end>
      <status>unmodified</status>
      <modifiedWord/>
      <trackRevisions>false</trackRevisions>
    </reviewItem>
    <reviewItem>
      <errorID>ecf37203-8e24-4b76-8b58-82028d1b78bb</errorID>
      <errorWord>-</errorWord>
      <group>L1_Format</group>
      <groupName>格式问题</groupName>
      <ability>L2_HalfPunc_CN</ability>
      <abilityName>全半角问题</abilityName>
      <candidateList>
        <item>－</item>
      </candidateList>
      <explain>文本全半角错误。</explain>
      <paraID>6AAD8796</paraID>
      <start>30</start>
      <end>31</end>
      <status>unmodified</status>
      <modifiedWord/>
      <trackRevisions>false</trackRevisions>
    </reviewItem>
    <reviewItem>
      <errorID>82fac087-9a18-4003-8bbb-7406e0ea2ec8</errorID>
      <errorWord>集</errorWord>
      <group>L1_Word</group>
      <groupName>字词问题</groupName>
      <ability>L2_Typo</ability>
      <abilityName>字词错误</abilityName>
      <candidateList>
        <item>积</item>
      </candidateList>
      <explain/>
      <paraID>6E8570D3</paraID>
      <start>11</start>
      <end>12</end>
      <status>unmodified</status>
      <modifiedWord/>
      <trackRevisions>false</trackRevisions>
    </reviewItem>
    <reviewItem>
      <errorID>d9503410-d8b3-4e48-9da3-9789537046c4</errorID>
      <errorWord>(</errorWord>
      <group>L1_Format</group>
      <groupName>格式问题</groupName>
      <ability>L2_HalfPunc_CN</ability>
      <abilityName>全半角问题</abilityName>
      <candidateList>
        <item>（</item>
      </candidateList>
      <explain>文本全半角错误。</explain>
      <paraID>53EBEDC7</paraID>
      <start>13</start>
      <end>14</end>
      <status>unmodified</status>
      <modifiedWord/>
      <trackRevisions>false</trackRevisions>
    </reviewItem>
    <reviewItem>
      <errorID>2e9e4e4c-7619-4a31-88b4-fd97725938a0</errorID>
      <errorWord>)</errorWord>
      <group>L1_Format</group>
      <groupName>格式问题</groupName>
      <ability>L2_HalfPunc_CN</ability>
      <abilityName>全半角问题</abilityName>
      <candidateList>
        <item>）</item>
      </candidateList>
      <explain>文本全半角错误。</explain>
      <paraID>53EBEDC7</paraID>
      <start>18</start>
      <end>19</end>
      <status>unmodified</status>
      <modifiedWord/>
      <trackRevisions>false</trackRevisions>
    </reviewItem>
    <reviewItem>
      <errorID>62da4d71-1c94-4276-bd97-d21c078d9e24</errorID>
      <errorWord>(</errorWord>
      <group>L1_Format</group>
      <groupName>格式问题</groupName>
      <ability>L2_HalfPunc_CN</ability>
      <abilityName>全半角问题</abilityName>
      <candidateList>
        <item>（</item>
      </candidateList>
      <explain>文本全半角错误。</explain>
      <paraID>53EBEDC7</paraID>
      <start>24</start>
      <end>25</end>
      <status>unmodified</status>
      <modifiedWord/>
      <trackRevisions>false</trackRevisions>
    </reviewItem>
    <reviewItem>
      <errorID>0ab43e05-ba6b-4807-a6aa-32b4da2ae3de</errorID>
      <errorWord>)</errorWord>
      <group>L1_Format</group>
      <groupName>格式问题</groupName>
      <ability>L2_HalfPunc_CN</ability>
      <abilityName>全半角问题</abilityName>
      <candidateList>
        <item>）</item>
      </candidateList>
      <explain>文本全半角错误。</explain>
      <paraID>53EBEDC7</paraID>
      <start>31</start>
      <end>32</end>
      <status>unmodified</status>
      <modifiedWord/>
      <trackRevisions>false</trackRevisions>
    </reviewItem>
    <reviewItem>
      <errorID>6ae26747-953a-46c5-b7aa-197b1e860131</errorID>
      <errorWord>(</errorWord>
      <group>L1_Format</group>
      <groupName>格式问题</groupName>
      <ability>L2_HalfPunc_CN</ability>
      <abilityName>全半角问题</abilityName>
      <candidateList>
        <item>（</item>
      </candidateList>
      <explain>文本全半角错误。</explain>
      <paraID>53EBEDC7</paraID>
      <start>39</start>
      <end>40</end>
      <status>unmodified</status>
      <modifiedWord/>
      <trackRevisions>false</trackRevisions>
    </reviewItem>
    <reviewItem>
      <errorID>57c37a30-b23e-49b2-ba02-1cd601f677dc</errorID>
      <errorWord>)</errorWord>
      <group>L1_Format</group>
      <groupName>格式问题</groupName>
      <ability>L2_HalfPunc_CN</ability>
      <abilityName>全半角问题</abilityName>
      <candidateList>
        <item>）</item>
      </candidateList>
      <explain>文本全半角错误。</explain>
      <paraID>53EBEDC7</paraID>
      <start>59</start>
      <end>60</end>
      <status>unmodified</status>
      <modifiedWord/>
      <trackRevisions>false</trackRevisions>
    </reviewItem>
    <reviewItem>
      <errorID>bc019485-1ec0-4cb6-ac67-0d24dc47a3f8</errorID>
      <errorWord>提高</errorWord>
      <group>L1_Grammar</group>
      <groupName>语法问题</groupName>
      <ability>L2_Grammar</ability>
      <abilityName>语法错误</abilityName>
      <candidateList>
        <item>增强</item>
      </candidateList>
      <explain>“提高～意识”搭配不当，建议修改为“增强～意识”。</explain>
      <paraID>3145253F</paraID>
      <start>12</start>
      <end>14</end>
      <status>unmodified</status>
      <modifiedWord/>
      <trackRevisions>false</trackRevisions>
    </reviewItem>
    <reviewItem>
      <errorID>22c295f5-5b9e-4817-a7d2-5d8231470b86</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32ADA3E1</paraID>
      <start>0</start>
      <end>2</end>
      <status>unmodified</status>
      <modifiedWord/>
      <trackRevisions>false</trackRevisions>
    </reviewItem>
    <reviewItem>
      <errorID>6b155113-3fe1-4fbd-9cfa-bcbd1225c478</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76AEC831</paraID>
      <start>0</start>
      <end>2</end>
      <status>unmodified</status>
      <modifiedWord/>
      <trackRevisions>false</trackRevisions>
    </reviewItem>
    <reviewItem>
      <errorID>de2ab853-0bed-46c5-b2b7-146e924ac7ca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686C25E1</paraID>
      <start>0</start>
      <end>2</end>
      <status>unmodified</status>
      <modifiedWord/>
      <trackRevisions>false</trackRevisions>
    </reviewItem>
    <reviewItem>
      <errorID>1c09b872-fcaf-460c-a1db-32b3218abe99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E868440</paraID>
      <start>0</start>
      <end>2</end>
      <status>unmodified</status>
      <modifiedWord/>
      <trackRevisions>false</trackRevisions>
    </reviewItem>
    <reviewItem>
      <errorID>2d66acdf-8d9a-4b94-8167-dda3136559c4</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51CD9279</paraID>
      <start>0</start>
      <end>3</end>
      <status>unmodified</status>
      <modifiedWord/>
      <trackRevisions>false</trackRevisions>
    </reviewItem>
    <reviewItem>
      <errorID>f81cce52-6c94-479e-b7a5-e03fdc1045ce</errorID>
      <errorWord>(</errorWord>
      <group>L1_Format</group>
      <groupName>格式问题</groupName>
      <ability>L2_HalfPunc_CN</ability>
      <abilityName>全半角问题</abilityName>
      <candidateList>
        <item>（</item>
      </candidateList>
      <explain>文本全半角错误。</explain>
      <paraID>5C036F36</paraID>
      <start>3</start>
      <end>4</end>
      <status>unmodified</status>
      <modifiedWord/>
      <trackRevisions>false</trackRevisions>
    </reviewItem>
    <reviewItem>
      <errorID>3e045ebd-1a28-4167-85f4-ae928099a3a1</errorID>
      <errorWord>)</errorWord>
      <group>L1_Format</group>
      <groupName>格式问题</groupName>
      <ability>L2_HalfPunc_CN</ability>
      <abilityName>全半角问题</abilityName>
      <candidateList>
        <item>）</item>
      </candidateList>
      <explain>文本全半角错误。</explain>
      <paraID>5C036F36</paraID>
      <start>9</start>
      <end>10</end>
      <status>unmodified</status>
      <modifiedWord/>
      <trackRevisions>false</trackRevisions>
    </reviewItem>
    <reviewItem>
      <errorID>6070c42e-9118-49d9-a5eb-7e6a2cdbc5f7</errorID>
      <errorWord>&lt;</errorWord>
      <group>L1_Format</group>
      <groupName>格式问题</groupName>
      <ability>L2_HalfPunc_CN</ability>
      <abilityName>全半角问题</abilityName>
      <candidateList>
        <item>〈</item>
      </candidateList>
      <explain>文本全半角错误。</explain>
      <paraID>1020AC02</paraID>
      <start>5</start>
      <end>6</end>
      <status>unmodified</status>
      <modifiedWord/>
      <trackRevisions>false</trackRevisions>
    </reviewItem>
    <reviewItem>
      <errorID>a997986a-61df-4404-9560-c01123930f69</errorID>
      <errorWord>&gt;的通知》</errorWord>
      <group>L1_Punc</group>
      <groupName>标点问题</groupName>
      <ability>L2_Punc_CN</ability>
      <abilityName>标点符号问题</abilityName>
      <candidateList>
        <item>〉的通知》</item>
      </candidateList>
      <explain/>
      <paraID>1020AC02</paraID>
      <start>20</start>
      <end>25</end>
      <status>unmodified</status>
      <modifiedWord/>
      <trackRevisions>false</trackRevisions>
    </reviewItem>
    <reviewItem>
      <errorID>42e97ead-e3dd-4d84-96ec-f0312b054029</errorID>
      <errorWord>[2019]56号</errorWord>
      <group>L1_Knowledge</group>
      <groupName>知识性问题</groupName>
      <ability>L2_Knowledge</ability>
      <abilityName>其他知识</abilityName>
      <candidateList>
        <item>〔2019〕56号</item>
      </candidateList>
      <explain>发文字号格式错误。</explain>
      <paraID>1020AC02</paraID>
      <start>29</start>
      <end>38</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FE72BC7-A94F-49C0-A74A-25DA0274A3B0}">
  <ds:schemaRefs/>
</ds:datastoreItem>
</file>

<file path=customXml/itemProps3.xml><?xml version="1.0" encoding="utf-8"?>
<ds:datastoreItem xmlns:ds="http://schemas.openxmlformats.org/officeDocument/2006/customXml" ds:itemID="{80f1bf09-bb37-4fb0-bf31-639dbcd10796}">
  <ds:schemaRefs/>
</ds:datastoreItem>
</file>

<file path=docProps/app.xml><?xml version="1.0" encoding="utf-8"?>
<Properties xmlns="http://schemas.openxmlformats.org/officeDocument/2006/extended-properties" xmlns:vt="http://schemas.openxmlformats.org/officeDocument/2006/docPropsVTypes">
  <Template>Normal</Template>
  <Pages>126</Pages>
  <Words>189</Words>
  <Characters>199</Characters>
  <Lines>4091</Lines>
  <Paragraphs>7321</Paragraphs>
  <TotalTime>8</TotalTime>
  <ScaleCrop>false</ScaleCrop>
  <LinksUpToDate>false</LinksUpToDate>
  <CharactersWithSpaces>277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2025-09-23T07:00:00Z</dcterms:created>
  <dc:creator>HYGK</dc:creator>
  <cp:lastModifiedBy>等风</cp:lastModifiedBy>
  <cp:lastPrinted>2026-04-30T03:53:00Z</cp:lastPrinted>
  <dcterms:modified xsi:type="dcterms:W3CDTF">2026-06-16T00:28:20Z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eyJoZGlkIjoiNDE1YjM3OTVhNDdiNDkzZDkyYTdiMjQzNmVhMGI4OWIiLCJ1c2VySWQiOiI1MTQ5MTEwMzUifQ==</vt:lpwstr>
  </property>
  <property fmtid="{D5CDD505-2E9C-101B-9397-08002B2CF9AE}" pid="3" name="KSOProductBuildVer">
    <vt:lpwstr>2052-12.1.0.26895</vt:lpwstr>
  </property>
  <property fmtid="{D5CDD505-2E9C-101B-9397-08002B2CF9AE}" pid="4" name="ICV">
    <vt:lpwstr>46EF71C0D47540E9A7969CB7855BA728_13</vt:lpwstr>
  </property>
</Properties>
</file>